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160"/>
      </w:pPr>
      <w:r>
        <w:rPr>
          <w:rFonts w:ascii="Times New Roman" w:hAnsi="Times New Roman"/>
          <w:b/>
          <w:sz w:val="20"/>
        </w:rPr>
        <w:t>Table 2. Pipeline design comparisons. The blocks compare stance detection and integration anchors on their respective shared stride sets, so N differs. All other pipeline steps were held constant. Bias = IMU minus GaitRite.</w:t>
      </w:r>
    </w:p>
    <w:tbl>
      <w:tblPr>
        <w:tblStyle w:val="TableGrid"/>
        <w:tblW w:type="auto" w:w="0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autofit"/>
        <w:tblLook w:firstColumn="1" w:firstRow="1" w:lastColumn="0" w:lastRow="0" w:noHBand="0" w:noVBand="1" w:val="04A0"/>
      </w:tblPr>
      <w:tblGrid>
        <w:gridCol w:w="2352"/>
        <w:gridCol w:w="2352"/>
        <w:gridCol w:w="2352"/>
        <w:gridCol w:w="2352"/>
        <w:gridCol w:w="2352"/>
        <w:gridCol w:w="2352"/>
      </w:tblGrid>
      <w:tr>
        <w:trPr>
          <w:tblHeader w:val="true"/>
        </w:trPr>
        <w:tc>
          <w:tcPr>
            <w:tcW w:type="dxa" w:w="235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Variant</w:t>
            </w:r>
          </w:p>
        </w:tc>
        <w:tc>
          <w:tcPr>
            <w:tcW w:type="dxa" w:w="235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N pairs</w:t>
            </w:r>
          </w:p>
        </w:tc>
        <w:tc>
          <w:tcPr>
            <w:tcW w:type="dxa" w:w="235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RMSE (cm)</w:t>
            </w:r>
          </w:p>
        </w:tc>
        <w:tc>
          <w:tcPr>
            <w:tcW w:type="dxa" w:w="235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Bias (cm)</w:t>
            </w:r>
          </w:p>
        </w:tc>
        <w:tc>
          <w:tcPr>
            <w:tcW w:type="dxa" w:w="235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MAE (cm)</w:t>
            </w:r>
          </w:p>
        </w:tc>
        <w:tc>
          <w:tcPr>
            <w:tcW w:type="dxa" w:w="235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ICC(2,1)</w:t>
            </w:r>
          </w:p>
        </w:tc>
      </w:tr>
      <w:tr>
        <w:tc>
          <w:tcPr>
            <w:tcW w:type="dxa" w:w="14112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i/>
                <w:sz w:val="18"/>
              </w:rPr>
              <w:t>Stance detection</w:t>
            </w:r>
          </w:p>
        </w:tc>
      </w:tr>
      <w:tr>
        <w:tc>
          <w:tcPr>
            <w:tcW w:type="dxa" w:w="235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Bilateral (canonical)</w:t>
            </w:r>
          </w:p>
        </w:tc>
        <w:tc>
          <w:tcPr>
            <w:tcW w:type="dxa" w:w="235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10,472</w:t>
            </w:r>
          </w:p>
        </w:tc>
        <w:tc>
          <w:tcPr>
            <w:tcW w:type="dxa" w:w="235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3.9</w:t>
            </w:r>
          </w:p>
        </w:tc>
        <w:tc>
          <w:tcPr>
            <w:tcW w:type="dxa" w:w="235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+0.3</w:t>
            </w:r>
          </w:p>
        </w:tc>
        <w:tc>
          <w:tcPr>
            <w:tcW w:type="dxa" w:w="235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2.5</w:t>
            </w:r>
          </w:p>
        </w:tc>
        <w:tc>
          <w:tcPr>
            <w:tcW w:type="dxa" w:w="235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0.976</w:t>
            </w:r>
          </w:p>
        </w:tc>
      </w:tr>
      <w:tr>
        <w:tc>
          <w:tcPr>
            <w:tcW w:type="dxa" w:w="235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Ipsilateral (threshold-only)</w:t>
            </w:r>
          </w:p>
        </w:tc>
        <w:tc>
          <w:tcPr>
            <w:tcW w:type="dxa" w:w="235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9,708</w:t>
            </w:r>
          </w:p>
        </w:tc>
        <w:tc>
          <w:tcPr>
            <w:tcW w:type="dxa" w:w="235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3.8</w:t>
            </w:r>
          </w:p>
        </w:tc>
        <w:tc>
          <w:tcPr>
            <w:tcW w:type="dxa" w:w="235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−0.3</w:t>
            </w:r>
          </w:p>
        </w:tc>
        <w:tc>
          <w:tcPr>
            <w:tcW w:type="dxa" w:w="235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2.4</w:t>
            </w:r>
          </w:p>
        </w:tc>
        <w:tc>
          <w:tcPr>
            <w:tcW w:type="dxa" w:w="235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0.976</w:t>
            </w:r>
          </w:p>
        </w:tc>
      </w:tr>
      <w:tr>
        <w:tc>
          <w:tcPr>
            <w:tcW w:type="dxa" w:w="14112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i/>
                <w:sz w:val="18"/>
              </w:rPr>
              <w:t>Gait-event timing anchor</w:t>
            </w:r>
          </w:p>
        </w:tc>
      </w:tr>
      <w:tr>
        <w:tc>
          <w:tcPr>
            <w:tcW w:type="dxa" w:w="235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Mid-stance (canonical)</w:t>
            </w:r>
          </w:p>
        </w:tc>
        <w:tc>
          <w:tcPr>
            <w:tcW w:type="dxa" w:w="235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10,459</w:t>
            </w:r>
          </w:p>
        </w:tc>
        <w:tc>
          <w:tcPr>
            <w:tcW w:type="dxa" w:w="235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3.9</w:t>
            </w:r>
          </w:p>
        </w:tc>
        <w:tc>
          <w:tcPr>
            <w:tcW w:type="dxa" w:w="235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+0.3</w:t>
            </w:r>
          </w:p>
        </w:tc>
        <w:tc>
          <w:tcPr>
            <w:tcW w:type="dxa" w:w="235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2.5</w:t>
            </w:r>
          </w:p>
        </w:tc>
        <w:tc>
          <w:tcPr>
            <w:tcW w:type="dxa" w:w="235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0.976</w:t>
            </w:r>
          </w:p>
        </w:tc>
      </w:tr>
      <w:tr>
        <w:tc>
          <w:tcPr>
            <w:tcW w:type="dxa" w:w="235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GaitRite heel strike</w:t>
            </w:r>
          </w:p>
        </w:tc>
        <w:tc>
          <w:tcPr>
            <w:tcW w:type="dxa" w:w="235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10,459</w:t>
            </w:r>
          </w:p>
        </w:tc>
        <w:tc>
          <w:tcPr>
            <w:tcW w:type="dxa" w:w="235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4.1</w:t>
            </w:r>
          </w:p>
        </w:tc>
        <w:tc>
          <w:tcPr>
            <w:tcW w:type="dxa" w:w="235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+1.1</w:t>
            </w:r>
          </w:p>
        </w:tc>
        <w:tc>
          <w:tcPr>
            <w:tcW w:type="dxa" w:w="235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2.8</w:t>
            </w:r>
          </w:p>
        </w:tc>
        <w:tc>
          <w:tcPr>
            <w:tcW w:type="dxa" w:w="235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0.973</w:t>
            </w:r>
          </w:p>
        </w:tc>
      </w:tr>
    </w:tbl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