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1512D" w14:textId="0249CA62" w:rsidR="001477F4" w:rsidRPr="008E1BBB" w:rsidRDefault="00000000" w:rsidP="008E1BBB">
      <w:pPr>
        <w:pStyle w:val="Title"/>
        <w:jc w:val="left"/>
        <w:rPr>
          <w:rFonts w:ascii="Times New Roman" w:hAnsi="Times New Roman" w:cs="Times New Roman"/>
          <w:b/>
          <w:bCs/>
          <w:sz w:val="24"/>
          <w:szCs w:val="24"/>
        </w:rPr>
      </w:pPr>
      <w:r w:rsidRPr="008E1BBB">
        <w:rPr>
          <w:rFonts w:ascii="Times New Roman" w:hAnsi="Times New Roman" w:cs="Times New Roman"/>
          <w:b/>
          <w:bCs/>
          <w:sz w:val="24"/>
          <w:szCs w:val="24"/>
        </w:rPr>
        <w:t>Criterion validity of heel-mounted inertial sensors for</w:t>
      </w:r>
      <w:r w:rsidR="008E1BBB" w:rsidRPr="008E1BBB">
        <w:rPr>
          <w:rFonts w:ascii="Times New Roman" w:hAnsi="Times New Roman" w:cs="Times New Roman"/>
          <w:b/>
          <w:bCs/>
          <w:sz w:val="24"/>
          <w:szCs w:val="24"/>
        </w:rPr>
        <w:t xml:space="preserve"> </w:t>
      </w:r>
      <w:r w:rsidRPr="008E1BBB">
        <w:rPr>
          <w:rFonts w:ascii="Times New Roman" w:hAnsi="Times New Roman" w:cs="Times New Roman"/>
          <w:b/>
          <w:bCs/>
          <w:sz w:val="24"/>
          <w:szCs w:val="24"/>
        </w:rPr>
        <w:t>stride-length estimation during single- and dual-task</w:t>
      </w:r>
      <w:r w:rsidR="008E1BBB" w:rsidRPr="008E1BBB">
        <w:rPr>
          <w:rFonts w:ascii="Times New Roman" w:hAnsi="Times New Roman" w:cs="Times New Roman"/>
          <w:b/>
          <w:bCs/>
          <w:sz w:val="24"/>
          <w:szCs w:val="24"/>
        </w:rPr>
        <w:t xml:space="preserve"> </w:t>
      </w:r>
      <w:r w:rsidRPr="008E1BBB">
        <w:rPr>
          <w:rFonts w:ascii="Times New Roman" w:hAnsi="Times New Roman" w:cs="Times New Roman"/>
          <w:b/>
          <w:bCs/>
          <w:sz w:val="24"/>
          <w:szCs w:val="24"/>
        </w:rPr>
        <w:t>walking in older adults with and without cognitive</w:t>
      </w:r>
      <w:r w:rsidR="008E1BBB" w:rsidRPr="008E1BBB">
        <w:rPr>
          <w:rFonts w:ascii="Times New Roman" w:hAnsi="Times New Roman" w:cs="Times New Roman"/>
          <w:b/>
          <w:bCs/>
          <w:sz w:val="24"/>
          <w:szCs w:val="24"/>
        </w:rPr>
        <w:t xml:space="preserve"> </w:t>
      </w:r>
      <w:r w:rsidRPr="008E1BBB">
        <w:rPr>
          <w:rFonts w:ascii="Times New Roman" w:hAnsi="Times New Roman" w:cs="Times New Roman"/>
          <w:b/>
          <w:bCs/>
          <w:sz w:val="24"/>
          <w:szCs w:val="24"/>
        </w:rPr>
        <w:t>impairment</w:t>
      </w:r>
    </w:p>
    <w:p w14:paraId="1A040F88" w14:textId="5EFA7545" w:rsidR="001477F4" w:rsidRDefault="00000000">
      <w:pPr>
        <w:pStyle w:val="Author"/>
        <w:jc w:val="left"/>
      </w:pPr>
      <w:r>
        <w:t>Pawel Kudzia</w:t>
      </w:r>
      <w:r w:rsidR="008E1BBB">
        <w:t>*</w:t>
      </w:r>
      <w:r>
        <w:t xml:space="preserve"> [1]</w:t>
      </w:r>
    </w:p>
    <w:p w14:paraId="28D48244" w14:textId="77777777" w:rsidR="001477F4" w:rsidRDefault="00000000">
      <w:pPr>
        <w:pStyle w:val="Author"/>
        <w:jc w:val="left"/>
      </w:pPr>
      <w:r>
        <w:t>Markus von Hacht [1]</w:t>
      </w:r>
    </w:p>
    <w:p w14:paraId="7B962478" w14:textId="77777777" w:rsidR="001477F4" w:rsidRDefault="00000000">
      <w:pPr>
        <w:pStyle w:val="Author"/>
        <w:jc w:val="left"/>
      </w:pPr>
      <w:r>
        <w:t>Maryam Sheikhi [1]</w:t>
      </w:r>
    </w:p>
    <w:p w14:paraId="4A021185" w14:textId="77777777" w:rsidR="001477F4" w:rsidRDefault="00000000">
      <w:pPr>
        <w:pStyle w:val="Author"/>
        <w:jc w:val="left"/>
      </w:pPr>
      <w:r>
        <w:t>Drew Commandeur [1]</w:t>
      </w:r>
    </w:p>
    <w:p w14:paraId="4C66F3CE" w14:textId="77777777" w:rsidR="001477F4" w:rsidRDefault="00000000">
      <w:pPr>
        <w:pStyle w:val="Author"/>
        <w:jc w:val="left"/>
      </w:pPr>
      <w:r>
        <w:t>Marc Klimstra [1,2]</w:t>
      </w:r>
    </w:p>
    <w:p w14:paraId="24A41388" w14:textId="77777777" w:rsidR="001477F4" w:rsidRDefault="00000000">
      <w:pPr>
        <w:pStyle w:val="Author"/>
        <w:jc w:val="left"/>
      </w:pPr>
      <w:r>
        <w:t>Sandra Hundza [1,3]</w:t>
      </w:r>
    </w:p>
    <w:p w14:paraId="458E1F40" w14:textId="77777777" w:rsidR="001477F4" w:rsidRDefault="00000000">
      <w:r>
        <w:rPr>
          <w:sz w:val="20"/>
        </w:rPr>
        <w:t>1 Motion, Mobility and Rehabilitation Lab, School of Exercise Science, Physical and Health Education, University of Victoria, PO Box 1700 STN CSC, Victoria, BC V8W 2Y2, Canada</w:t>
      </w:r>
    </w:p>
    <w:p w14:paraId="7851A1BA" w14:textId="77777777" w:rsidR="001477F4" w:rsidRDefault="00000000">
      <w:r>
        <w:rPr>
          <w:sz w:val="20"/>
        </w:rPr>
        <w:t>2 Canadian Sport Institute-Pacific, Victoria, BC, Canada</w:t>
      </w:r>
    </w:p>
    <w:p w14:paraId="6EB667B6" w14:textId="77777777" w:rsidR="001477F4" w:rsidRDefault="00000000">
      <w:r>
        <w:rPr>
          <w:sz w:val="20"/>
        </w:rPr>
        <w:t>3 Institute on Aging and Lifelong Health, Victoria, BC</w:t>
      </w:r>
    </w:p>
    <w:p w14:paraId="66B596CB" w14:textId="063FF5EE" w:rsidR="001477F4" w:rsidRDefault="00000000">
      <w:r>
        <w:rPr>
          <w:sz w:val="20"/>
        </w:rPr>
        <w:t>Corresponding Author</w:t>
      </w:r>
      <w:r w:rsidR="008E1BBB">
        <w:rPr>
          <w:sz w:val="20"/>
        </w:rPr>
        <w:t>:</w:t>
      </w:r>
    </w:p>
    <w:p w14:paraId="5F66D651" w14:textId="5E550219" w:rsidR="001477F4" w:rsidRDefault="008E1BBB">
      <w:r>
        <w:rPr>
          <w:sz w:val="20"/>
        </w:rPr>
        <w:t>*</w:t>
      </w:r>
      <w:r w:rsidR="00000000">
        <w:rPr>
          <w:sz w:val="20"/>
        </w:rPr>
        <w:t>Pawel Kudzia [1]</w:t>
      </w:r>
    </w:p>
    <w:p w14:paraId="27974451" w14:textId="77777777" w:rsidR="001477F4" w:rsidRDefault="00000000">
      <w:r>
        <w:rPr>
          <w:sz w:val="20"/>
        </w:rPr>
        <w:t>Email address: pawel.kudzia5@gmail.com</w:t>
      </w:r>
      <w:r>
        <w:rPr>
          <w:sz w:val="20"/>
        </w:rPr>
        <w:br w:type="page"/>
      </w:r>
    </w:p>
    <w:p w14:paraId="71249038" w14:textId="77777777" w:rsidR="001477F4" w:rsidRDefault="00000000" w:rsidP="008E1BBB">
      <w:pPr>
        <w:pStyle w:val="Heading1"/>
      </w:pPr>
      <w:bookmarkStart w:id="0" w:name="abstract"/>
      <w:r>
        <w:lastRenderedPageBreak/>
        <w:t>Abstract</w:t>
      </w:r>
    </w:p>
    <w:p w14:paraId="22BDA869" w14:textId="77777777" w:rsidR="001477F4" w:rsidRDefault="00000000" w:rsidP="008E1BBB">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60F2858E" w14:textId="77777777" w:rsidR="001477F4" w:rsidRDefault="00000000" w:rsidP="008E1BBB">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52FA8861" w14:textId="77777777" w:rsidR="001477F4" w:rsidRDefault="00000000" w:rsidP="008E1BBB">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704ECB60" w14:textId="77777777" w:rsidR="001477F4" w:rsidRDefault="00000000" w:rsidP="008E1BBB">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3A344FB4" w14:textId="1B9D18C6" w:rsidR="008E1BBB" w:rsidRDefault="008E1BBB">
      <w:r>
        <w:br w:type="page"/>
      </w:r>
    </w:p>
    <w:p w14:paraId="19DD0F6C" w14:textId="77777777" w:rsidR="001477F4" w:rsidRDefault="00000000" w:rsidP="008E1BBB">
      <w:pPr>
        <w:pStyle w:val="Heading1"/>
        <w:jc w:val="both"/>
      </w:pPr>
      <w:bookmarkStart w:id="1" w:name="introduction"/>
      <w:bookmarkEnd w:id="0"/>
      <w:r>
        <w:lastRenderedPageBreak/>
        <w:t>Introduction</w:t>
      </w:r>
    </w:p>
    <w:p w14:paraId="50A56B24" w14:textId="1E9A9770" w:rsidR="001477F4" w:rsidRDefault="00000000" w:rsidP="008E1BBB">
      <w:pPr>
        <w:pStyle w:val="FirstParagraph"/>
        <w:spacing w:after="120" w:line="480" w:lineRule="auto"/>
        <w:jc w:val="both"/>
      </w:pPr>
      <w:r>
        <w:rPr>
          <w:b/>
          <w:bCs/>
        </w:rPr>
        <w:t>Gait metrics such as stride length are sensitive markers of mobility decline, fall risk, and cognitive deterioration in older adults.</w:t>
      </w:r>
      <w:r>
        <w:t xml:space="preserve"> Greater stride-to-stride variability </w:t>
      </w:r>
      <w:r w:rsidR="008E1BBB">
        <w:t xml:space="preserve">is a strong </w:t>
      </w:r>
      <w:r>
        <w:t>predict</w:t>
      </w:r>
      <w:r w:rsidR="008E1BBB">
        <w:t>or of incident</w:t>
      </w:r>
      <w:r>
        <w:t xml:space="preserve"> falls in older adults (Maki 1997; Verghese et al. 2009). Slower gait also predicts falls and tracks cognitive decline (Verghese et al. 2009; Montero-Odasso et al. 2012). A meta-analysis reported that a baseline stride-length threshold of 0.64 m or less predicted adverse clinical events and mortality in older adults (Bytyçi and Henein 2021). Instrumented walkways and motion capture</w:t>
      </w:r>
      <w:r w:rsidR="008E1BBB">
        <w:t xml:space="preserve"> systems</w:t>
      </w:r>
      <w:r>
        <w:t xml:space="preserve"> measure stride length accurately but restrict assessment to short walks in laboratory settings. This leaves daily-living and clinical contexts without these tools. Wearable inertial measurement units (IMUs) can estimate stride length outside the laboratory, but the quality of these estimates depends on both the measurement setup and the processing method.</w:t>
      </w:r>
    </w:p>
    <w:p w14:paraId="750C13CD" w14:textId="77777777" w:rsidR="001477F4" w:rsidRDefault="00000000" w:rsidP="008E1BBB">
      <w:pPr>
        <w:pStyle w:val="BodyText"/>
        <w:spacing w:after="120" w:line="480" w:lineRule="auto"/>
        <w:jc w:val="both"/>
      </w:pPr>
      <w:r>
        <w:rPr>
          <w:b/>
          <w:bCs/>
        </w:rPr>
        <w:t>Sensor quality, secure attachment, placement, and algorithm design all affect stride-length accuracy with foot-mounted IMUs.</w:t>
      </w:r>
      <w:r>
        <w:t xml:space="preserve"> The most common approach estimates stride length by integrating acceleration twice. Noise and small sensor errors accumulate during this process and cause the estimated position to drift. A sensor that moves or rotates relative to the shoe can introduce further error because it no longer measures the foot from a consistent position and orientation. The hardware must therefore provide low-noise signals, and the sensor must remain firmly attached (Wahlström and Skog 2021; Küderle et al. 2022). Zero-velocity updates (ZUPTs) limit drift by resetting the integration during mid-stance, when the foot is flat and motionless (Foxlin 2005; Wahlström and Skog 2021). Detecting this period correctly is important because it marks where each stride begins and ends. Adaptive methods that account for each person’s walking pattern remain more reliable across walking speeds than a single fixed threshold (Li et al. 2023).</w:t>
      </w:r>
    </w:p>
    <w:p w14:paraId="6B608380" w14:textId="77777777" w:rsidR="001477F4" w:rsidRDefault="00000000" w:rsidP="008E1BBB">
      <w:pPr>
        <w:pStyle w:val="BodyText"/>
        <w:spacing w:after="120" w:line="480" w:lineRule="auto"/>
        <w:jc w:val="both"/>
      </w:pPr>
      <w:r>
        <w:rPr>
          <w:b/>
          <w:bCs/>
        </w:rPr>
        <w:lastRenderedPageBreak/>
        <w:t>Fixed amplitude thresholds can miss genuine stance phases and misclassify other stationary periods.</w:t>
      </w:r>
      <w:r>
        <w:t xml:space="preserve"> During mid-stance the foot is still. Both the sensor’s rotational speed (the gyroscope norm, the combined magnitude of triaxial angular velocity) and the moment-to-moment variation in its acceleration then drop close to zero. A threshold detector labels a sample as stance whenever both signals fall below fixed cutoffs (Skog et al. 2010). This works for steady walking, but during slow or irregular walking, such as the shuffling gait of Parkinson’s disease, a stance phase may never become quiet enough to cross the cutoff (Foxlin 2005). The detector then misses the stance and merges two strides into one. During pauses such as standing or turning, the foot is also still, so the detector fires a false stance that shortens the surrounding strides.</w:t>
      </w:r>
    </w:p>
    <w:p w14:paraId="70A1B238" w14:textId="77777777" w:rsidR="001477F4" w:rsidRDefault="00000000" w:rsidP="008E1BBB">
      <w:pPr>
        <w:pStyle w:val="BodyText"/>
        <w:spacing w:after="120" w:line="480" w:lineRule="auto"/>
        <w:jc w:val="both"/>
      </w:pPr>
      <w:r>
        <w:rPr>
          <w:b/>
          <w:bCs/>
        </w:rPr>
        <w:t>Bilateral ZUPT checks each candidate stance against movement of the opposite foot.</w:t>
      </w:r>
      <w:r>
        <w:t xml:space="preserve"> During normal walking, one foot lifts from the ground shortly after the opposite foot enters stance. The detector uses this relationship to confirm that a low-motion period represents walking rather than quiet standing, turning, or stopping. In technical terms, it accepts an ipsilateral stance candidate when a toe-off occurs on the contralateral foot within the expected time window (Arens et al. 2021). A recovery step also searches for quiet periods near unmatched opposite-foot toe-offs, allowing the detector to recover stances that a threshold alone missed. This check is particularly relevant to the slow and variable walking of older adults and people with cognitive impairment.</w:t>
      </w:r>
    </w:p>
    <w:p w14:paraId="063EFDC4" w14:textId="018B5AA3" w:rsidR="001477F4" w:rsidRDefault="00000000" w:rsidP="008E1BBB">
      <w:pPr>
        <w:pStyle w:val="BodyText"/>
        <w:spacing w:after="120" w:line="480" w:lineRule="auto"/>
        <w:jc w:val="both"/>
      </w:pPr>
      <w:r>
        <w:rPr>
          <w:b/>
          <w:bCs/>
        </w:rPr>
        <w:t>Two gaps remain in the evidence for this approach. The first is the lack of validation under cognitive load in older adults.</w:t>
      </w:r>
      <w:r>
        <w:t xml:space="preserve"> Foot</w:t>
      </w:r>
      <w:r w:rsidR="008E1BBB">
        <w:t xml:space="preserve"> </w:t>
      </w:r>
      <w:r>
        <w:t xml:space="preserve">and shank-mounted IMU validation studies typically examine single-task walking at a steady pace in healthy adults (Sijobert et al. 2015). Cognitive dual-task walking slows gait and increases stride-to-stride variability (Beauchet et al. 2005; Yogev-Seligmann et al. 2008; Hausdorff et al. 2008). Slower, more variable strides widen the range of speeds a pipeline must resolve and make mid-stance phases harder to detect. Older </w:t>
      </w:r>
      <w:r>
        <w:lastRenderedPageBreak/>
        <w:t xml:space="preserve">adults, especially those with cognitive impairment, walk more slowly and with greater variability. An IMU pipeline must therefore be validated under these conditions, not solely on steady single-task walking. One heel-mounted IMU study </w:t>
      </w:r>
      <w:r w:rsidR="0012267C">
        <w:t xml:space="preserve">recently </w:t>
      </w:r>
      <w:r>
        <w:t>assessed intra-session reliability in 101 middle-aged adults</w:t>
      </w:r>
      <w:r w:rsidR="0012267C">
        <w:t xml:space="preserve"> and found intra-session reliability but </w:t>
      </w:r>
      <w:r w:rsidR="0012267C">
        <w:t>did not validate against a criterion reference</w:t>
      </w:r>
      <w:r>
        <w:t xml:space="preserve"> (</w:t>
      </w:r>
      <w:proofErr w:type="spellStart"/>
      <w:r>
        <w:t>Boutaayamou</w:t>
      </w:r>
      <w:proofErr w:type="spellEnd"/>
      <w:r>
        <w:t xml:space="preserve"> et al. 2025). Prior validation in pathological cohorts against instrumented treadmills used fixed speeds rather than variable gait speeds (Laidig et al. 2021). Dual-task gait assessment carries clinical relevance because it supports fall-risk screening and cognitive monitoring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3999FF93" w14:textId="77777777" w:rsidR="001477F4" w:rsidRDefault="00000000" w:rsidP="008E1BBB">
      <w:pPr>
        <w:pStyle w:val="BodyText"/>
        <w:spacing w:after="120" w:line="480" w:lineRule="auto"/>
        <w:jc w:val="both"/>
      </w:pPr>
      <w:r>
        <w:rPr>
          <w:b/>
          <w:bCs/>
        </w:rPr>
        <w:t>The second gap concerns heel-mounted accuracy in older adults.</w:t>
      </w:r>
      <w:r>
        <w:t xml:space="preserve"> The only large heel-specific study examined single-stride variability at multiple shoe-collar positions, including the heel, in healthy adults (mean age 25 years) (Küderle et al. 2022). A prior study demonstrated bilateral validation in post-stroke gait (</w:t>
      </w:r>
      <m:oMath>
        <m:r>
          <w:rPr>
            <w:rFonts w:ascii="Cambria Math" w:hAnsi="Cambria Math"/>
          </w:rPr>
          <m:t>n</m:t>
        </m:r>
        <m:r>
          <m:rPr>
            <m:sty m:val="p"/>
          </m:rPr>
          <w:rPr>
            <w:rFonts w:ascii="Cambria Math" w:hAnsi="Cambria Math"/>
          </w:rPr>
          <m:t>=</m:t>
        </m:r>
        <m:r>
          <w:rPr>
            <w:rFonts w:ascii="Cambria Math" w:hAnsi="Cambria Math"/>
          </w:rPr>
          <m:t>8</m:t>
        </m:r>
      </m:oMath>
      <w:r>
        <w:t>, wearable-mounted sensors) (Arens et al. 2021). A heel-mounted bilateral ZUPT stance-detection and stride-length pipeline has not been validated against a criterion walkway in older adults walking under graded cognitive load.</w:t>
      </w:r>
    </w:p>
    <w:p w14:paraId="63EE8D28" w14:textId="77777777" w:rsidR="001477F4" w:rsidRDefault="00000000" w:rsidP="008E1BBB">
      <w:pPr>
        <w:pStyle w:val="BodyText"/>
        <w:spacing w:after="120" w:line="480" w:lineRule="auto"/>
        <w:jc w:val="both"/>
      </w:pPr>
      <w:r>
        <w:rPr>
          <w:b/>
          <w:bCs/>
        </w:rPr>
        <w:t>Our central contribution is validating two modifications to a calibration-free heel-mounted ZUPT pipeline under graded cognitive load.</w:t>
      </w:r>
      <w:r>
        <w:t xml:space="preserve">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w:t>
      </w:r>
      <w:r>
        <w:lastRenderedPageBreak/>
        <w:t>correction to standard per-stride ZUPT integration. It requires no per-participant calibration. This design tests whether low stride-length error persists beyond steady single-task walking.</w:t>
      </w:r>
    </w:p>
    <w:p w14:paraId="15008D7E" w14:textId="4EA953E8" w:rsidR="008E1BBB" w:rsidRDefault="008E1BBB">
      <w:r>
        <w:br w:type="page"/>
      </w:r>
    </w:p>
    <w:p w14:paraId="51AA20CE" w14:textId="77777777" w:rsidR="001477F4" w:rsidRDefault="00000000" w:rsidP="0012267C">
      <w:pPr>
        <w:pStyle w:val="Heading1"/>
        <w:jc w:val="both"/>
      </w:pPr>
      <w:bookmarkStart w:id="2" w:name="materials-methods"/>
      <w:bookmarkEnd w:id="1"/>
      <w:r>
        <w:lastRenderedPageBreak/>
        <w:t>Materials &amp; Methods</w:t>
      </w:r>
    </w:p>
    <w:p w14:paraId="06B9608C" w14:textId="77777777" w:rsidR="001477F4" w:rsidRDefault="00000000" w:rsidP="0012267C">
      <w:pPr>
        <w:pStyle w:val="Heading2"/>
        <w:jc w:val="both"/>
      </w:pPr>
      <w:bookmarkStart w:id="3" w:name="participants"/>
      <w:r>
        <w:t>Participants</w:t>
      </w:r>
    </w:p>
    <w:p w14:paraId="10B988F2" w14:textId="77777777" w:rsidR="001477F4" w:rsidRDefault="00000000" w:rsidP="0012267C">
      <w:pPr>
        <w:pStyle w:val="FirstParagraph"/>
        <w:spacing w:after="120" w:line="480" w:lineRule="auto"/>
        <w:jc w:val="both"/>
      </w:pPr>
      <w:r>
        <w:rPr>
          <w:b/>
          <w:bCs/>
        </w:rPr>
        <w:t>Thirty-two community-dwelling older adults completed the protocol after exclusions.</w:t>
      </w:r>
      <w:r>
        <w:t xml:space="preserve">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38C7543A" w14:textId="77777777" w:rsidR="001477F4" w:rsidRDefault="00000000" w:rsidP="0012267C">
      <w:pPr>
        <w:pStyle w:val="Heading2"/>
        <w:jc w:val="both"/>
      </w:pPr>
      <w:bookmarkStart w:id="4" w:name="instrumentation"/>
      <w:bookmarkEnd w:id="3"/>
      <w:r>
        <w:t>Instrumentation</w:t>
      </w:r>
    </w:p>
    <w:p w14:paraId="51F70445" w14:textId="77777777" w:rsidR="001477F4" w:rsidRDefault="00000000" w:rsidP="0012267C">
      <w:pPr>
        <w:pStyle w:val="FirstParagraph"/>
        <w:spacing w:after="120" w:line="480" w:lineRule="auto"/>
        <w:jc w:val="both"/>
      </w:pPr>
      <w:r>
        <w:rPr>
          <w:b/>
          <w:bCs/>
        </w:rPr>
        <w:t>Two heel-mounted IMUs and a pressure-sensitive walkway recorded each walk concurrently.</w:t>
      </w:r>
      <w:r>
        <w:t xml:space="preserve"> We attached two wireless IMUs (Opal, APDM Inc., Portland, OR) to the posterolateral heel of each shoe, adjacent to the calcaneus, using a 3D-printed housing fastened with a clip. Prior validation studies show the Opal sensor measures spatiotemporal gait parameters accurately against treadmill and instrumented-walkway references in healthy adults and older adults (Washabaugh et al. 2017; Morris et al. 2019). Each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C6BA4AF" w14:textId="77777777" w:rsidR="001477F4" w:rsidRDefault="00000000" w:rsidP="0012267C">
      <w:pPr>
        <w:pStyle w:val="BodyText"/>
        <w:spacing w:after="120" w:line="480" w:lineRule="auto"/>
        <w:jc w:val="both"/>
      </w:pPr>
      <w:r>
        <w:lastRenderedPageBreak/>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18998A58" w14:textId="77777777" w:rsidR="001477F4" w:rsidRDefault="00000000" w:rsidP="0012267C">
      <w:pPr>
        <w:pStyle w:val="Heading2"/>
        <w:jc w:val="both"/>
      </w:pPr>
      <w:bookmarkStart w:id="5" w:name="protocol"/>
      <w:bookmarkEnd w:id="4"/>
      <w:r>
        <w:t>Protocol</w:t>
      </w:r>
    </w:p>
    <w:p w14:paraId="555D115B" w14:textId="77777777" w:rsidR="001477F4" w:rsidRDefault="00000000" w:rsidP="0012267C">
      <w:pPr>
        <w:pStyle w:val="FirstParagraph"/>
        <w:spacing w:after="120" w:line="480" w:lineRule="auto"/>
        <w:jc w:val="both"/>
      </w:pPr>
      <w:r>
        <w:rPr>
          <w:b/>
          <w:bCs/>
        </w:rPr>
        <w:t>Each participant completed four walking conditions, one single-task and three graded dual-task conditions.</w:t>
      </w:r>
      <w:r>
        <w:t xml:space="preserve">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6E6FC385" w14:textId="77777777" w:rsidR="001477F4" w:rsidRDefault="00000000" w:rsidP="0012267C">
      <w:pPr>
        <w:pStyle w:val="Heading2"/>
        <w:jc w:val="both"/>
      </w:pPr>
      <w:bookmarkStart w:id="6" w:name="signal-preprocessing"/>
      <w:bookmarkEnd w:id="5"/>
      <w:r>
        <w:lastRenderedPageBreak/>
        <w:t>Signal preprocessing</w:t>
      </w:r>
    </w:p>
    <w:p w14:paraId="50ACC1FF" w14:textId="77777777" w:rsidR="001477F4" w:rsidRDefault="00000000" w:rsidP="0012267C">
      <w:pPr>
        <w:pStyle w:val="FirstParagraph"/>
        <w:spacing w:after="120" w:line="480" w:lineRule="auto"/>
        <w:jc w:val="both"/>
      </w:pPr>
      <w:r>
        <w:rPr>
          <w:b/>
          <w:bCs/>
        </w:rPr>
        <w:t>We bandpass-filtered the gyroscope signal and aligned the left-right sign convention before further processing.</w:t>
      </w:r>
      <w:r>
        <w:t xml:space="preserve">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44A8F481" w14:textId="77777777" w:rsidR="0012267C" w:rsidRPr="0012267C" w:rsidRDefault="0012267C" w:rsidP="0012267C">
      <w:pPr>
        <w:pStyle w:val="BodyText"/>
      </w:pPr>
    </w:p>
    <w:p w14:paraId="0E9B3712" w14:textId="77777777" w:rsidR="001477F4" w:rsidRDefault="00000000" w:rsidP="0012267C">
      <w:pPr>
        <w:pStyle w:val="BlockText"/>
        <w:keepNext/>
        <w:keepLines/>
        <w:jc w:val="both"/>
      </w:pPr>
      <w:r>
        <w:rPr>
          <w:b/>
          <w:bCs/>
        </w:rPr>
        <w:t xml:space="preserve">[FIGURE 1: placeholder. Label: </w:t>
      </w:r>
      <w:r>
        <w:rPr>
          <w:rStyle w:val="VerbatimChar"/>
          <w:b/>
          <w:bCs/>
        </w:rPr>
        <w:t>fig:methods</w:t>
      </w:r>
      <w:r>
        <w:rPr>
          <w:b/>
          <w:bCs/>
        </w:rPr>
        <w:t>]</w:t>
      </w:r>
    </w:p>
    <w:p w14:paraId="739C6270" w14:textId="77777777" w:rsidR="001477F4" w:rsidRDefault="00000000" w:rsidP="0012267C">
      <w:pPr>
        <w:pStyle w:val="BlockText"/>
        <w:keepLines/>
        <w:jc w:val="both"/>
        <w:rPr>
          <w:i/>
          <w:iCs/>
        </w:rPr>
      </w:pPr>
      <w:r>
        <w:rPr>
          <w:i/>
          <w:iCs/>
        </w:rPr>
        <w:t xml:space="preserve">Caption: Experimental setup and gyroscope processing. (a) Filtered sagittal-plane signals from the left (black) and right (blue) heel IMUs during one out-and-back trial. Labels mark activity phases, red bars mark off-mat intervals, and the box is expanded in panel c. (b) Heel IMUs clipped to the posterolateral shoe using 3D-printed housings during GaitRite walking. (c) Mean gyroscope signal over a heel-strike-defined gait cycle, pooled across participants and conditions. Shading shows </w:t>
      </w:r>
      <m:oMath>
        <m:r>
          <m:rPr>
            <m:sty m:val="p"/>
          </m:rPr>
          <w:rPr>
            <w:rFonts w:ascii="Cambria Math" w:hAnsi="Cambria Math"/>
          </w:rPr>
          <m:t>±</m:t>
        </m:r>
        <m:r>
          <w:rPr>
            <w:rFonts w:ascii="Cambria Math" w:hAnsi="Cambria Math"/>
          </w:rPr>
          <m:t>1</m:t>
        </m:r>
      </m:oMath>
      <w:r>
        <w:rPr>
          <w:i/>
          <w:iCs/>
        </w:rPr>
        <w:t xml:space="preserve"> SD, dashed lines mark heel strike and toe off, and blue marks swing.</w:t>
      </w:r>
    </w:p>
    <w:p w14:paraId="245942A3" w14:textId="77777777" w:rsidR="0012267C" w:rsidRPr="0012267C" w:rsidRDefault="0012267C" w:rsidP="0012267C">
      <w:pPr>
        <w:pStyle w:val="BodyText"/>
      </w:pPr>
    </w:p>
    <w:p w14:paraId="517945AB" w14:textId="77777777" w:rsidR="001477F4" w:rsidRDefault="00000000" w:rsidP="0012267C">
      <w:pPr>
        <w:pStyle w:val="Heading2"/>
        <w:jc w:val="both"/>
      </w:pPr>
      <w:bookmarkStart w:id="7" w:name="sec:events"/>
      <w:bookmarkEnd w:id="6"/>
      <w:r>
        <w:t>Gait event detection</w:t>
      </w:r>
    </w:p>
    <w:p w14:paraId="34728903" w14:textId="77777777" w:rsidR="001477F4" w:rsidRDefault="00000000" w:rsidP="0012267C">
      <w:pPr>
        <w:pStyle w:val="FirstParagraph"/>
        <w:spacing w:after="120" w:line="480" w:lineRule="auto"/>
        <w:jc w:val="both"/>
      </w:pPr>
      <w:r>
        <w:rPr>
          <w:b/>
          <w:bCs/>
        </w:rPr>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toe-off peak thresholds used 35% and 30% of the negative-peak amplitude interquartile range, respectively. Cadence scaled both thresholds. The peak threshold could not fall below 15% of the </w:t>
      </w:r>
      <w:r>
        <w:lastRenderedPageBreak/>
        <w:t>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28FF1467" w14:textId="77777777" w:rsidR="001477F4" w:rsidRDefault="00000000" w:rsidP="0012267C">
      <w:pPr>
        <w:pStyle w:val="Heading2"/>
        <w:jc w:val="both"/>
      </w:pPr>
      <w:bookmarkStart w:id="8" w:name="sec:stance"/>
      <w:bookmarkEnd w:id="7"/>
      <w:r>
        <w:t>Ipsilateral stance phase detection with contralateral validation</w:t>
      </w:r>
    </w:p>
    <w:p w14:paraId="5CBE84DD" w14:textId="77777777" w:rsidR="001477F4" w:rsidRDefault="00000000" w:rsidP="0012267C">
      <w:pPr>
        <w:pStyle w:val="FirstParagraph"/>
        <w:spacing w:after="120" w:line="480" w:lineRule="auto"/>
        <w:jc w:val="both"/>
      </w:pPr>
      <w:r>
        <w:rPr>
          <w:b/>
          <w:bCs/>
        </w:rPr>
        <w:t>Stance-phase detection runs in two steps.</w:t>
      </w:r>
      <w:r>
        <w:t xml:space="preserve">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3FBFD23" w14:textId="77777777" w:rsidR="001477F4" w:rsidRDefault="00000000" w:rsidP="0012267C">
      <w:pPr>
        <w:pStyle w:val="BodyText"/>
        <w:spacing w:after="120" w:line="480" w:lineRule="auto"/>
        <w:jc w:val="both"/>
      </w:pPr>
      <w:r>
        <w:rPr>
          <w:i/>
          <w:iCs/>
        </w:rPr>
        <w:t>Step 1. Ipsilateral low-motion detection.</w:t>
      </w:r>
      <w:r>
        <w:t xml:space="preserve"> The detector evaluated the gyroscope magnitude and accelerometer variability from the same heel sensor in a sliding 40 ms window (Skog et al. 2010; Foxlin 2005). A sample qualified as a stance candidate when both signals fell below adaptive thresholds calculated for each participant and walking condition. The gyroscope criterion identified low rotation during foot-flat contact, while the accelerometer criterion rejected brief low-rotation periods during swing. Algorithm 1 lists the thresholds, limits, and recovery window used in the analysis.</w:t>
      </w:r>
    </w:p>
    <w:p w14:paraId="452ADBF1" w14:textId="77777777" w:rsidR="001477F4" w:rsidRDefault="00000000" w:rsidP="0012267C">
      <w:pPr>
        <w:pStyle w:val="BodyText"/>
        <w:spacing w:after="120" w:line="480" w:lineRule="auto"/>
        <w:jc w:val="both"/>
      </w:pPr>
      <w:r>
        <w:rPr>
          <w:i/>
          <w:iCs/>
        </w:rPr>
        <w:lastRenderedPageBreak/>
        <w:t>Step 2. Opposite-foot confirmation.</w:t>
      </w:r>
      <w:r>
        <w:t xml:space="preserve"> The detector accepted a stance candidate when a toe-off on the opposite foot fell within 150 ms of either boundary of the candidate segment (Arens et al. 2021).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1844772F" w14:textId="77777777" w:rsidR="001477F4" w:rsidRDefault="00000000" w:rsidP="0012267C">
      <w:pPr>
        <w:pStyle w:val="BodyText"/>
        <w:spacing w:after="120" w:line="480" w:lineRule="auto"/>
        <w:jc w:val="both"/>
      </w:pPr>
      <w:r>
        <w:rPr>
          <w:i/>
          <w:iCs/>
        </w:rPr>
        <w:t>Fallback to threshold-only detection.</w:t>
      </w:r>
      <w:r>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159CF642" w14:textId="77777777" w:rsidR="001477F4" w:rsidRDefault="00000000" w:rsidP="0012267C">
      <w:pPr>
        <w:pStyle w:val="Heading2"/>
        <w:jc w:val="both"/>
      </w:pPr>
      <w:bookmarkStart w:id="9" w:name="zupt-stride-length-integration"/>
      <w:bookmarkEnd w:id="8"/>
      <w:r>
        <w:t>ZUPT stride length integration</w:t>
      </w:r>
    </w:p>
    <w:p w14:paraId="419FED96" w14:textId="77777777" w:rsidR="001477F4" w:rsidRDefault="00000000" w:rsidP="0012267C">
      <w:pPr>
        <w:pStyle w:val="FirstParagraph"/>
        <w:spacing w:after="120" w:line="480" w:lineRule="auto"/>
        <w:jc w:val="both"/>
      </w:pPr>
      <w:r>
        <w:rPr>
          <w:b/>
          <w:bCs/>
        </w:rPr>
        <w:t>We estimated stride length by double-integrating the accelerometer signal between consecutive stance midpoints.</w:t>
      </w:r>
      <w:r>
        <w:t xml:space="preserve"> During each stance phase the foot rests on the ground at zero velocity. The stance mask from Section </w:t>
      </w:r>
      <w:hyperlink w:anchor="sec:stance">
        <w:r>
          <w:rPr>
            <w:rStyle w:val="Hyperlink"/>
          </w:rPr>
          <w:t>2.6</w:t>
        </w:r>
      </w:hyperlink>
      <w:r>
        <w:t xml:space="preserve"> flags these zero-velocity intervals, which are used to correct the drift that double integration would otherwise produce (Foxlin 2005; Skog et al. 2010). We estimated gyroscope and accelerometer biases once per walking bout, defined as a run of consecutive stance phases separated by no gap longer than 3 s. The stance phase supplies the reference, because true angular rate is zero and true acceleration equals gravity. We bias-</w:t>
      </w:r>
      <w:r>
        <w:lastRenderedPageBreak/>
        <w:t>corrected the signals with these estimates before integration, removing the slow sensor offsets that would otherwise accumulate as drift.</w:t>
      </w:r>
    </w:p>
    <w:p w14:paraId="2F6A6265" w14:textId="77777777" w:rsidR="001477F4" w:rsidRDefault="00000000" w:rsidP="0012267C">
      <w:pPr>
        <w:pStyle w:val="Heading3"/>
        <w:jc w:val="both"/>
      </w:pPr>
      <w:bookmarkStart w:id="10" w:name="orientation-tracking"/>
      <w:r>
        <w:t>Orientation tracking</w:t>
      </w:r>
    </w:p>
    <w:p w14:paraId="645D942F" w14:textId="5749DDD2" w:rsidR="00036F30" w:rsidRDefault="00000000" w:rsidP="00036F30">
      <w:pPr>
        <w:pStyle w:val="FirstParagraph"/>
        <w:spacing w:after="120" w:line="480" w:lineRule="auto"/>
        <w:jc w:val="both"/>
      </w:pPr>
      <w:r>
        <w:rPr>
          <w:b/>
          <w:bCs/>
        </w:rPr>
        <w:t>We tracked sensor orientation with a Mahony attitude-and-heading reference system.</w:t>
      </w:r>
      <w:r>
        <w:t xml:space="preserve">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t>.</w:t>
      </w:r>
      <w:r w:rsidR="00036F30">
        <w:t xml:space="preserve"> </w:t>
      </w:r>
      <w:r w:rsidR="00036F30">
        <w:t>We reduced the proportional accelerometer correction gain during swing to limit contamination by dynamic acceleration. This follows the movement-gating rationale of foot-mounted filters that disable accelerometer-based orientation updates during swing</w:t>
      </w:r>
      <w:r>
        <w:t xml:space="preserve"> (</w:t>
      </w:r>
      <w:proofErr w:type="spellStart"/>
      <w:r>
        <w:t>Hannink</w:t>
      </w:r>
      <w:proofErr w:type="spellEnd"/>
      <w:r>
        <w:t xml:space="preserve"> et al. 2017).</w:t>
      </w:r>
    </w:p>
    <w:p w14:paraId="7A5EC192" w14:textId="77777777" w:rsidR="001477F4" w:rsidRDefault="00000000" w:rsidP="0012267C">
      <w:pPr>
        <w:pStyle w:val="Heading3"/>
        <w:jc w:val="both"/>
      </w:pPr>
      <w:bookmarkStart w:id="11" w:name="X2fb5b7dfecd7ae0fb648b723dd4b486fcaafee1"/>
      <w:bookmarkEnd w:id="10"/>
      <w:r>
        <w:t>Gravity removal, double integration, and stride length extraction</w:t>
      </w:r>
    </w:p>
    <w:p w14:paraId="203508A9" w14:textId="77777777" w:rsidR="001477F4" w:rsidRDefault="00000000" w:rsidP="0012267C">
      <w:pPr>
        <w:pStyle w:val="FirstParagraph"/>
        <w:spacing w:after="120" w:line="480" w:lineRule="auto"/>
        <w:jc w:val="both"/>
      </w:pPr>
      <w:r>
        <w:rPr>
          <w:b/>
          <w:bCs/>
        </w:rPr>
        <w:t>We integrated the gravity-removed acceleration twice between consecutive stance midpoints to estimate stride length.</w:t>
      </w:r>
      <w:r>
        <w:t xml:space="preserve">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stride. Each stride integrates independently with position and velocity reset at each stance midpoint, which bounds drift to a single swing phase. Stride length is the magnitude of the horizontal component of the 3D displacement between consecutive stance midpoints. We </w:t>
      </w:r>
      <w:r>
        <w:lastRenderedPageBreak/>
        <w:t>accepted strides with duration 0.4–2.0 s, length 0.3–2.5 m, and minimum gyroscope amplitude 3.0 rad/s, a low floor that excludes near-stationary segments rather than genuine strides.</w:t>
      </w:r>
    </w:p>
    <w:p w14:paraId="2D99F038" w14:textId="77777777" w:rsidR="001477F4" w:rsidRDefault="00000000" w:rsidP="0012267C">
      <w:pPr>
        <w:pStyle w:val="Heading3"/>
        <w:jc w:val="both"/>
      </w:pPr>
      <w:bookmarkStart w:id="12" w:name="retroactive-gravity-residual-correction"/>
      <w:bookmarkEnd w:id="11"/>
      <w:r>
        <w:t>Retroactive gravity-residual correction</w:t>
      </w:r>
    </w:p>
    <w:p w14:paraId="05A1705C" w14:textId="77777777" w:rsidR="001477F4" w:rsidRDefault="00000000" w:rsidP="0012267C">
      <w:pPr>
        <w:pStyle w:val="FirstParagraph"/>
        <w:spacing w:after="120" w:line="480" w:lineRule="auto"/>
        <w:jc w:val="both"/>
      </w:pPr>
      <w:r>
        <w:rPr>
          <w:b/>
          <w:bCs/>
        </w:rPr>
        <w:t>We corrected the acceleration residual that remained after orientation tracking and gravity removal.</w:t>
      </w:r>
      <w:r>
        <w:t xml:space="preserve"> The code refers to this step as bidirectional smoothing. Small orientation errors during swing leave a horizontal acceleration residual after gravity removal, which can inflate the integrated stride length (Nilsson et al. 2012; Mahony et al. 2008). The correction reduced this positive offset in the current cohort (Supplementary Table S4).</w:t>
      </w:r>
    </w:p>
    <w:p w14:paraId="1D602EFF" w14:textId="77777777" w:rsidR="001477F4" w:rsidRDefault="00000000" w:rsidP="0012267C">
      <w:pPr>
        <w:pStyle w:val="BodyText"/>
        <w:spacing w:after="120" w:line="480" w:lineRule="auto"/>
        <w:jc w:val="both"/>
      </w:pPr>
      <w:r>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0DF7C19C" w14:textId="77777777" w:rsidR="001477F4" w:rsidRDefault="00000000" w:rsidP="00036F30">
      <w:pPr>
        <w:pStyle w:val="BodyText"/>
        <w:spacing w:after="120" w:line="480" w:lineRule="auto"/>
        <w:jc w:val="both"/>
      </w:pPr>
      <m:oMathPara>
        <m:oMathParaPr>
          <m:jc m:val="center"/>
        </m:oMathParaPr>
        <m:oMath>
          <m:sSub>
            <m:sSubPr>
              <m:ctrlPr>
                <w:rPr>
                  <w:rFonts w:ascii="Cambria Math" w:hAnsi="Cambria Math"/>
                </w:rPr>
              </m:ctrlPr>
            </m:sSubPr>
            <m:e>
              <m:r>
                <m:rPr>
                  <m:sty m:val="bi"/>
                </m:rP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m:rPr>
              <m:sty m:val="bi"/>
            </m:rPr>
            <w:rPr>
              <w:rFonts w:ascii="Cambria Math" w:hAnsi="Cambria Math"/>
            </w:rPr>
            <m:t>r</m:t>
          </m:r>
        </m:oMath>
      </m:oMathPara>
    </w:p>
    <w:p w14:paraId="74CB3065" w14:textId="77777777" w:rsidR="001477F4" w:rsidRDefault="00000000" w:rsidP="00036F30">
      <w:pPr>
        <w:pStyle w:val="FirstParagraph"/>
        <w:spacing w:after="120" w:line="480" w:lineRule="auto"/>
        <w:jc w:val="both"/>
      </w:pPr>
      <w:r>
        <w:t xml:space="preserve">where </w:t>
      </w:r>
      <m:oMath>
        <m:r>
          <w:rPr>
            <w:rFonts w:ascii="Cambria Math" w:hAnsi="Cambria Math"/>
          </w:rPr>
          <m:t>t</m:t>
        </m:r>
      </m:oMath>
      <w:r>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t xml:space="preserve"> is swing duration, and </w:t>
      </w:r>
      <m:oMath>
        <m:r>
          <m:rPr>
            <m:sty m:val="bi"/>
          </m:rPr>
          <w:rPr>
            <w:rFonts w:ascii="Cambria Math" w:hAnsi="Cambria Math"/>
          </w:rPr>
          <m:t>r</m:t>
        </m:r>
      </m:oMath>
      <w:r>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320C91C5" w14:textId="77777777" w:rsidR="001477F4" w:rsidRDefault="00000000" w:rsidP="00036F30">
      <w:pPr>
        <w:pStyle w:val="Heading3"/>
        <w:jc w:val="both"/>
      </w:pPr>
      <w:bookmarkStart w:id="13" w:name="algorithm-summary"/>
      <w:bookmarkEnd w:id="12"/>
      <w:r>
        <w:lastRenderedPageBreak/>
        <w:t>Algorithm summary</w:t>
      </w:r>
    </w:p>
    <w:p w14:paraId="512210C6" w14:textId="16AB923D" w:rsidR="00036F30" w:rsidRDefault="00000000" w:rsidP="00036F30">
      <w:pPr>
        <w:pStyle w:val="FirstParagraph"/>
        <w:spacing w:after="120" w:line="480" w:lineRule="auto"/>
        <w:jc w:val="both"/>
      </w:pPr>
      <w:r>
        <w:rPr>
          <w:b/>
          <w:bCs/>
        </w:rPr>
        <w:t>Algorithm 1 summarises the complete processing sequence.</w:t>
      </w:r>
      <w:r>
        <w:t xml:space="preserv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085D5659" w14:textId="77777777" w:rsidR="00036F30" w:rsidRPr="00036F30" w:rsidRDefault="00036F30" w:rsidP="00036F30">
      <w:pPr>
        <w:pStyle w:val="BodyText"/>
      </w:pPr>
    </w:p>
    <w:p w14:paraId="05E1BF52" w14:textId="1F16B866" w:rsidR="001477F4" w:rsidRDefault="00000000">
      <w:pPr>
        <w:pStyle w:val="BlockText"/>
        <w:keepNext/>
        <w:keepLines/>
      </w:pPr>
      <w:r>
        <w:rPr>
          <w:b/>
          <w:bCs/>
        </w:rPr>
        <w:t xml:space="preserve">[ALGORITHM 1: </w:t>
      </w:r>
      <w:r w:rsidR="00036F30">
        <w:rPr>
          <w:b/>
          <w:bCs/>
        </w:rPr>
        <w:br/>
      </w:r>
      <w:r>
        <w:rPr>
          <w:b/>
          <w:bCs/>
        </w:rPr>
        <w:t>placeholder. Bilateral ZUPT stride-length estimation pseudocode]</w:t>
      </w:r>
    </w:p>
    <w:p w14:paraId="70F92D91" w14:textId="77777777" w:rsidR="00036F30" w:rsidRPr="00036F30" w:rsidRDefault="00036F30" w:rsidP="00036F30">
      <w:pPr>
        <w:pStyle w:val="BodyText"/>
      </w:pPr>
    </w:p>
    <w:p w14:paraId="6F65C01E" w14:textId="77777777" w:rsidR="001477F4" w:rsidRDefault="00000000" w:rsidP="00036F30">
      <w:pPr>
        <w:pStyle w:val="Heading2"/>
        <w:jc w:val="both"/>
      </w:pPr>
      <w:bookmarkStart w:id="14" w:name="sec:matching"/>
      <w:bookmarkEnd w:id="9"/>
      <w:bookmarkEnd w:id="13"/>
      <w:r>
        <w:t>GaitRite stride matching</w:t>
      </w:r>
    </w:p>
    <w:p w14:paraId="2D88336A" w14:textId="77777777" w:rsidR="001477F4" w:rsidRDefault="00000000" w:rsidP="00036F30">
      <w:pPr>
        <w:pStyle w:val="FirstParagraph"/>
        <w:spacing w:after="120" w:line="480" w:lineRule="auto"/>
        <w:jc w:val="both"/>
      </w:pPr>
      <w:r>
        <w:rPr>
          <w:b/>
          <w:bCs/>
        </w:rPr>
        <w:t>We paired each ZUPT stride with its GaitRite counterpart using clock alignment and stride-level checks.</w:t>
      </w:r>
      <w:r>
        <w:t xml:space="preserve">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5D292E5E" w14:textId="77777777" w:rsidR="001477F4" w:rsidRDefault="00000000" w:rsidP="00036F30">
      <w:pPr>
        <w:pStyle w:val="BodyText"/>
        <w:spacing w:after="120" w:line="480" w:lineRule="auto"/>
        <w:jc w:val="both"/>
      </w:pPr>
      <w:r>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0FE4A338" w14:textId="77777777" w:rsidR="001477F4" w:rsidRDefault="00000000" w:rsidP="00036F30">
      <w:pPr>
        <w:pStyle w:val="BodyText"/>
        <w:spacing w:after="120" w:line="480" w:lineRule="auto"/>
        <w:jc w:val="both"/>
      </w:pPr>
      <w:r>
        <w:rPr>
          <w:b/>
          <w:bCs/>
        </w:rPr>
        <w:t>The final analysis included 10,472 paired strides from 32 participants.</w:t>
      </w:r>
      <w:r>
        <w:t xml:space="preserve">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5156515E" w14:textId="77777777" w:rsidR="001477F4" w:rsidRDefault="00000000" w:rsidP="00036F30">
      <w:pPr>
        <w:pStyle w:val="Heading2"/>
        <w:jc w:val="both"/>
      </w:pPr>
      <w:bookmarkStart w:id="15" w:name="sec:outcomes"/>
      <w:bookmarkEnd w:id="14"/>
      <w:r>
        <w:t>Outcome measures and statistical analysis</w:t>
      </w:r>
    </w:p>
    <w:p w14:paraId="777C5B90" w14:textId="77777777" w:rsidR="001477F4" w:rsidRDefault="00000000" w:rsidP="00036F30">
      <w:pPr>
        <w:pStyle w:val="FirstParagraph"/>
        <w:spacing w:after="120" w:line="480" w:lineRule="auto"/>
        <w:jc w:val="both"/>
      </w:pPr>
      <w:r>
        <w:rPr>
          <w:b/>
          <w:bCs/>
        </w:rPr>
        <w:t>The primary outcome was pooled stride-level RMSE between IMU and GaitRite stride length.</w:t>
      </w:r>
      <w:r>
        <w:t xml:space="preserve"> Agreement outcomes included signed bias, SD of the error, 95% limits of agreement, MAE, ICC(2,1), and proportional bias (Bland and Altman 1986; Shrout and Fleiss 1979). We also reported the percentage of strides within 5 and 10 cm and calculated RMSE and MAE at the participant level. Event-detection outcomes were miss rate, timing bias, and RMSE against GaitRite heel strikes and toe-offs. A missed event had no IMU match within 150 ms. To assess </w:t>
      </w:r>
      <w:r>
        <w:lastRenderedPageBreak/>
        <w:t>stride-to-stride consistency, we calculated stride-length coefficient of variation for each participant and condition and compared the IMU and GaitRite values using bias, RMSE, and ICC(2,1).</w:t>
      </w:r>
    </w:p>
    <w:p w14:paraId="78D18A09" w14:textId="77777777" w:rsidR="001477F4" w:rsidRDefault="00000000" w:rsidP="00036F30">
      <w:pPr>
        <w:pStyle w:val="BodyText"/>
        <w:spacing w:after="120" w:line="480" w:lineRule="auto"/>
        <w:jc w:val="both"/>
      </w:pPr>
      <w:r>
        <w:t>We evaluated gait parameters other than stride length using RMSE, bias, and ICC(2,1).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ICC(2,1).</w:t>
      </w:r>
    </w:p>
    <w:p w14:paraId="19A97CAC" w14:textId="77777777" w:rsidR="001477F4" w:rsidRDefault="00000000" w:rsidP="00036F30">
      <w:pPr>
        <w:pStyle w:val="BodyText"/>
        <w:spacing w:after="120" w:line="480" w:lineRule="auto"/>
        <w:jc w:val="both"/>
      </w:pPr>
      <w:r>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without using the regression for participant-level inference. Participant MAE confidence intervals in Fig. 3 used 2,000 walk-cluster resamples. We ran all analyses in Python 3.13 with pingouin 0.6.1, statsmodels 0.14.6, and scipy 1.17. We </w:t>
      </w:r>
      <w:r>
        <w:lastRenderedPageBreak/>
        <w:t>selected and reported reliability and agreement measures following the Guidelines for Reporting Reliability and Agreement Studies (GRRAS) (Kottner et al. 2011).</w:t>
      </w:r>
    </w:p>
    <w:p w14:paraId="1620A0A3" w14:textId="77777777" w:rsidR="001477F4" w:rsidRDefault="00000000" w:rsidP="00036F30">
      <w:pPr>
        <w:pStyle w:val="BodyText"/>
        <w:spacing w:after="120" w:line="480" w:lineRule="auto"/>
        <w:jc w:val="both"/>
      </w:pPr>
      <w:r>
        <w:rPr>
          <w:b/>
          <w:bCs/>
        </w:rPr>
        <w:t>We assessed cohort-level accuracy with a participant-clustered bootstrap.</w:t>
      </w:r>
      <w:r>
        <w:t xml:space="preserve">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7CBF51FF" w14:textId="77777777" w:rsidR="001477F4" w:rsidRDefault="00000000" w:rsidP="00036F30">
      <w:pPr>
        <w:pStyle w:val="BodyText"/>
        <w:spacing w:after="120" w:line="480" w:lineRule="auto"/>
        <w:jc w:val="both"/>
      </w:pPr>
      <w:r>
        <w:rPr>
          <w:b/>
          <w:bCs/>
        </w:rPr>
        <w:t>We ran two sensitivity analyses.</w:t>
      </w:r>
      <w:r>
        <w:t xml:space="preserve">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ICC(2,1). These same-cohort analyses assess robustness to analysis choices but do not replace independent validation.</w:t>
      </w:r>
    </w:p>
    <w:p w14:paraId="3C4434AE" w14:textId="3DC01328" w:rsidR="00036F30" w:rsidRDefault="00036F30">
      <w:r>
        <w:br w:type="page"/>
      </w:r>
    </w:p>
    <w:p w14:paraId="52B99A19" w14:textId="77777777" w:rsidR="001477F4" w:rsidRDefault="00000000">
      <w:pPr>
        <w:pStyle w:val="Heading1"/>
      </w:pPr>
      <w:bookmarkStart w:id="16" w:name="results"/>
      <w:bookmarkEnd w:id="2"/>
      <w:bookmarkEnd w:id="15"/>
      <w:r>
        <w:lastRenderedPageBreak/>
        <w:t>Results</w:t>
      </w:r>
    </w:p>
    <w:p w14:paraId="355991AA" w14:textId="77777777" w:rsidR="001477F4" w:rsidRDefault="00000000" w:rsidP="00036F30">
      <w:pPr>
        <w:pStyle w:val="Heading2"/>
        <w:jc w:val="both"/>
      </w:pPr>
      <w:bookmarkStart w:id="17" w:name="gait-event-detection-accuracy"/>
      <w:r>
        <w:t>Gait event detection accuracy</w:t>
      </w:r>
    </w:p>
    <w:p w14:paraId="483605C4" w14:textId="77777777" w:rsidR="001477F4" w:rsidRDefault="00000000" w:rsidP="00036F30">
      <w:pPr>
        <w:pStyle w:val="FirstParagraph"/>
        <w:spacing w:after="120" w:line="480" w:lineRule="auto"/>
        <w:jc w:val="both"/>
      </w:pPr>
      <w:r>
        <w:rPr>
          <w:b/>
          <w:bCs/>
        </w:rPr>
        <w:t>The adaptive-threshold detector matched GaitRite heel strikes within 33 ms RMSE and toe-offs within 39 ms RMSE.</w:t>
      </w:r>
      <w:r>
        <w:t xml:space="preserv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2B53AD55" w14:textId="77777777" w:rsidR="00036F30" w:rsidRPr="00036F30" w:rsidRDefault="00036F30" w:rsidP="00036F30">
      <w:pPr>
        <w:pStyle w:val="BodyText"/>
      </w:pPr>
    </w:p>
    <w:p w14:paraId="5B881654" w14:textId="77777777" w:rsidR="001477F4" w:rsidRDefault="00000000" w:rsidP="00036F30">
      <w:pPr>
        <w:pStyle w:val="BlockText"/>
        <w:keepNext/>
        <w:keepLines/>
        <w:jc w:val="both"/>
      </w:pPr>
      <w:r>
        <w:rPr>
          <w:b/>
          <w:bCs/>
        </w:rPr>
        <w:t xml:space="preserve">[TABLE 1: placeholder. Label: </w:t>
      </w:r>
      <w:r>
        <w:rPr>
          <w:rStyle w:val="VerbatimChar"/>
          <w:b/>
          <w:bCs/>
        </w:rPr>
        <w:t>tab:events</w:t>
      </w:r>
      <w:r>
        <w:rPr>
          <w:b/>
          <w:bCs/>
        </w:rPr>
        <w:t>]</w:t>
      </w:r>
    </w:p>
    <w:p w14:paraId="0ECD8476" w14:textId="77777777" w:rsidR="001477F4" w:rsidRDefault="00000000" w:rsidP="00036F30">
      <w:pPr>
        <w:pStyle w:val="BlockText"/>
        <w:keepLines/>
        <w:jc w:val="both"/>
        <w:rPr>
          <w:i/>
          <w:iCs/>
        </w:rPr>
      </w:pPr>
      <w:r>
        <w:rPr>
          <w:i/>
          <w:iCs/>
        </w:rPr>
        <w:t>Caption: Adaptive-threshold gait-event accuracy. HS = heel strike; TO = toe off. Miss rate is the percentage of GaitRite events unmatched within 150 ms. Bias = mean IMU-minus-</w:t>
      </w:r>
      <w:proofErr w:type="spellStart"/>
      <w:r>
        <w:rPr>
          <w:i/>
          <w:iCs/>
        </w:rPr>
        <w:t>GaitRite</w:t>
      </w:r>
      <w:proofErr w:type="spellEnd"/>
      <w:r>
        <w:rPr>
          <w:i/>
          <w:iCs/>
        </w:rPr>
        <w:t xml:space="preserve"> timing error.</w:t>
      </w:r>
    </w:p>
    <w:p w14:paraId="630957EC" w14:textId="77777777" w:rsidR="00036F30" w:rsidRPr="00036F30" w:rsidRDefault="00036F30" w:rsidP="00036F30">
      <w:pPr>
        <w:pStyle w:val="BodyText"/>
      </w:pPr>
    </w:p>
    <w:p w14:paraId="7D5F6493" w14:textId="77777777" w:rsidR="001477F4" w:rsidRDefault="00000000" w:rsidP="00036F30">
      <w:pPr>
        <w:pStyle w:val="Heading2"/>
        <w:jc w:val="both"/>
      </w:pPr>
      <w:bookmarkStart w:id="18" w:name="Xd86e64a745c46e2bf38b636da7693d2091dbbe3"/>
      <w:bookmarkEnd w:id="17"/>
      <w:r>
        <w:t>Stance detection and event-timing comparisons</w:t>
      </w:r>
    </w:p>
    <w:p w14:paraId="4FA26711" w14:textId="77777777" w:rsidR="001477F4" w:rsidRDefault="00000000" w:rsidP="00036F30">
      <w:pPr>
        <w:pStyle w:val="FirstParagraph"/>
        <w:spacing w:after="120" w:line="480" w:lineRule="auto"/>
        <w:jc w:val="both"/>
      </w:pPr>
      <w:r>
        <w:rPr>
          <w:b/>
          <w:bCs/>
        </w:rPr>
        <w:t>Bilateral validation recovered more reference strides with similar accuracy.</w:t>
      </w:r>
      <w:r>
        <w:t xml:space="preserve"> On the GaitRite-labelled strides, bilateral validation recovered 10,472 matched pairs compared with 9,708 for threshold-only detection (Table 2). The two methods differed by 0.1 cm RMSE and both returned an ICC of 0.976.</w:t>
      </w:r>
    </w:p>
    <w:p w14:paraId="2458E732" w14:textId="77777777" w:rsidR="001477F4" w:rsidRDefault="00000000" w:rsidP="00036F30">
      <w:pPr>
        <w:pStyle w:val="BodyText"/>
        <w:spacing w:after="120" w:line="480" w:lineRule="auto"/>
        <w:jc w:val="both"/>
      </w:pPr>
      <w:r>
        <w:rPr>
          <w:b/>
          <w:bCs/>
        </w:rPr>
        <w:t>Substituting GaitRite heel-strike timing for the internal mid-stance anchor did not reduce stride-length error.</w:t>
      </w:r>
      <w:r>
        <w:t xml:space="preserve"> We re-ran the ZUPT integrator with GaitRite-derived heel-strike times as displacement endpoints on the 10,459 strides matched in both anchoring schemes. RMSE rose from 3.9 to 4.1 cm and ICC fell from 0.976 to 0.973 (Table 2).</w:t>
      </w:r>
    </w:p>
    <w:p w14:paraId="0AE09B11" w14:textId="77777777" w:rsidR="00036F30" w:rsidRDefault="00036F30" w:rsidP="00036F30">
      <w:pPr>
        <w:pStyle w:val="BodyText"/>
        <w:spacing w:after="120" w:line="480" w:lineRule="auto"/>
        <w:jc w:val="both"/>
      </w:pPr>
    </w:p>
    <w:p w14:paraId="01AA31D9" w14:textId="77777777" w:rsidR="001477F4" w:rsidRDefault="00000000">
      <w:pPr>
        <w:pStyle w:val="BlockText"/>
        <w:keepNext/>
        <w:keepLines/>
      </w:pPr>
      <w:r>
        <w:rPr>
          <w:b/>
          <w:bCs/>
        </w:rPr>
        <w:lastRenderedPageBreak/>
        <w:t xml:space="preserve">[TABLE 2: placeholder. Label: </w:t>
      </w:r>
      <w:r>
        <w:rPr>
          <w:rStyle w:val="VerbatimChar"/>
          <w:b/>
          <w:bCs/>
        </w:rPr>
        <w:t>tab:design</w:t>
      </w:r>
      <w:r>
        <w:rPr>
          <w:b/>
          <w:bCs/>
        </w:rPr>
        <w:t>]</w:t>
      </w:r>
    </w:p>
    <w:p w14:paraId="79470CA6" w14:textId="77777777" w:rsidR="001477F4" w:rsidRDefault="00000000" w:rsidP="00036F30">
      <w:pPr>
        <w:pStyle w:val="BlockText"/>
        <w:keepLines/>
        <w:jc w:val="both"/>
        <w:rPr>
          <w:i/>
          <w:iCs/>
        </w:rPr>
      </w:pPr>
      <w:r>
        <w:rPr>
          <w:i/>
          <w:iCs/>
        </w:rPr>
        <w:t xml:space="preserve">Caption: Pipeline design comparisons. The blocks compare stance detection and integration anchors on their respective shared stride sets, so </w:t>
      </w:r>
      <m:oMath>
        <m:r>
          <w:rPr>
            <w:rFonts w:ascii="Cambria Math" w:hAnsi="Cambria Math"/>
          </w:rPr>
          <m:t>N</m:t>
        </m:r>
      </m:oMath>
      <w:r>
        <w:rPr>
          <w:i/>
          <w:iCs/>
        </w:rPr>
        <w:t xml:space="preserve"> differs. All other pipeline steps were held constant. Bias = IMU minus </w:t>
      </w:r>
      <w:proofErr w:type="spellStart"/>
      <w:r>
        <w:rPr>
          <w:i/>
          <w:iCs/>
        </w:rPr>
        <w:t>GaitRite</w:t>
      </w:r>
      <w:proofErr w:type="spellEnd"/>
      <w:r>
        <w:rPr>
          <w:i/>
          <w:iCs/>
        </w:rPr>
        <w:t>.</w:t>
      </w:r>
    </w:p>
    <w:p w14:paraId="440CD60F" w14:textId="77777777" w:rsidR="00036F30" w:rsidRPr="00036F30" w:rsidRDefault="00036F30" w:rsidP="00036F30">
      <w:pPr>
        <w:pStyle w:val="BodyText"/>
        <w:jc w:val="both"/>
      </w:pPr>
    </w:p>
    <w:p w14:paraId="35BD2CB3" w14:textId="77777777" w:rsidR="001477F4" w:rsidRDefault="00000000" w:rsidP="00036F30">
      <w:pPr>
        <w:pStyle w:val="Heading2"/>
        <w:jc w:val="both"/>
      </w:pPr>
      <w:bookmarkStart w:id="19" w:name="sec:results_accuracy"/>
      <w:bookmarkEnd w:id="18"/>
      <w:r>
        <w:t>Stride length accuracy</w:t>
      </w:r>
    </w:p>
    <w:p w14:paraId="35689FBA" w14:textId="77777777" w:rsidR="001477F4" w:rsidRDefault="00000000" w:rsidP="00036F30">
      <w:pPr>
        <w:pStyle w:val="FirstParagraph"/>
        <w:spacing w:after="120" w:line="480" w:lineRule="auto"/>
        <w:jc w:val="both"/>
      </w:pPr>
      <w:r>
        <w:rPr>
          <w:b/>
          <w:bCs/>
        </w:rPr>
        <w:t>The pipeline measured stride length with 3.9 cm RMSE and 2.5 cm MAE.</w:t>
      </w:r>
      <w:r>
        <w:t xml:space="preserv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t xml:space="preserve"> cm for 87% of stride pairs and within </w:t>
      </w:r>
      <m:oMath>
        <m:r>
          <m:rPr>
            <m:sty m:val="p"/>
          </m:rPr>
          <w:rPr>
            <w:rFonts w:ascii="Cambria Math" w:hAnsi="Cambria Math"/>
          </w:rPr>
          <m:t>±</m:t>
        </m:r>
        <m:r>
          <w:rPr>
            <w:rFonts w:ascii="Cambria Math" w:hAnsi="Cambria Math"/>
          </w:rPr>
          <m:t>10</m:t>
        </m:r>
      </m:oMath>
      <w:r>
        <w:t xml:space="preserve"> cm for 97%. Proportional bias was weak (slope </w:t>
      </w:r>
      <m:oMath>
        <m:r>
          <w:rPr>
            <w:rFonts w:ascii="Cambria Math" w:hAnsi="Cambria Math"/>
          </w:rPr>
          <m:t>0.036</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t>). Relative to the mean GaitRite stride length of 1.20 m, pooled RMSE was 3.2% and MAE was 2.1%.</w:t>
      </w:r>
    </w:p>
    <w:p w14:paraId="09C46E1A" w14:textId="77777777" w:rsidR="001477F4" w:rsidRDefault="00000000" w:rsidP="00036F30">
      <w:pPr>
        <w:pStyle w:val="BodyText"/>
        <w:spacing w:after="120" w:line="480" w:lineRule="auto"/>
        <w:jc w:val="both"/>
      </w:pPr>
      <w:r>
        <w:t>Bias was positive across all four conditions and error distributions overlapped (Table 3). Participant-level MAE ranged from 1.6 to 4.7 cm, with 31 of 32 participants below 4 cm (Fig. 3). Mean per-participant RMSE was 3.8 cm and ranged from 2.1 to 7.2 cm.</w:t>
      </w:r>
    </w:p>
    <w:p w14:paraId="28E44987" w14:textId="7E686C5B" w:rsidR="00036F30" w:rsidRDefault="00000000" w:rsidP="00036F30">
      <w:pPr>
        <w:pStyle w:val="BodyText"/>
        <w:spacing w:after="120" w:line="480" w:lineRule="auto"/>
        <w:jc w:val="both"/>
      </w:pPr>
      <w:r>
        <w:t>When we disabled the retroactive gravity-residual correction on the same matched strides, pooled RMSE and bias increased (Supplementary Table S4).</w:t>
      </w:r>
    </w:p>
    <w:p w14:paraId="29C1BF33" w14:textId="77777777" w:rsidR="001477F4" w:rsidRDefault="00000000" w:rsidP="00036F30">
      <w:pPr>
        <w:pStyle w:val="BlockText"/>
        <w:keepNext/>
        <w:keepLines/>
        <w:jc w:val="both"/>
      </w:pPr>
      <w:r>
        <w:rPr>
          <w:b/>
          <w:bCs/>
        </w:rPr>
        <w:t xml:space="preserve">[TABLE 3: placeholder. Label: </w:t>
      </w:r>
      <w:r>
        <w:rPr>
          <w:rStyle w:val="VerbatimChar"/>
          <w:b/>
          <w:bCs/>
        </w:rPr>
        <w:t>tab:accuracy</w:t>
      </w:r>
      <w:r>
        <w:rPr>
          <w:b/>
          <w:bCs/>
        </w:rPr>
        <w:t>]</w:t>
      </w:r>
    </w:p>
    <w:p w14:paraId="08D0DAED" w14:textId="77777777" w:rsidR="001477F4" w:rsidRDefault="00000000" w:rsidP="00036F30">
      <w:pPr>
        <w:pStyle w:val="BlockText"/>
        <w:keepLines/>
        <w:jc w:val="both"/>
      </w:pPr>
      <w:r>
        <w:rPr>
          <w:i/>
          <w:iCs/>
        </w:rPr>
        <w:t xml:space="preserve">Caption: Bilateral ZUPT stride-length accuracy by condition. </w:t>
      </w:r>
      <m:oMath>
        <m:r>
          <w:rPr>
            <w:rFonts w:ascii="Cambria Math" w:hAnsi="Cambria Math"/>
          </w:rPr>
          <m:t>n</m:t>
        </m:r>
      </m:oMath>
      <w:r>
        <w:rPr>
          <w:i/>
          <w:iCs/>
        </w:rPr>
        <w:t xml:space="preserve"> = participants; </w:t>
      </w:r>
      <m:oMath>
        <m:r>
          <w:rPr>
            <w:rFonts w:ascii="Cambria Math" w:hAnsi="Cambria Math"/>
          </w:rPr>
          <m:t>N</m:t>
        </m:r>
      </m:oMath>
      <w:r>
        <w:rPr>
          <w:i/>
          <w:iCs/>
        </w:rPr>
        <w:t xml:space="preserve"> = matched stride pairs; bias = mean IMU-minus-GaitRite error; LoA = Bland–Altman 95% limits of agreement.</w:t>
      </w:r>
    </w:p>
    <w:p w14:paraId="0E820DF4" w14:textId="77777777" w:rsidR="00036F30" w:rsidRDefault="00036F30">
      <w:pPr>
        <w:pStyle w:val="BlockText"/>
        <w:keepNext/>
        <w:keepLines/>
        <w:rPr>
          <w:b/>
          <w:bCs/>
        </w:rPr>
      </w:pPr>
    </w:p>
    <w:p w14:paraId="4F6B6FF1" w14:textId="00D535EA" w:rsidR="001477F4" w:rsidRDefault="00000000">
      <w:pPr>
        <w:pStyle w:val="BlockText"/>
        <w:keepNext/>
        <w:keepLines/>
      </w:pPr>
      <w:r>
        <w:rPr>
          <w:b/>
          <w:bCs/>
        </w:rPr>
        <w:t xml:space="preserve">[FIGURE 2: placeholder. Label: </w:t>
      </w:r>
      <w:r>
        <w:rPr>
          <w:rStyle w:val="VerbatimChar"/>
          <w:b/>
          <w:bCs/>
        </w:rPr>
        <w:t>fig:scatter</w:t>
      </w:r>
      <w:r>
        <w:rPr>
          <w:b/>
          <w:bCs/>
        </w:rPr>
        <w:t>]</w:t>
      </w:r>
    </w:p>
    <w:p w14:paraId="67B25314" w14:textId="77777777" w:rsidR="001477F4" w:rsidRDefault="00000000">
      <w:pPr>
        <w:pStyle w:val="BlockText"/>
        <w:keepLines/>
        <w:rPr>
          <w:i/>
          <w:iCs/>
        </w:rPr>
      </w:pPr>
      <w:r>
        <w:rPr>
          <w:i/>
          <w:iCs/>
        </w:rPr>
        <w:t xml:space="preserve">Caption: Stride length agreement between IMU and GaitRite. (a) All 10,472 matched strides. The dashed line marks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Pr>
          <w:i/>
          <w:iCs/>
        </w:rPr>
        <w:t>, slope = 1.012, and ICC(2,1) = 0.976. (b) Bland–Altman plot. The red line marks mean bias (+0.003 m), dashed lines mark the 95% limits of agreement (-0.073 to +0.078 m), and the dotted line shows proportional bias (slope = 0.036).</w:t>
      </w:r>
    </w:p>
    <w:p w14:paraId="17A6E4DE" w14:textId="77777777" w:rsidR="00036F30" w:rsidRPr="00036F30" w:rsidRDefault="00036F30" w:rsidP="00036F30">
      <w:pPr>
        <w:pStyle w:val="BodyText"/>
      </w:pPr>
    </w:p>
    <w:p w14:paraId="3F2A2100" w14:textId="77777777" w:rsidR="001477F4" w:rsidRDefault="00000000">
      <w:pPr>
        <w:pStyle w:val="BlockText"/>
        <w:keepNext/>
        <w:keepLines/>
      </w:pPr>
      <w:r>
        <w:rPr>
          <w:b/>
          <w:bCs/>
        </w:rPr>
        <w:t xml:space="preserve">[FIGURE 3: placeholder. Label: </w:t>
      </w:r>
      <w:r>
        <w:rPr>
          <w:rStyle w:val="VerbatimChar"/>
          <w:b/>
          <w:bCs/>
        </w:rPr>
        <w:t>fig:subject_accuracy</w:t>
      </w:r>
      <w:r>
        <w:rPr>
          <w:b/>
          <w:bCs/>
        </w:rPr>
        <w:t>]</w:t>
      </w:r>
    </w:p>
    <w:p w14:paraId="4E40C4B5" w14:textId="77777777" w:rsidR="001477F4" w:rsidRDefault="00000000">
      <w:pPr>
        <w:pStyle w:val="BlockText"/>
        <w:keepLines/>
        <w:rPr>
          <w:i/>
          <w:iCs/>
        </w:rPr>
      </w:pPr>
      <w:r>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Pr>
          <w:i/>
          <w:iCs/>
        </w:rPr>
        <w:t>). Dots show participants sorted by MAE with 95% CIs. The solid red and dashed grey lines mark the mean (2.5 cm) and median (2.4 cm), respectively.</w:t>
      </w:r>
    </w:p>
    <w:p w14:paraId="28B79827" w14:textId="77777777" w:rsidR="00036F30" w:rsidRPr="00036F30" w:rsidRDefault="00036F30" w:rsidP="00036F30">
      <w:pPr>
        <w:pStyle w:val="BodyText"/>
      </w:pPr>
    </w:p>
    <w:p w14:paraId="25C72713" w14:textId="77777777" w:rsidR="001477F4" w:rsidRDefault="00000000" w:rsidP="00036F30">
      <w:pPr>
        <w:pStyle w:val="Heading3"/>
        <w:jc w:val="both"/>
      </w:pPr>
      <w:bookmarkStart w:id="20" w:name="X465397551c79621803eb45cea87c617818668d5"/>
      <w:r>
        <w:t>Effect of cognitive load and cognitive status on stride length accuracy</w:t>
      </w:r>
    </w:p>
    <w:p w14:paraId="6432DD24" w14:textId="77777777" w:rsidR="001477F4" w:rsidRDefault="00000000" w:rsidP="00036F30">
      <w:pPr>
        <w:pStyle w:val="FirstParagraph"/>
        <w:spacing w:after="120" w:line="480" w:lineRule="auto"/>
        <w:jc w:val="both"/>
      </w:pPr>
      <w:r>
        <w:rPr>
          <w:b/>
          <w:bCs/>
        </w:rPr>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0E5A94BC" w14:textId="77777777" w:rsidR="001477F4" w:rsidRDefault="00000000" w:rsidP="00036F3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44089DEE" w14:textId="77777777" w:rsidR="001477F4" w:rsidRDefault="00000000" w:rsidP="00036F30">
      <w:pPr>
        <w:pStyle w:val="Heading2"/>
        <w:jc w:val="both"/>
      </w:pPr>
      <w:bookmarkStart w:id="21" w:name="sec:robustness"/>
      <w:bookmarkEnd w:id="19"/>
      <w:bookmarkEnd w:id="20"/>
      <w:r>
        <w:lastRenderedPageBreak/>
        <w:t>Robustness of accuracy estimates</w:t>
      </w:r>
    </w:p>
    <w:p w14:paraId="199F7EB1" w14:textId="77777777" w:rsidR="001477F4" w:rsidRDefault="00000000" w:rsidP="00036F30">
      <w:pPr>
        <w:pStyle w:val="FirstParagraph"/>
        <w:spacing w:after="120" w:line="480" w:lineRule="auto"/>
        <w:jc w:val="both"/>
      </w:pPr>
      <w:r>
        <w:rPr>
          <w:b/>
          <w:bCs/>
        </w:rPr>
        <w:t>Participant-clustered bootstrap confidence intervals show stable cohort-level accuracy under participant resampling.</w:t>
      </w:r>
      <w:r>
        <w:t xml:space="preserve">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16CC0DDE" w14:textId="77777777" w:rsidR="001477F4" w:rsidRDefault="00000000" w:rsidP="00036F30">
      <w:pPr>
        <w:pStyle w:val="BodyText"/>
        <w:spacing w:after="120" w:line="480" w:lineRule="auto"/>
        <w:jc w:val="both"/>
      </w:pPr>
      <w:r>
        <w:rPr>
          <w:b/>
          <w:bCs/>
        </w:rPr>
        <w:t>Typical absolute error remained similar without the mismatch filter.</w:t>
      </w:r>
      <w:r>
        <w:t xml:space="preserve">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2D3CAEA7" w14:textId="77777777" w:rsidR="001477F4" w:rsidRDefault="00000000" w:rsidP="00036F30">
      <w:pPr>
        <w:pStyle w:val="Heading2"/>
        <w:jc w:val="both"/>
      </w:pPr>
      <w:bookmarkStart w:id="22" w:name="other-spatiotemporal-gait-parameters"/>
      <w:bookmarkEnd w:id="21"/>
      <w:r>
        <w:t>Other spatiotemporal gait parameters</w:t>
      </w:r>
    </w:p>
    <w:p w14:paraId="0C050E91" w14:textId="77777777" w:rsidR="001477F4" w:rsidRDefault="00000000" w:rsidP="00036F30">
      <w:pPr>
        <w:pStyle w:val="FirstParagraph"/>
        <w:spacing w:after="120" w:line="480" w:lineRule="auto"/>
        <w:jc w:val="both"/>
      </w:pPr>
      <w:r>
        <w:rPr>
          <w:b/>
          <w:bCs/>
        </w:rPr>
        <w:t>The IMU reproduced the graded gait changes caused by cognitive load.</w:t>
      </w:r>
      <w:r>
        <w:t xml:space="preserve"> GaitRite gait speed dropped 16.2% from single-task to serial 7s (</w:t>
      </w:r>
      <m:oMath>
        <m:r>
          <w:rPr>
            <w:rFonts w:ascii="Cambria Math" w:hAnsi="Cambria Math"/>
          </w:rPr>
          <m:t>1.19</m:t>
        </m:r>
      </m:oMath>
      <w:r>
        <w:t xml:space="preserve"> to </w:t>
      </w:r>
      <m:oMath>
        <m:r>
          <w:rPr>
            <w:rFonts w:ascii="Cambria Math" w:hAnsi="Cambria Math"/>
          </w:rPr>
          <m:t>0.99</m:t>
        </m:r>
      </m:oMath>
      <w:r>
        <w:t> m/s), stride time lengthened (</w:t>
      </w:r>
      <m:oMath>
        <m:r>
          <w:rPr>
            <w:rFonts w:ascii="Cambria Math" w:hAnsi="Cambria Math"/>
          </w:rPr>
          <m:t>1.09</m:t>
        </m:r>
      </m:oMath>
      <w:r>
        <w:t xml:space="preserve"> to </w:t>
      </w:r>
      <m:oMath>
        <m:r>
          <w:rPr>
            <w:rFonts w:ascii="Cambria Math" w:hAnsi="Cambria Math"/>
          </w:rPr>
          <m:t>1.22</m:t>
        </m:r>
      </m:oMath>
      <w:r>
        <w:t> s), and cadence fell (</w:t>
      </w:r>
      <m:oMath>
        <m:r>
          <w:rPr>
            <w:rFonts w:ascii="Cambria Math" w:hAnsi="Cambria Math"/>
          </w:rPr>
          <m:t>111</m:t>
        </m:r>
      </m:oMath>
      <w:r>
        <w:t xml:space="preserve"> to </w:t>
      </w:r>
      <m:oMath>
        <m:r>
          <w:rPr>
            <w:rFonts w:ascii="Cambria Math" w:hAnsi="Cambria Math"/>
          </w:rPr>
          <m:t>100</m:t>
        </m:r>
      </m:oMath>
      <w:r>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t xml:space="preserve">). IMU values tracked the reference values across all four conditions. Pooled ICC(2,1) was </w:t>
      </w:r>
      <m:oMath>
        <m:r>
          <w:rPr>
            <w:rFonts w:ascii="Cambria Math" w:hAnsi="Cambria Math"/>
          </w:rPr>
          <m:t>0.961</m:t>
        </m:r>
      </m:oMath>
      <w:r>
        <w:t xml:space="preserve"> for gait speed, </w:t>
      </w:r>
      <m:oMath>
        <m:r>
          <w:rPr>
            <w:rFonts w:ascii="Cambria Math" w:hAnsi="Cambria Math"/>
          </w:rPr>
          <m:t>0.905</m:t>
        </m:r>
      </m:oMath>
      <w:r>
        <w:t xml:space="preserve"> for stride time, and </w:t>
      </w:r>
      <m:oMath>
        <m:r>
          <w:rPr>
            <w:rFonts w:ascii="Cambria Math" w:hAnsi="Cambria Math"/>
          </w:rPr>
          <m:t>0.902</m:t>
        </m:r>
      </m:oMath>
      <w:r>
        <w:t xml:space="preserve"> for cadence.</w:t>
      </w:r>
    </w:p>
    <w:p w14:paraId="390C989C" w14:textId="77777777" w:rsidR="001477F4" w:rsidRDefault="00000000" w:rsidP="00036F30">
      <w:pPr>
        <w:pStyle w:val="BodyText"/>
        <w:spacing w:after="120" w:line="480" w:lineRule="auto"/>
        <w:jc w:val="both"/>
      </w:pPr>
      <w:r>
        <w:rPr>
          <w:b/>
          <w:bCs/>
        </w:rPr>
        <w:lastRenderedPageBreak/>
        <w:t>Stride-length variability showed only moderate pooled agreement.</w:t>
      </w:r>
      <w:r>
        <w:t xml:space="preserve"> Per-participant stride-length CV was 3.58% for the IMU and 3.08% for GaitRite. The pooled bias was +0.50 percentage points and ICC(2,1) was 0.576 (Table 4).</w:t>
      </w:r>
    </w:p>
    <w:p w14:paraId="33475A89" w14:textId="77777777" w:rsidR="001477F4" w:rsidRDefault="00000000" w:rsidP="00036F30">
      <w:pPr>
        <w:pStyle w:val="BlockText"/>
        <w:keepNext/>
        <w:keepLines/>
        <w:jc w:val="both"/>
      </w:pPr>
      <w:r>
        <w:rPr>
          <w:b/>
          <w:bCs/>
        </w:rPr>
        <w:t xml:space="preserve">[TABLE 4: placeholder. Label: </w:t>
      </w:r>
      <w:r>
        <w:rPr>
          <w:rStyle w:val="VerbatimChar"/>
          <w:b/>
          <w:bCs/>
        </w:rPr>
        <w:t>tab:spatiotemporal</w:t>
      </w:r>
      <w:r>
        <w:rPr>
          <w:b/>
          <w:bCs/>
        </w:rPr>
        <w:t>]</w:t>
      </w:r>
    </w:p>
    <w:p w14:paraId="536906A5" w14:textId="77777777" w:rsidR="001477F4" w:rsidRDefault="00000000" w:rsidP="00036F30">
      <w:pPr>
        <w:pStyle w:val="BlockText"/>
        <w:keepLines/>
        <w:jc w:val="both"/>
        <w:rPr>
          <w:i/>
          <w:iCs/>
        </w:rPr>
      </w:pPr>
      <w:r>
        <w:rPr>
          <w:i/>
          <w:iCs/>
        </w:rPr>
        <w:t>Caption: Spatiotemporal agreement by condition across 10,472 matched strides. GaitRite and IMU values are mean (SD), and bias = IMU minus GaitRite. Stride-length CV is calculated within participant and reported as the cohort mean.</w:t>
      </w:r>
    </w:p>
    <w:p w14:paraId="27542E4B" w14:textId="18EDF2F8" w:rsidR="00036F30" w:rsidRDefault="00036F30">
      <w:r>
        <w:br w:type="page"/>
      </w:r>
    </w:p>
    <w:p w14:paraId="7F30CFB7" w14:textId="77777777" w:rsidR="001477F4" w:rsidRDefault="00000000">
      <w:pPr>
        <w:pStyle w:val="Heading1"/>
      </w:pPr>
      <w:bookmarkStart w:id="23" w:name="discussion"/>
      <w:bookmarkEnd w:id="16"/>
      <w:bookmarkEnd w:id="22"/>
      <w:r>
        <w:lastRenderedPageBreak/>
        <w:t>Discussion</w:t>
      </w:r>
    </w:p>
    <w:p w14:paraId="0E9D8F47" w14:textId="77777777" w:rsidR="001477F4" w:rsidRDefault="00000000" w:rsidP="00097483">
      <w:pPr>
        <w:pStyle w:val="FirstParagraph"/>
        <w:spacing w:after="120" w:line="480" w:lineRule="auto"/>
        <w:jc w:val="both"/>
      </w:pPr>
      <w:r>
        <w:rPr>
          <w:b/>
          <w:bCs/>
        </w:rPr>
        <w:t>This validation of bilateral heel-mounted IMUs across two MoCA-defined cognitive-status groups yielded four main findings.</w:t>
      </w:r>
      <w:r>
        <w:t xml:space="preserve">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4D8E4A91" w14:textId="77777777" w:rsidR="001477F4" w:rsidRDefault="00000000" w:rsidP="00097483">
      <w:pPr>
        <w:pStyle w:val="BodyText"/>
        <w:spacing w:after="120" w:line="480" w:lineRule="auto"/>
        <w:jc w:val="both"/>
      </w:pPr>
      <w:r>
        <w:rPr>
          <w:b/>
          <w:bCs/>
        </w:rPr>
        <w:t>Our main advance is criterion validation of a practical heel-mounted system across graded cognitive load in older adults.</w:t>
      </w:r>
      <w:r>
        <w:t xml:space="preserve">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greater single-stride variability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66CF8A38" w14:textId="77777777" w:rsidR="001477F4" w:rsidRDefault="00000000" w:rsidP="00097483">
      <w:pPr>
        <w:pStyle w:val="BodyText"/>
        <w:spacing w:after="120" w:line="480" w:lineRule="auto"/>
        <w:jc w:val="both"/>
      </w:pPr>
      <w:r>
        <w:rPr>
          <w:b/>
          <w:bCs/>
        </w:rPr>
        <w:lastRenderedPageBreak/>
        <w:t>Accuracy remained stable across cognitive load, while cognitive-status results warrant further study.</w:t>
      </w:r>
      <w:r>
        <w:t xml:space="preserve"> Per-condition RMSE stayed between 3.7 and 4.0 cm even as cognitive load slowed gait by 16%. This mirrors a foot-mounted IMU validation in stroke and healthy adults that found no accuracy decrement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42F6759D" w14:textId="77777777" w:rsidR="001477F4" w:rsidRDefault="00000000" w:rsidP="00097483">
      <w:pPr>
        <w:pStyle w:val="BodyText"/>
        <w:spacing w:after="120" w:line="480" w:lineRule="auto"/>
        <w:jc w:val="both"/>
      </w:pPr>
      <w:r>
        <w:rPr>
          <w:b/>
          <w:bCs/>
        </w:rPr>
        <w:t>The immediate application is supervised gait assessment when an instrumented walkway is impractical.</w:t>
      </w:r>
      <w:r>
        <w:t xml:space="preserve">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040AD7C3" w14:textId="77777777" w:rsidR="001477F4" w:rsidRDefault="00000000" w:rsidP="00097483">
      <w:pPr>
        <w:pStyle w:val="BodyText"/>
        <w:spacing w:after="120" w:line="480" w:lineRule="auto"/>
        <w:jc w:val="both"/>
      </w:pPr>
      <w:r>
        <w:rPr>
          <w:b/>
          <w:bCs/>
        </w:rPr>
        <w:t>The design comparisons supported the retroactive correction and internal mid-stance anchor.</w:t>
      </w:r>
      <w:r>
        <w:t xml:space="preserve"> Disabling the retroactive gravity-residual correction increased bias from +0.3 to +2.2 cm and RMSE from 3.9 to 4.9 cm (Supplementary Table S4). A small horizontal acceleration can remain after gravity removal and accumulate when integrated across the stride. Correcting this residual reduced the offset without a calibration walk or reference device. Heel-strike timing </w:t>
      </w:r>
      <w:r>
        <w:lastRenderedPageBreak/>
        <w:t>stayed inside the 150 ms validation tolerance (Table 1). Replacing the internal mid-stance boundaries with GaitRite heel strikes did not improve accuracy (Table 2). Bilateral validation recovered more matched strides than threshold-only detection with similar accuracy. Its intended advantage during stops and turns will require validation outside straight walkway passes (Mariani et al. 2010; Lin et al. 2025).</w:t>
      </w:r>
    </w:p>
    <w:p w14:paraId="2F041182" w14:textId="77777777" w:rsidR="001477F4" w:rsidRDefault="00000000" w:rsidP="00097483">
      <w:pPr>
        <w:pStyle w:val="BodyText"/>
        <w:spacing w:after="120" w:line="480" w:lineRule="auto"/>
        <w:jc w:val="both"/>
      </w:pPr>
      <w:r>
        <w:rPr>
          <w:b/>
          <w:bCs/>
        </w:rPr>
        <w:t>The pipeline measured mean gait parameters more accurately than stride-to-stride variability.</w:t>
      </w:r>
      <w:r>
        <w:t xml:space="preserve"> Gait speed, stride time, and cadence produced pooled ICC values of 0.90–0.96 (Table 4), consistent with prior foot- and trunk-mounted IMU studies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14:paraId="4A206E82" w14:textId="77777777" w:rsidR="001477F4" w:rsidRDefault="00000000" w:rsidP="00097483">
      <w:pPr>
        <w:pStyle w:val="BodyText"/>
        <w:spacing w:after="120" w:line="480" w:lineRule="auto"/>
        <w:jc w:val="both"/>
      </w:pPr>
      <w:r>
        <w:rPr>
          <w:b/>
          <w:bCs/>
        </w:rPr>
        <w:t>Five design constraints limit generalisation of our results.</w:t>
      </w:r>
      <w:r>
        <w:t xml:space="preserve"> 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Third, cognitive classification relied on MoCA screening rather than formal neuropsychological assessment. The subgroup findings concern screening categories, not diagnostic discrimination </w:t>
      </w:r>
      <w:r>
        <w:lastRenderedPageBreak/>
        <w:t>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593C599A" w14:textId="77777777" w:rsidR="001477F4" w:rsidRDefault="00000000" w:rsidP="00097483">
      <w:pPr>
        <w:pStyle w:val="Heading1"/>
        <w:jc w:val="both"/>
      </w:pPr>
      <w:bookmarkStart w:id="24" w:name="conclusions"/>
      <w:bookmarkEnd w:id="23"/>
      <w:r>
        <w:t>Conclusions</w:t>
      </w:r>
    </w:p>
    <w:p w14:paraId="7B4643C1" w14:textId="77777777" w:rsidR="001477F4" w:rsidRDefault="00000000" w:rsidP="00097483">
      <w:pPr>
        <w:pStyle w:val="FirstParagraph"/>
        <w:spacing w:after="120" w:line="480" w:lineRule="auto"/>
        <w:jc w:val="both"/>
      </w:pPr>
      <w:r>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0FD2AB1A" w14:textId="256CCFE7" w:rsidR="00097483" w:rsidRDefault="00097483">
      <w:r>
        <w:br w:type="page"/>
      </w:r>
    </w:p>
    <w:p w14:paraId="51A24902" w14:textId="77777777" w:rsidR="001477F4" w:rsidRDefault="00000000" w:rsidP="00097483">
      <w:pPr>
        <w:pStyle w:val="Heading1"/>
        <w:jc w:val="both"/>
      </w:pPr>
      <w:bookmarkStart w:id="25" w:name="acknowledgements"/>
      <w:bookmarkEnd w:id="24"/>
      <w:r>
        <w:lastRenderedPageBreak/>
        <w:t>Acknowledgements</w:t>
      </w:r>
    </w:p>
    <w:p w14:paraId="59D7C258" w14:textId="77777777" w:rsidR="001477F4" w:rsidRDefault="00000000" w:rsidP="00097483">
      <w:pPr>
        <w:pStyle w:val="FirstParagraph"/>
        <w:spacing w:after="120" w:line="480" w:lineRule="auto"/>
        <w:jc w:val="both"/>
      </w:pPr>
      <w:r>
        <w:t>The authors thank the research assistants for data collection and participant coordination, and all participants for their time and involvement in this study.</w:t>
      </w:r>
    </w:p>
    <w:p w14:paraId="45478408" w14:textId="77777777" w:rsidR="001477F4" w:rsidRDefault="00000000" w:rsidP="00097483">
      <w:pPr>
        <w:pStyle w:val="Heading1"/>
        <w:jc w:val="both"/>
      </w:pPr>
      <w:bookmarkStart w:id="26" w:name="funding"/>
      <w:bookmarkEnd w:id="25"/>
      <w:r>
        <w:t>Funding</w:t>
      </w:r>
    </w:p>
    <w:p w14:paraId="63A10D7B" w14:textId="77777777" w:rsidR="001477F4" w:rsidRDefault="00000000" w:rsidP="00097483">
      <w:pPr>
        <w:pStyle w:val="FirstParagraph"/>
        <w:spacing w:after="120" w:line="480" w:lineRule="auto"/>
        <w:jc w:val="both"/>
      </w:pPr>
      <w:r>
        <w:t>The authors received no specific funding for this work.</w:t>
      </w:r>
    </w:p>
    <w:p w14:paraId="348F1B13" w14:textId="77777777" w:rsidR="001477F4" w:rsidRDefault="00000000" w:rsidP="00097483">
      <w:pPr>
        <w:pStyle w:val="Heading1"/>
        <w:jc w:val="both"/>
      </w:pPr>
      <w:bookmarkStart w:id="27" w:name="competing-interests"/>
      <w:bookmarkEnd w:id="26"/>
      <w:r>
        <w:t>Competing Interests</w:t>
      </w:r>
    </w:p>
    <w:p w14:paraId="710E7740" w14:textId="77777777" w:rsidR="001477F4" w:rsidRDefault="00000000" w:rsidP="00097483">
      <w:pPr>
        <w:pStyle w:val="FirstParagraph"/>
        <w:spacing w:after="120" w:line="480" w:lineRule="auto"/>
        <w:jc w:val="both"/>
      </w:pPr>
      <w:r>
        <w:t>The authors declare that they have no competing interests.</w:t>
      </w:r>
    </w:p>
    <w:p w14:paraId="5301B9CD" w14:textId="77777777" w:rsidR="001477F4" w:rsidRDefault="00000000" w:rsidP="00097483">
      <w:pPr>
        <w:pStyle w:val="Heading1"/>
        <w:jc w:val="both"/>
      </w:pPr>
      <w:bookmarkStart w:id="28" w:name="author-contributions"/>
      <w:bookmarkEnd w:id="27"/>
      <w:r>
        <w:t>Author Contributions</w:t>
      </w:r>
    </w:p>
    <w:p w14:paraId="0441C85D" w14:textId="77777777" w:rsidR="001477F4" w:rsidRDefault="00000000" w:rsidP="00097483">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6AB057EC" w14:textId="77777777" w:rsidR="001477F4" w:rsidRDefault="00000000" w:rsidP="00097483">
      <w:pPr>
        <w:pStyle w:val="BodyText"/>
        <w:spacing w:after="120" w:line="480" w:lineRule="auto"/>
        <w:jc w:val="both"/>
      </w:pPr>
      <w:r>
        <w:rPr>
          <w:b/>
          <w:bCs/>
        </w:rPr>
        <w:t>Markus von Hacht</w:t>
      </w:r>
      <w:r>
        <w:t xml:space="preserve"> contributed to data collection, reviewed and edited drafts of the article, and approved the final draft.</w:t>
      </w:r>
    </w:p>
    <w:p w14:paraId="0A29E529" w14:textId="77777777" w:rsidR="001477F4" w:rsidRDefault="00000000" w:rsidP="00097483">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04490301" w14:textId="77777777" w:rsidR="001477F4" w:rsidRDefault="00000000" w:rsidP="00097483">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0004FE2E" w14:textId="77777777" w:rsidR="001477F4" w:rsidRDefault="00000000" w:rsidP="00097483">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5A97E2C2" w14:textId="77777777" w:rsidR="001477F4" w:rsidRDefault="00000000" w:rsidP="00097483">
      <w:pPr>
        <w:pStyle w:val="BodyText"/>
        <w:spacing w:after="120" w:line="480" w:lineRule="auto"/>
        <w:jc w:val="both"/>
      </w:pPr>
      <w:r>
        <w:rPr>
          <w:b/>
          <w:bCs/>
        </w:rPr>
        <w:lastRenderedPageBreak/>
        <w:t>Sandra Hundza</w:t>
      </w:r>
      <w:r>
        <w:t xml:space="preserve"> conceived and designed the experiments, supervised data collection, supervised the analysis, reviewed and edited drafts of the article, and approved the final draft.</w:t>
      </w:r>
    </w:p>
    <w:p w14:paraId="0FE3013A" w14:textId="77777777" w:rsidR="001477F4" w:rsidRDefault="00000000" w:rsidP="00097483">
      <w:pPr>
        <w:pStyle w:val="Heading1"/>
        <w:jc w:val="both"/>
      </w:pPr>
      <w:bookmarkStart w:id="29" w:name="human-ethics"/>
      <w:bookmarkEnd w:id="28"/>
      <w:r>
        <w:t>Human Ethics</w:t>
      </w:r>
    </w:p>
    <w:p w14:paraId="12B2B9C2" w14:textId="77777777" w:rsidR="001477F4" w:rsidRDefault="00000000" w:rsidP="00097483">
      <w:pPr>
        <w:pStyle w:val="FirstParagraph"/>
        <w:spacing w:after="120" w:line="480" w:lineRule="auto"/>
        <w:jc w:val="both"/>
      </w:pPr>
      <w:r>
        <w:t>The University of Victoria Human Research Ethics Board approved this study (protocol H22-00451). All participants provided written informed consent.</w:t>
      </w:r>
    </w:p>
    <w:p w14:paraId="6D8CF6FB" w14:textId="77777777" w:rsidR="001477F4" w:rsidRDefault="00000000" w:rsidP="00097483">
      <w:pPr>
        <w:pStyle w:val="Heading1"/>
        <w:jc w:val="both"/>
      </w:pPr>
      <w:bookmarkStart w:id="30" w:name="data-availability"/>
      <w:bookmarkEnd w:id="29"/>
      <w:r>
        <w:t>Data Availability</w:t>
      </w:r>
    </w:p>
    <w:p w14:paraId="53EBDB2A" w14:textId="77777777" w:rsidR="001477F4" w:rsidRDefault="00000000" w:rsidP="00097483">
      <w:pPr>
        <w:pStyle w:val="FirstParagraph"/>
        <w:spacing w:after="120" w:line="480" w:lineRule="auto"/>
        <w:jc w:val="both"/>
      </w:pPr>
      <w:r>
        <w:t>We will deposit the de-identified stride-level data and the analysis code that support the findings of this study in a public repository (Zenodo) and release them under an open licence upon publication. We will additionally host the analysis code on GitHub, and we will provide a persistent DOI and the repository URL at that time.</w:t>
      </w:r>
    </w:p>
    <w:p w14:paraId="5EB90EC1" w14:textId="3D341B99" w:rsidR="00097483" w:rsidRDefault="00097483">
      <w:r>
        <w:br w:type="page"/>
      </w:r>
    </w:p>
    <w:p w14:paraId="1A43CE53" w14:textId="77777777" w:rsidR="001477F4" w:rsidRDefault="00000000">
      <w:pPr>
        <w:pStyle w:val="Heading1"/>
      </w:pPr>
      <w:bookmarkStart w:id="31" w:name="bibliography"/>
      <w:bookmarkEnd w:id="30"/>
      <w:r>
        <w:lastRenderedPageBreak/>
        <w:t>References</w:t>
      </w:r>
    </w:p>
    <w:p w14:paraId="364F077E" w14:textId="77777777" w:rsidR="001477F4" w:rsidRDefault="00000000">
      <w:pPr>
        <w:pStyle w:val="Bibliography"/>
        <w:spacing w:after="120" w:line="480" w:lineRule="auto"/>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8">
        <w:r>
          <w:rPr>
            <w:rStyle w:val="Hyperlink"/>
          </w:rPr>
          <w:t>https://doi.org/10.1017/wtc.2020.11</w:t>
        </w:r>
      </w:hyperlink>
      <w:r>
        <w:t>.</w:t>
      </w:r>
    </w:p>
    <w:p w14:paraId="10DF2F3D" w14:textId="77777777" w:rsidR="001477F4" w:rsidRDefault="00000000">
      <w:pPr>
        <w:pStyle w:val="Bibliography"/>
        <w:spacing w:after="120" w:line="480" w:lineRule="auto"/>
      </w:pPr>
      <w:bookmarkStart w:id="34" w:name="ref-Beauchet2005"/>
      <w:bookmarkEnd w:id="32"/>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9">
        <w:r>
          <w:rPr>
            <w:rStyle w:val="Hyperlink"/>
          </w:rPr>
          <w:t>https://doi.org/10.1186/1743-0003-2-26</w:t>
        </w:r>
      </w:hyperlink>
      <w:r>
        <w:t>.</w:t>
      </w:r>
    </w:p>
    <w:p w14:paraId="5D23EF0E" w14:textId="77777777" w:rsidR="001477F4" w:rsidRDefault="00000000">
      <w:pPr>
        <w:pStyle w:val="Bibliography"/>
        <w:spacing w:after="120" w:line="480" w:lineRule="auto"/>
      </w:pPr>
      <w:bookmarkStart w:id="35" w:name="ref-Bland1986"/>
      <w:bookmarkEnd w:id="34"/>
      <w:r>
        <w:t xml:space="preserve">Bland, J. Martin, and Douglas G. Altman. 1986. “Statistical Methods for Assessing Agreement Between Two Methods of Clinical Measurement.” </w:t>
      </w:r>
      <w:r>
        <w:rPr>
          <w:i/>
          <w:iCs/>
        </w:rPr>
        <w:t>The Lancet</w:t>
      </w:r>
      <w:r>
        <w:t xml:space="preserve"> 327 (8476): 307–10. </w:t>
      </w:r>
      <w:hyperlink r:id="rId10">
        <w:r>
          <w:rPr>
            <w:rStyle w:val="Hyperlink"/>
          </w:rPr>
          <w:t>https://doi.org/10.1016/S0140-6736(86)90837-8</w:t>
        </w:r>
      </w:hyperlink>
      <w:r>
        <w:t>.</w:t>
      </w:r>
    </w:p>
    <w:p w14:paraId="4696D942" w14:textId="77777777" w:rsidR="001477F4" w:rsidRDefault="00000000">
      <w:pPr>
        <w:pStyle w:val="Bibliography"/>
        <w:spacing w:after="120" w:line="480" w:lineRule="auto"/>
      </w:pPr>
      <w:bookmarkStart w:id="36" w:name="ref-Boutaayamou2025"/>
      <w:bookmarkEnd w:id="35"/>
      <w:r>
        <w:t xml:space="preserve">Boutaayamou, Mohamed, Doriane Pelzer, Cédric Schwartz, et al. 2025. “Toward Convenient and Accurate IMU-Based Gait Analysis.” </w:t>
      </w:r>
      <w:r>
        <w:rPr>
          <w:i/>
          <w:iCs/>
        </w:rPr>
        <w:t>Sensors</w:t>
      </w:r>
      <w:r>
        <w:t xml:space="preserve"> 25 (4): 1267. </w:t>
      </w:r>
      <w:hyperlink r:id="rId11">
        <w:r>
          <w:rPr>
            <w:rStyle w:val="Hyperlink"/>
          </w:rPr>
          <w:t>https://doi.org/10.3390/s25041267</w:t>
        </w:r>
      </w:hyperlink>
      <w:r>
        <w:t>.</w:t>
      </w:r>
    </w:p>
    <w:p w14:paraId="24198568" w14:textId="77777777" w:rsidR="001477F4" w:rsidRDefault="00000000">
      <w:pPr>
        <w:pStyle w:val="Bibliography"/>
        <w:spacing w:after="120" w:line="480" w:lineRule="auto"/>
      </w:pPr>
      <w:bookmarkStart w:id="37" w:name="ref-Bytyci2021"/>
      <w:bookmarkEnd w:id="36"/>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2">
        <w:r>
          <w:rPr>
            <w:rStyle w:val="Hyperlink"/>
          </w:rPr>
          <w:t>https://doi.org/10.3390/jcm10122670</w:t>
        </w:r>
      </w:hyperlink>
      <w:r>
        <w:t>.</w:t>
      </w:r>
    </w:p>
    <w:p w14:paraId="021FA4C0" w14:textId="77777777" w:rsidR="001477F4" w:rsidRDefault="00000000">
      <w:pPr>
        <w:pStyle w:val="Bibliography"/>
        <w:spacing w:after="120" w:line="480" w:lineRule="auto"/>
      </w:pPr>
      <w:bookmarkStart w:id="38" w:name="ref-Commandeur2018"/>
      <w:bookmarkEnd w:id="37"/>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3">
        <w:r>
          <w:rPr>
            <w:rStyle w:val="Hyperlink"/>
          </w:rPr>
          <w:t>https://doi.org/10.1016/j.gaitpost.2018.08.020</w:t>
        </w:r>
      </w:hyperlink>
      <w:r>
        <w:t>.</w:t>
      </w:r>
    </w:p>
    <w:p w14:paraId="1300158C" w14:textId="77777777" w:rsidR="001477F4" w:rsidRDefault="00000000">
      <w:pPr>
        <w:pStyle w:val="Bibliography"/>
        <w:spacing w:after="120" w:line="480" w:lineRule="auto"/>
      </w:pPr>
      <w:bookmarkStart w:id="39" w:name="ref-Ensink2023"/>
      <w:bookmarkEnd w:id="38"/>
      <w:r>
        <w:lastRenderedPageBreak/>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4">
        <w:r>
          <w:rPr>
            <w:rStyle w:val="Hyperlink"/>
          </w:rPr>
          <w:t>https://doi.org/10.7717/peerj.16641</w:t>
        </w:r>
      </w:hyperlink>
      <w:r>
        <w:t>.</w:t>
      </w:r>
    </w:p>
    <w:p w14:paraId="05474D65" w14:textId="77777777" w:rsidR="001477F4" w:rsidRDefault="00000000">
      <w:pPr>
        <w:pStyle w:val="Bibliography"/>
        <w:spacing w:after="120" w:line="480" w:lineRule="auto"/>
      </w:pPr>
      <w:bookmarkStart w:id="40" w:name="ref-Foxlin2005"/>
      <w:bookmarkEnd w:id="39"/>
      <w:r>
        <w:t xml:space="preserve">Foxlin, Eric. 2005. “Pedestrian Tracking with Shoe-Mounted Inertial Sensors.” </w:t>
      </w:r>
      <w:r>
        <w:rPr>
          <w:i/>
          <w:iCs/>
        </w:rPr>
        <w:t>IEEE Computer Graphics and Applications</w:t>
      </w:r>
      <w:r>
        <w:t xml:space="preserve"> 25 (6): 38–46. </w:t>
      </w:r>
      <w:hyperlink r:id="rId15">
        <w:r>
          <w:rPr>
            <w:rStyle w:val="Hyperlink"/>
          </w:rPr>
          <w:t>https://doi.org/10.1109/MCG.2005.140</w:t>
        </w:r>
      </w:hyperlink>
      <w:r>
        <w:t>.</w:t>
      </w:r>
    </w:p>
    <w:p w14:paraId="1B70C248" w14:textId="77777777" w:rsidR="001477F4" w:rsidRDefault="00000000">
      <w:pPr>
        <w:pStyle w:val="Bibliography"/>
        <w:spacing w:after="120" w:line="480" w:lineRule="auto"/>
      </w:pPr>
      <w:bookmarkStart w:id="41" w:name="ref-Greene2010"/>
      <w:bookmarkEnd w:id="40"/>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6">
        <w:r>
          <w:rPr>
            <w:rStyle w:val="Hyperlink"/>
          </w:rPr>
          <w:t>https://doi.org/10.1007/s11517-010-0692-0</w:t>
        </w:r>
      </w:hyperlink>
      <w:r>
        <w:t>.</w:t>
      </w:r>
    </w:p>
    <w:p w14:paraId="4FDA0C89" w14:textId="77777777" w:rsidR="001477F4" w:rsidRDefault="00000000">
      <w:pPr>
        <w:pStyle w:val="Bibliography"/>
        <w:spacing w:after="120" w:line="480" w:lineRule="auto"/>
      </w:pPr>
      <w:bookmarkStart w:id="42" w:name="ref-Hannink2017"/>
      <w:bookmarkEnd w:id="41"/>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17">
        <w:r>
          <w:rPr>
            <w:rStyle w:val="Hyperlink"/>
          </w:rPr>
          <w:t>https://doi.org/10.3390/s17091940</w:t>
        </w:r>
      </w:hyperlink>
      <w:r>
        <w:t>.</w:t>
      </w:r>
    </w:p>
    <w:p w14:paraId="7B1FCF70" w14:textId="77777777" w:rsidR="001477F4" w:rsidRDefault="00000000">
      <w:pPr>
        <w:pStyle w:val="Bibliography"/>
        <w:spacing w:after="120" w:line="480" w:lineRule="auto"/>
      </w:pPr>
      <w:bookmarkStart w:id="43" w:name="ref-Hausdorff2008"/>
      <w:bookmarkEnd w:id="42"/>
      <w:r>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18">
        <w:r>
          <w:rPr>
            <w:rStyle w:val="Hyperlink"/>
          </w:rPr>
          <w:t>https://doi.org/10.1093/gerona/63.12.1335</w:t>
        </w:r>
      </w:hyperlink>
      <w:r>
        <w:t>.</w:t>
      </w:r>
    </w:p>
    <w:p w14:paraId="0E65FC91" w14:textId="77777777" w:rsidR="001477F4" w:rsidRDefault="00000000">
      <w:pPr>
        <w:pStyle w:val="Bibliography"/>
        <w:spacing w:after="120" w:line="480" w:lineRule="auto"/>
      </w:pPr>
      <w:bookmarkStart w:id="44" w:name="ref-Kottner2011"/>
      <w:bookmarkEnd w:id="43"/>
      <w:r>
        <w:t xml:space="preserve">Kottner, Jan, Laurent Audigé, Stig Brorson, et al. 2011. “Guidelines for Reporting Reliability and Agreement Studies (GRRAS) Were Proposed.” </w:t>
      </w:r>
      <w:r>
        <w:rPr>
          <w:i/>
          <w:iCs/>
        </w:rPr>
        <w:t>Journal of Clinical Epidemiology</w:t>
      </w:r>
      <w:r>
        <w:t xml:space="preserve"> 64 (1): 96–106. </w:t>
      </w:r>
      <w:hyperlink r:id="rId19">
        <w:r>
          <w:rPr>
            <w:rStyle w:val="Hyperlink"/>
          </w:rPr>
          <w:t>https://doi.org/10.1016/j.jclinepi.2010.03.002</w:t>
        </w:r>
      </w:hyperlink>
      <w:r>
        <w:t>.</w:t>
      </w:r>
    </w:p>
    <w:p w14:paraId="79970A55" w14:textId="77777777" w:rsidR="001477F4" w:rsidRDefault="00000000">
      <w:pPr>
        <w:pStyle w:val="Bibliography"/>
        <w:spacing w:after="120" w:line="480" w:lineRule="auto"/>
      </w:pPr>
      <w:bookmarkStart w:id="45" w:name="ref-Kuderle2022"/>
      <w:bookmarkEnd w:id="44"/>
      <w:r>
        <w:t xml:space="preserve">Küderle, Arne, Nils Roth, Jovana Zlatanovic, Markus Zrenner, Bjoern Eskofier, and Felix Kluge. 2022. “The Placement of Foot-Mounted IMU Sensors Does Affect the Accuracy of Spatial </w:t>
      </w:r>
      <w:r>
        <w:lastRenderedPageBreak/>
        <w:t xml:space="preserve">Parameters During Regular Walking.” </w:t>
      </w:r>
      <w:r>
        <w:rPr>
          <w:i/>
          <w:iCs/>
        </w:rPr>
        <w:t>PLOS ONE</w:t>
      </w:r>
      <w:r>
        <w:t xml:space="preserve"> 17 (6): e0269567. </w:t>
      </w:r>
      <w:hyperlink r:id="rId20">
        <w:r>
          <w:rPr>
            <w:rStyle w:val="Hyperlink"/>
          </w:rPr>
          <w:t>https://doi.org/10.1371/journal.pone.0269567</w:t>
        </w:r>
      </w:hyperlink>
      <w:r>
        <w:t>.</w:t>
      </w:r>
    </w:p>
    <w:p w14:paraId="32745FE8" w14:textId="77777777" w:rsidR="001477F4" w:rsidRDefault="00000000">
      <w:pPr>
        <w:pStyle w:val="Bibliography"/>
        <w:spacing w:after="120" w:line="480" w:lineRule="auto"/>
      </w:pPr>
      <w:bookmarkStart w:id="46" w:name="ref-Laidig2021"/>
      <w:bookmarkEnd w:id="45"/>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1">
        <w:r>
          <w:rPr>
            <w:rStyle w:val="Hyperlink"/>
          </w:rPr>
          <w:t>https://doi.org/10.3389/fdgth.2021.736418</w:t>
        </w:r>
      </w:hyperlink>
      <w:r>
        <w:t>.</w:t>
      </w:r>
    </w:p>
    <w:p w14:paraId="359018E1" w14:textId="77777777" w:rsidR="001477F4" w:rsidRDefault="00000000">
      <w:pPr>
        <w:pStyle w:val="Bibliography"/>
        <w:spacing w:after="120" w:line="480" w:lineRule="auto"/>
      </w:pPr>
      <w:bookmarkStart w:id="47" w:name="ref-Li2023"/>
      <w:bookmarkEnd w:id="46"/>
      <w:r>
        <w:t xml:space="preserve">Li, Hongpeng, Haichao Liu, Zhen Li, et al. 2023. “Adaptive Threshold-Based ZUPT for Single IMU-Enabled Wearable Pedestrian Localization.” </w:t>
      </w:r>
      <w:r>
        <w:rPr>
          <w:i/>
          <w:iCs/>
        </w:rPr>
        <w:t>IEEE Internet of Things Journal</w:t>
      </w:r>
      <w:r>
        <w:t xml:space="preserve"> 10 (13): 11749–60. </w:t>
      </w:r>
      <w:hyperlink r:id="rId22">
        <w:r>
          <w:rPr>
            <w:rStyle w:val="Hyperlink"/>
          </w:rPr>
          <w:t>https://doi.org/10.1109/JIOT.2023.3243296</w:t>
        </w:r>
      </w:hyperlink>
      <w:r>
        <w:t>.</w:t>
      </w:r>
    </w:p>
    <w:p w14:paraId="74174228" w14:textId="77777777" w:rsidR="001477F4" w:rsidRDefault="00000000">
      <w:pPr>
        <w:pStyle w:val="Bibliography"/>
        <w:spacing w:after="120" w:line="480" w:lineRule="auto"/>
      </w:pPr>
      <w:bookmarkStart w:id="48" w:name="ref-Lin2025"/>
      <w:bookmarkEnd w:id="47"/>
      <w:r>
        <w:t xml:space="preserve">Lin, Sheng, Kerrie Evans, Dean Hartley, et al. 2025. “A Review of Gait Analysis Using Gyroscopes and Inertial Measurement Units.” </w:t>
      </w:r>
      <w:r>
        <w:rPr>
          <w:i/>
          <w:iCs/>
        </w:rPr>
        <w:t>Sensors</w:t>
      </w:r>
      <w:r>
        <w:t xml:space="preserve"> 25 (11): 3481. </w:t>
      </w:r>
      <w:hyperlink r:id="rId23">
        <w:r>
          <w:rPr>
            <w:rStyle w:val="Hyperlink"/>
          </w:rPr>
          <w:t>https://doi.org/10.3390/s25113481</w:t>
        </w:r>
      </w:hyperlink>
      <w:r>
        <w:t>.</w:t>
      </w:r>
    </w:p>
    <w:p w14:paraId="3B51F13E" w14:textId="77777777" w:rsidR="001477F4" w:rsidRDefault="00000000">
      <w:pPr>
        <w:pStyle w:val="Bibliography"/>
        <w:spacing w:after="120" w:line="480" w:lineRule="auto"/>
      </w:pPr>
      <w:bookmarkStart w:id="49" w:name="ref-Luo2024"/>
      <w:bookmarkEnd w:id="48"/>
      <w:r>
        <w:t xml:space="preserve">Luo, Baiqing, Zhengtao Wang, Dongmei Wang, Li Chen, and Xin Ma. 2024. “Algorithm for Gait Parameters Estimation Based on Heel-Mounted Inertial Sensors.” </w:t>
      </w:r>
      <w:r>
        <w:rPr>
          <w:i/>
          <w:iCs/>
        </w:rPr>
        <w:t>IEEE Sensors Journal</w:t>
      </w:r>
      <w:r>
        <w:t xml:space="preserve"> 24 (15): 24723–36. </w:t>
      </w:r>
      <w:hyperlink r:id="rId24">
        <w:r>
          <w:rPr>
            <w:rStyle w:val="Hyperlink"/>
          </w:rPr>
          <w:t>https://doi.org/10.1109/JSEN.2024.3410402</w:t>
        </w:r>
      </w:hyperlink>
      <w:r>
        <w:t>.</w:t>
      </w:r>
    </w:p>
    <w:p w14:paraId="51A0A2FA" w14:textId="77777777" w:rsidR="001477F4" w:rsidRDefault="00000000">
      <w:pPr>
        <w:pStyle w:val="Bibliography"/>
        <w:spacing w:after="120" w:line="480" w:lineRule="auto"/>
      </w:pPr>
      <w:bookmarkStart w:id="50" w:name="ref-Mahony2008"/>
      <w:bookmarkEnd w:id="49"/>
      <w:r>
        <w:t xml:space="preserve">Mahony, Robert, Tarek Hamel, and Jean-Michel Pflimlin. 2008. “Nonlinear Complementary Filters on the Special Orthogonal Group.” </w:t>
      </w:r>
      <w:r>
        <w:rPr>
          <w:i/>
          <w:iCs/>
        </w:rPr>
        <w:t>IEEE Transactions on Automatic Control</w:t>
      </w:r>
      <w:r>
        <w:t xml:space="preserve"> 53 (5): 1203–18. </w:t>
      </w:r>
      <w:hyperlink r:id="rId25">
        <w:r>
          <w:rPr>
            <w:rStyle w:val="Hyperlink"/>
          </w:rPr>
          <w:t>https://doi.org/10.1109/TAC.2008.923738</w:t>
        </w:r>
      </w:hyperlink>
      <w:r>
        <w:t>.</w:t>
      </w:r>
    </w:p>
    <w:p w14:paraId="1A99274A" w14:textId="77777777" w:rsidR="001477F4" w:rsidRDefault="00000000">
      <w:pPr>
        <w:pStyle w:val="Bibliography"/>
        <w:spacing w:after="120" w:line="480" w:lineRule="auto"/>
      </w:pPr>
      <w:bookmarkStart w:id="51" w:name="ref-Maki1997"/>
      <w:bookmarkEnd w:id="50"/>
      <w:r>
        <w:t xml:space="preserve">Maki, Brian E. 1997. “Gait Changes in Older Adults: Predictors of Falls or Indicators of Fear?” </w:t>
      </w:r>
      <w:r>
        <w:rPr>
          <w:i/>
          <w:iCs/>
        </w:rPr>
        <w:t>Journal of the American Geriatrics Society</w:t>
      </w:r>
      <w:r>
        <w:t xml:space="preserve"> 45 (3): 313–20. </w:t>
      </w:r>
      <w:hyperlink r:id="rId26">
        <w:r>
          <w:rPr>
            <w:rStyle w:val="Hyperlink"/>
          </w:rPr>
          <w:t>https://doi.org/10.1111/j.1532-5415.1997.tb00946.x</w:t>
        </w:r>
      </w:hyperlink>
      <w:r>
        <w:t>.</w:t>
      </w:r>
    </w:p>
    <w:p w14:paraId="00850CE4" w14:textId="77777777" w:rsidR="001477F4" w:rsidRDefault="00000000">
      <w:pPr>
        <w:pStyle w:val="Bibliography"/>
        <w:spacing w:after="120" w:line="480" w:lineRule="auto"/>
      </w:pPr>
      <w:bookmarkStart w:id="52" w:name="ref-Mariani2010"/>
      <w:bookmarkEnd w:id="51"/>
      <w:r>
        <w:t>Mariani, Bénédicte, Constanze Hoskovec, Stéphane Rochat, Christophe Büla, Julien Penders, and Kamiar Aminian. 2010. “3D Gait Assessment in Young and Elderly Subjects Using Foot-</w:t>
      </w:r>
      <w:r>
        <w:lastRenderedPageBreak/>
        <w:t xml:space="preserve">Worn Inertial Sensors.” </w:t>
      </w:r>
      <w:r>
        <w:rPr>
          <w:i/>
          <w:iCs/>
        </w:rPr>
        <w:t>Journal of Biomechanics</w:t>
      </w:r>
      <w:r>
        <w:t xml:space="preserve"> 43 (15): 2999–3006. </w:t>
      </w:r>
      <w:hyperlink r:id="rId27">
        <w:r>
          <w:rPr>
            <w:rStyle w:val="Hyperlink"/>
          </w:rPr>
          <w:t>https://doi.org/10.1016/j.jbiomech.2010.07.003</w:t>
        </w:r>
      </w:hyperlink>
      <w:r>
        <w:t>.</w:t>
      </w:r>
    </w:p>
    <w:p w14:paraId="0B4C337D" w14:textId="77777777" w:rsidR="001477F4" w:rsidRDefault="00000000">
      <w:pPr>
        <w:pStyle w:val="Bibliography"/>
        <w:spacing w:after="120" w:line="480" w:lineRule="auto"/>
      </w:pPr>
      <w:bookmarkStart w:id="53" w:name="ref-Montero-Odasso2012"/>
      <w:bookmarkEnd w:id="52"/>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28">
        <w:r>
          <w:rPr>
            <w:rStyle w:val="Hyperlink"/>
          </w:rPr>
          <w:t>https://doi.org/10.1111/j.1532-5415.2012.04209.x</w:t>
        </w:r>
      </w:hyperlink>
      <w:r>
        <w:t>.</w:t>
      </w:r>
    </w:p>
    <w:p w14:paraId="055FFFC8" w14:textId="77777777" w:rsidR="001477F4" w:rsidRDefault="00000000">
      <w:pPr>
        <w:pStyle w:val="Bibliography"/>
        <w:spacing w:after="120" w:line="480" w:lineRule="auto"/>
      </w:pPr>
      <w:bookmarkStart w:id="54" w:name="ref-Morris2019"/>
      <w:bookmarkEnd w:id="53"/>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29">
        <w:r>
          <w:rPr>
            <w:rStyle w:val="Hyperlink"/>
          </w:rPr>
          <w:t>https://doi.org/10.1088/1361-6579/ab4023</w:t>
        </w:r>
      </w:hyperlink>
      <w:r>
        <w:t>.</w:t>
      </w:r>
    </w:p>
    <w:p w14:paraId="4EE45191" w14:textId="77777777" w:rsidR="001477F4" w:rsidRDefault="00000000">
      <w:pPr>
        <w:pStyle w:val="Bibliography"/>
        <w:spacing w:after="120" w:line="480" w:lineRule="auto"/>
      </w:pPr>
      <w:bookmarkStart w:id="55" w:name="ref-Nasreddine2005"/>
      <w:bookmarkEnd w:id="54"/>
      <w:r>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0">
        <w:r>
          <w:rPr>
            <w:rStyle w:val="Hyperlink"/>
          </w:rPr>
          <w:t>https://doi.org/10.1111/j.1532-5415.2005.53221.x</w:t>
        </w:r>
      </w:hyperlink>
      <w:r>
        <w:t>.</w:t>
      </w:r>
    </w:p>
    <w:p w14:paraId="281A08D2" w14:textId="77777777" w:rsidR="001477F4" w:rsidRDefault="00000000">
      <w:pPr>
        <w:pStyle w:val="Bibliography"/>
        <w:spacing w:after="120" w:line="480" w:lineRule="auto"/>
      </w:pPr>
      <w:bookmarkStart w:id="56" w:name="ref-Nilsson2012"/>
      <w:bookmarkEnd w:id="55"/>
      <w:r>
        <w:t xml:space="preserve">Nilsson, John-Olof, Isaac Skog, Peter Händel, and K. V. S. Hari. 2012. “Foot-Mounted INS for Everybody—an Open-Source Embedded Implementation.” </w:t>
      </w:r>
      <w:r>
        <w:rPr>
          <w:i/>
          <w:iCs/>
        </w:rPr>
        <w:t>Proceedings of the IEEE/ION Position, Location and Navigation Symposium</w:t>
      </w:r>
      <w:r>
        <w:t xml:space="preserve">, 140–45. </w:t>
      </w:r>
      <w:hyperlink r:id="rId31">
        <w:r>
          <w:rPr>
            <w:rStyle w:val="Hyperlink"/>
          </w:rPr>
          <w:t>https://doi.org/10.1109/PLANS.2012.6236875</w:t>
        </w:r>
      </w:hyperlink>
      <w:r>
        <w:t>.</w:t>
      </w:r>
    </w:p>
    <w:p w14:paraId="09D13A0F" w14:textId="77777777" w:rsidR="001477F4" w:rsidRDefault="00000000">
      <w:pPr>
        <w:pStyle w:val="Bibliography"/>
        <w:spacing w:after="120" w:line="480" w:lineRule="auto"/>
      </w:pPr>
      <w:bookmarkStart w:id="57" w:name="ref-Rampp2015"/>
      <w:bookmarkEnd w:id="56"/>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2">
        <w:r>
          <w:rPr>
            <w:rStyle w:val="Hyperlink"/>
          </w:rPr>
          <w:t>https://doi.org/10.1109/TBME.2014.2368211</w:t>
        </w:r>
      </w:hyperlink>
      <w:r>
        <w:t>.</w:t>
      </w:r>
    </w:p>
    <w:p w14:paraId="3AACF5CA" w14:textId="77777777" w:rsidR="001477F4" w:rsidRDefault="00000000">
      <w:pPr>
        <w:pStyle w:val="Bibliography"/>
        <w:spacing w:after="120" w:line="480" w:lineRule="auto"/>
      </w:pPr>
      <w:bookmarkStart w:id="58" w:name="ref-Salarian2004"/>
      <w:bookmarkEnd w:id="57"/>
      <w:r>
        <w:lastRenderedPageBreak/>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3">
        <w:r>
          <w:rPr>
            <w:rStyle w:val="Hyperlink"/>
          </w:rPr>
          <w:t>https://doi.org/10.1109/TBME.2004.827933</w:t>
        </w:r>
      </w:hyperlink>
      <w:r>
        <w:t>.</w:t>
      </w:r>
    </w:p>
    <w:p w14:paraId="185E23E5" w14:textId="77777777" w:rsidR="001477F4" w:rsidRDefault="00000000">
      <w:pPr>
        <w:pStyle w:val="Bibliography"/>
        <w:spacing w:after="120" w:line="480" w:lineRule="auto"/>
      </w:pPr>
      <w:bookmarkStart w:id="59" w:name="ref-Shrout1979"/>
      <w:bookmarkEnd w:id="58"/>
      <w:r>
        <w:t xml:space="preserve">Shrout, Patrick E., and Joseph L. Fleiss. 1979. “Intraclass Correlations: Uses in Assessing Rater Reliability.” </w:t>
      </w:r>
      <w:r>
        <w:rPr>
          <w:i/>
          <w:iCs/>
        </w:rPr>
        <w:t>Psychological Bulletin</w:t>
      </w:r>
      <w:r>
        <w:t xml:space="preserve"> 86 (2): 420–28. </w:t>
      </w:r>
      <w:hyperlink r:id="rId34">
        <w:r>
          <w:rPr>
            <w:rStyle w:val="Hyperlink"/>
          </w:rPr>
          <w:t>https://doi.org/10.1037/0033-2909.86.2.420</w:t>
        </w:r>
      </w:hyperlink>
      <w:r>
        <w:t>.</w:t>
      </w:r>
    </w:p>
    <w:p w14:paraId="6E93D60A" w14:textId="77777777" w:rsidR="001477F4" w:rsidRDefault="00000000">
      <w:pPr>
        <w:pStyle w:val="Bibliography"/>
        <w:spacing w:after="120" w:line="480" w:lineRule="auto"/>
      </w:pPr>
      <w:bookmarkStart w:id="60" w:name="ref-Sijobert2015"/>
      <w:bookmarkEnd w:id="59"/>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5">
        <w:r>
          <w:rPr>
            <w:rStyle w:val="Hyperlink"/>
          </w:rPr>
          <w:t>https://doi.org/10.4236/health.2015.76084</w:t>
        </w:r>
      </w:hyperlink>
      <w:r>
        <w:t>.</w:t>
      </w:r>
    </w:p>
    <w:p w14:paraId="38873345" w14:textId="77777777" w:rsidR="001477F4" w:rsidRDefault="00000000">
      <w:pPr>
        <w:pStyle w:val="Bibliography"/>
        <w:spacing w:after="120" w:line="480" w:lineRule="auto"/>
      </w:pPr>
      <w:bookmarkStart w:id="61" w:name="ref-Skog2010"/>
      <w:bookmarkEnd w:id="60"/>
      <w:r>
        <w:t xml:space="preserve">Skog, Isaac, Peter Händel, John-Olof Nilsson, and Jouni Rantakokko. 2010. “Zero-Velocity Detection—an Algorithm Evaluation.” </w:t>
      </w:r>
      <w:r>
        <w:rPr>
          <w:i/>
          <w:iCs/>
        </w:rPr>
        <w:t>IEEE Transactions on Biomedical Engineering</w:t>
      </w:r>
      <w:r>
        <w:t xml:space="preserve"> 57 (11): 2657–66. </w:t>
      </w:r>
      <w:hyperlink r:id="rId36">
        <w:r>
          <w:rPr>
            <w:rStyle w:val="Hyperlink"/>
          </w:rPr>
          <w:t>https://doi.org/10.1109/TBME.2010.2060723</w:t>
        </w:r>
      </w:hyperlink>
      <w:r>
        <w:t>.</w:t>
      </w:r>
    </w:p>
    <w:p w14:paraId="35C6BEA6" w14:textId="77777777" w:rsidR="001477F4" w:rsidRDefault="00000000">
      <w:pPr>
        <w:pStyle w:val="Bibliography"/>
        <w:spacing w:after="120" w:line="480" w:lineRule="auto"/>
      </w:pPr>
      <w:bookmarkStart w:id="62" w:name="ref-Springer2006"/>
      <w:bookmarkEnd w:id="61"/>
      <w:r>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7">
        <w:r>
          <w:rPr>
            <w:rStyle w:val="Hyperlink"/>
          </w:rPr>
          <w:t>https://doi.org/10.1002/mds.20848</w:t>
        </w:r>
      </w:hyperlink>
      <w:r>
        <w:t>.</w:t>
      </w:r>
    </w:p>
    <w:p w14:paraId="248CC551" w14:textId="77777777" w:rsidR="001477F4" w:rsidRDefault="00000000">
      <w:pPr>
        <w:pStyle w:val="Bibliography"/>
        <w:spacing w:after="120" w:line="480" w:lineRule="auto"/>
      </w:pPr>
      <w:bookmarkStart w:id="63" w:name="ref-Trojaniello2014"/>
      <w:bookmarkEnd w:id="62"/>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38">
        <w:r>
          <w:rPr>
            <w:rStyle w:val="Hyperlink"/>
          </w:rPr>
          <w:t>https://doi.org/10.1186/1743-0003-11-152</w:t>
        </w:r>
      </w:hyperlink>
      <w:r>
        <w:t>.</w:t>
      </w:r>
    </w:p>
    <w:p w14:paraId="477A7431" w14:textId="77777777" w:rsidR="001477F4" w:rsidRDefault="00000000">
      <w:pPr>
        <w:pStyle w:val="Bibliography"/>
        <w:spacing w:after="120" w:line="480" w:lineRule="auto"/>
      </w:pPr>
      <w:bookmarkStart w:id="64" w:name="ref-Verghese2009"/>
      <w:bookmarkEnd w:id="63"/>
      <w:r>
        <w:lastRenderedPageBreak/>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39">
        <w:r>
          <w:rPr>
            <w:rStyle w:val="Hyperlink"/>
          </w:rPr>
          <w:t>https://doi.org/10.1093/gerona/glp033</w:t>
        </w:r>
      </w:hyperlink>
      <w:r>
        <w:t>.</w:t>
      </w:r>
    </w:p>
    <w:p w14:paraId="3FC84561" w14:textId="77777777" w:rsidR="001477F4" w:rsidRDefault="00000000">
      <w:pPr>
        <w:pStyle w:val="Bibliography"/>
        <w:spacing w:after="120" w:line="480" w:lineRule="auto"/>
      </w:pPr>
      <w:bookmarkStart w:id="65" w:name="ref-Wahlstrom2020"/>
      <w:bookmarkEnd w:id="64"/>
      <w:r>
        <w:t xml:space="preserve">Wahlström, Johan, and Isaac Skog. 2021. “Fifteen Years of Progress at Zero Velocity: A Review.” </w:t>
      </w:r>
      <w:r>
        <w:rPr>
          <w:i/>
          <w:iCs/>
        </w:rPr>
        <w:t>IEEE Sensors Journal</w:t>
      </w:r>
      <w:r>
        <w:t xml:space="preserve"> 21 (2): 1139–51. </w:t>
      </w:r>
      <w:hyperlink r:id="rId40">
        <w:r>
          <w:rPr>
            <w:rStyle w:val="Hyperlink"/>
          </w:rPr>
          <w:t>https://doi.org/10.1109/JSEN.2020.3018880</w:t>
        </w:r>
      </w:hyperlink>
      <w:r>
        <w:t>.</w:t>
      </w:r>
    </w:p>
    <w:p w14:paraId="011A8251" w14:textId="77777777" w:rsidR="001477F4" w:rsidRDefault="00000000">
      <w:pPr>
        <w:pStyle w:val="Bibliography"/>
        <w:spacing w:after="120" w:line="480" w:lineRule="auto"/>
      </w:pPr>
      <w:bookmarkStart w:id="66" w:name="ref-Washabaugh2017"/>
      <w:bookmarkEnd w:id="65"/>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1">
        <w:r>
          <w:rPr>
            <w:rStyle w:val="Hyperlink"/>
          </w:rPr>
          <w:t>https://doi.org/10.1016/j.gaitpost.2017.04.013</w:t>
        </w:r>
      </w:hyperlink>
      <w:r>
        <w:t>.</w:t>
      </w:r>
    </w:p>
    <w:p w14:paraId="71061C5D" w14:textId="77777777" w:rsidR="001477F4" w:rsidRDefault="00000000">
      <w:pPr>
        <w:pStyle w:val="Bibliography"/>
        <w:spacing w:after="120" w:line="480" w:lineRule="auto"/>
      </w:pPr>
      <w:bookmarkStart w:id="67" w:name="ref-Webster2005"/>
      <w:bookmarkEnd w:id="66"/>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2">
        <w:r>
          <w:rPr>
            <w:rStyle w:val="Hyperlink"/>
          </w:rPr>
          <w:t>https://doi.org/10.1016/j.gaitpost.2004.10.005</w:t>
        </w:r>
      </w:hyperlink>
      <w:r>
        <w:t>.</w:t>
      </w:r>
    </w:p>
    <w:p w14:paraId="127B0BCF" w14:textId="77777777" w:rsidR="001477F4" w:rsidRDefault="00000000">
      <w:pPr>
        <w:pStyle w:val="Bibliography"/>
        <w:spacing w:after="120" w:line="480" w:lineRule="auto"/>
      </w:pPr>
      <w:bookmarkStart w:id="68" w:name="ref-Yogev-Seligmann2008"/>
      <w:bookmarkEnd w:id="67"/>
      <w:r>
        <w:t xml:space="preserve">Yogev-Seligmann, Galit, Jeffrey M. Hausdorff, and Nir Giladi. 2008. “The Role of Executive Function and Attention in Gait.” </w:t>
      </w:r>
      <w:r>
        <w:rPr>
          <w:i/>
          <w:iCs/>
        </w:rPr>
        <w:t>Movement Disorders</w:t>
      </w:r>
      <w:r>
        <w:t xml:space="preserve"> 23 (3): 329–42. </w:t>
      </w:r>
      <w:hyperlink r:id="rId43">
        <w:r>
          <w:rPr>
            <w:rStyle w:val="Hyperlink"/>
          </w:rPr>
          <w:t>https://doi.org/10.1002/mds.21720</w:t>
        </w:r>
      </w:hyperlink>
      <w:r>
        <w:t>.</w:t>
      </w:r>
      <w:bookmarkEnd w:id="31"/>
      <w:bookmarkEnd w:id="33"/>
      <w:bookmarkEnd w:id="68"/>
    </w:p>
    <w:sectPr w:rsidR="001477F4">
      <w:footerReference w:type="default" r:id="rId44"/>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DDBAEB" w14:textId="77777777" w:rsidR="00063C0E" w:rsidRDefault="00063C0E">
      <w:pPr>
        <w:spacing w:after="0"/>
      </w:pPr>
      <w:r>
        <w:separator/>
      </w:r>
    </w:p>
  </w:endnote>
  <w:endnote w:type="continuationSeparator" w:id="0">
    <w:p w14:paraId="6F03978D" w14:textId="77777777" w:rsidR="00063C0E" w:rsidRDefault="00063C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50805" w14:textId="77777777" w:rsidR="001477F4" w:rsidRDefault="00000000">
    <w:pPr>
      <w:suppressLineNumbers/>
      <w:jc w:val="right"/>
    </w:pPr>
    <w:r>
      <w:fldChar w:fldCharType="begin"/>
    </w:r>
    <w:r>
      <w:instrText xml:space="preserve"> PAGE </w:instrText>
    </w:r>
    <w:r w:rsidR="008E1BBB">
      <w:fldChar w:fldCharType="separate"/>
    </w:r>
    <w:r w:rsidR="008E1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30AC02" w14:textId="77777777" w:rsidR="00063C0E" w:rsidRDefault="00063C0E">
      <w:pPr>
        <w:spacing w:after="0"/>
      </w:pPr>
      <w:r>
        <w:separator/>
      </w:r>
    </w:p>
  </w:footnote>
  <w:footnote w:type="continuationSeparator" w:id="0">
    <w:p w14:paraId="45AC9E46" w14:textId="77777777" w:rsidR="00063C0E" w:rsidRDefault="00063C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865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1181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7F4"/>
    <w:rsid w:val="00036F30"/>
    <w:rsid w:val="00063C0E"/>
    <w:rsid w:val="00097483"/>
    <w:rsid w:val="0012267C"/>
    <w:rsid w:val="001477F4"/>
    <w:rsid w:val="008E1BBB"/>
    <w:rsid w:val="00EC74C9"/>
    <w:rsid w:val="00EE4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2A775"/>
  <w15:docId w15:val="{868CC8BC-7BB5-6740-857A-BD64B073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E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aitpost.2018.08.020" TargetMode="External"/><Relationship Id="rId18" Type="http://schemas.openxmlformats.org/officeDocument/2006/relationships/hyperlink" Target="https://doi.org/10.1093/gerona/63.12.1335" TargetMode="External"/><Relationship Id="rId26" Type="http://schemas.openxmlformats.org/officeDocument/2006/relationships/hyperlink" Target="https://doi.org/10.1111/j.1532-5415.1997.tb00946.x" TargetMode="External"/><Relationship Id="rId39" Type="http://schemas.openxmlformats.org/officeDocument/2006/relationships/hyperlink" Target="https://doi.org/10.1093/gerona/glp033" TargetMode="External"/><Relationship Id="rId21" Type="http://schemas.openxmlformats.org/officeDocument/2006/relationships/hyperlink" Target="https://doi.org/10.3389/fdgth.2021.736418" TargetMode="External"/><Relationship Id="rId34" Type="http://schemas.openxmlformats.org/officeDocument/2006/relationships/hyperlink" Target="https://doi.org/10.1037/0033-2909.86.2.420" TargetMode="External"/><Relationship Id="rId42" Type="http://schemas.openxmlformats.org/officeDocument/2006/relationships/hyperlink" Target="https://doi.org/10.1016/j.gaitpost.2004.10.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517-010-0692-0" TargetMode="External"/><Relationship Id="rId29" Type="http://schemas.openxmlformats.org/officeDocument/2006/relationships/hyperlink" Target="https://doi.org/10.1088/1361-6579/ab4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5041267" TargetMode="External"/><Relationship Id="rId24" Type="http://schemas.openxmlformats.org/officeDocument/2006/relationships/hyperlink" Target="https://doi.org/10.1109/JSEN.2024.3410402" TargetMode="External"/><Relationship Id="rId32" Type="http://schemas.openxmlformats.org/officeDocument/2006/relationships/hyperlink" Target="https://doi.org/10.1109/TBME.2014.2368211" TargetMode="External"/><Relationship Id="rId37" Type="http://schemas.openxmlformats.org/officeDocument/2006/relationships/hyperlink" Target="https://doi.org/10.1002/mds.20848" TargetMode="External"/><Relationship Id="rId40" Type="http://schemas.openxmlformats.org/officeDocument/2006/relationships/hyperlink" Target="https://doi.org/10.1109/JSEN.2020.301888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MCG.2005.140" TargetMode="External"/><Relationship Id="rId23" Type="http://schemas.openxmlformats.org/officeDocument/2006/relationships/hyperlink" Target="https://doi.org/10.3390/s25113481" TargetMode="External"/><Relationship Id="rId28" Type="http://schemas.openxmlformats.org/officeDocument/2006/relationships/hyperlink" Target="https://doi.org/10.1111/j.1532-5415.2012.04209.x" TargetMode="External"/><Relationship Id="rId36" Type="http://schemas.openxmlformats.org/officeDocument/2006/relationships/hyperlink" Target="https://doi.org/10.1109/TBME.2010.2060723" TargetMode="External"/><Relationship Id="rId10" Type="http://schemas.openxmlformats.org/officeDocument/2006/relationships/hyperlink" Target="https://doi.org/10.1016/S0140-6736(86)90837-8" TargetMode="External"/><Relationship Id="rId19" Type="http://schemas.openxmlformats.org/officeDocument/2006/relationships/hyperlink" Target="https://doi.org/10.1016/j.jclinepi.2010.03.002" TargetMode="External"/><Relationship Id="rId31" Type="http://schemas.openxmlformats.org/officeDocument/2006/relationships/hyperlink" Target="https://doi.org/10.1109/PLANS.2012.623687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86/1743-0003-2-26" TargetMode="External"/><Relationship Id="rId14" Type="http://schemas.openxmlformats.org/officeDocument/2006/relationships/hyperlink" Target="https://doi.org/10.7717/peerj.16641" TargetMode="External"/><Relationship Id="rId22" Type="http://schemas.openxmlformats.org/officeDocument/2006/relationships/hyperlink" Target="https://doi.org/10.1109/JIOT.2023.3243296" TargetMode="External"/><Relationship Id="rId27" Type="http://schemas.openxmlformats.org/officeDocument/2006/relationships/hyperlink" Target="https://doi.org/10.1016/j.jbiomech.2010.07.003" TargetMode="External"/><Relationship Id="rId30" Type="http://schemas.openxmlformats.org/officeDocument/2006/relationships/hyperlink" Target="https://doi.org/10.1111/j.1532-5415.2005.53221.x" TargetMode="External"/><Relationship Id="rId35" Type="http://schemas.openxmlformats.org/officeDocument/2006/relationships/hyperlink" Target="https://doi.org/10.4236/health.2015.76084" TargetMode="External"/><Relationship Id="rId43" Type="http://schemas.openxmlformats.org/officeDocument/2006/relationships/hyperlink" Target="https://doi.org/10.1002/mds.21720" TargetMode="External"/><Relationship Id="rId8" Type="http://schemas.openxmlformats.org/officeDocument/2006/relationships/hyperlink" Target="https://doi.org/10.1017/wtc.2020.11" TargetMode="External"/><Relationship Id="rId3" Type="http://schemas.openxmlformats.org/officeDocument/2006/relationships/styles" Target="styles.xml"/><Relationship Id="rId12" Type="http://schemas.openxmlformats.org/officeDocument/2006/relationships/hyperlink" Target="https://doi.org/10.3390/jcm10122670" TargetMode="External"/><Relationship Id="rId17" Type="http://schemas.openxmlformats.org/officeDocument/2006/relationships/hyperlink" Target="https://doi.org/10.3390/s17091940" TargetMode="External"/><Relationship Id="rId25" Type="http://schemas.openxmlformats.org/officeDocument/2006/relationships/hyperlink" Target="https://doi.org/10.1109/TAC.2008.923738" TargetMode="External"/><Relationship Id="rId33" Type="http://schemas.openxmlformats.org/officeDocument/2006/relationships/hyperlink" Target="https://doi.org/10.1109/TBME.2004.827933" TargetMode="External"/><Relationship Id="rId38" Type="http://schemas.openxmlformats.org/officeDocument/2006/relationships/hyperlink" Target="https://doi.org/10.1186/1743-0003-11-152" TargetMode="External"/><Relationship Id="rId46" Type="http://schemas.openxmlformats.org/officeDocument/2006/relationships/theme" Target="theme/theme1.xml"/><Relationship Id="rId20" Type="http://schemas.openxmlformats.org/officeDocument/2006/relationships/hyperlink" Target="https://doi.org/10.1371/journal.pone.0269567" TargetMode="External"/><Relationship Id="rId41" Type="http://schemas.openxmlformats.org/officeDocument/2006/relationships/hyperlink" Target="https://doi.org/10.1016/j.gaitpost.2017.04.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9CE4-6C7B-7640-AFC2-BBE28626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Pages>
  <Words>8381</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Criterion validity of heel-mounted inertial sensors for stride-length estimation during single- and dual-task walking in older adults with and without cognitive impairment</vt:lpstr>
    </vt:vector>
  </TitlesOfParts>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3</cp:revision>
  <dcterms:created xsi:type="dcterms:W3CDTF">2026-08-25T14:02:00Z</dcterms:created>
  <dcterms:modified xsi:type="dcterms:W3CDTF">2026-08-26T16:09:00Z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reference-section-title">
    <vt:lpwstr>References</vt:lpwstr>
  </property>
</Properties>
</file>