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81: Map Non-LLM Applicable Dimensions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User Story #74 — Determine Applicability of Dimensions for Non-LLMs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Satyam Shekhar  |  Sprint 2  |  February 2026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Contextual Auto-Response Messaging System — Faculty Team 9</w:t>
      </w:r>
    </w:p>
    <w:p>
      <w:pPr>
        <w:pBdr>
          <w:bottom w:val="single" w:color="2E75B6" w:sz="6" w:space="1"/>
        </w:pBdr>
        <w:spacing w:before="0" w:after="300"/>
      </w:pPr>
    </w:p>
    <w:p>
      <w:pPr>
        <w:pStyle w:val="Heading1"/>
      </w:pPr>
      <w:r>
        <w:t xml:space="preserve">1. Objective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This task reviews existing team findings from Tasks #77 (Shreya Prakash — Literature Review on LLM vs Rule-Based Evaluation Capabilities) and #78 (Uma — Evaluation Capability Matrix) to identify and document only the dimensions where rule-based evaluation methods are viable for assessing auto-response quality. Each dimension is included or excluded with explicit justification grounded in the prior team research.</w:t>
      </w:r>
    </w:p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>The output serves as the non-LLM-specific counterpart to Task #75 (LLM applicability), and together they form the evaluation dimension split that underpins the hybrid feedback loop architecture established in Task #78.</w:t>
      </w:r>
    </w:p>
    <w:p>
      <w:pPr>
        <w:pStyle w:val="Heading1"/>
      </w:pPr>
      <w:r>
        <w:t xml:space="preserve">2. Source Material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This analysis is derived from two completed Sprint 2 tasks: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Task #77 — Literature Review on LLM vs Rule-Based Evaluation Capabilities (Shreya Prakash, February 17, 2026): Analysis of 25+ sources establishing which dimensions each evaluator type can detect, with evidence from academic and industry literature.</w:t>
      </w:r>
    </w:p>
    <w:p>
      <w:pPr>
        <w:pStyle w:val="ListParagraph"/>
        <w:numPr>
          <w:ilvl w:val="0"/>
          <w:numId w:val="2"/>
        </w:numPr>
        <w:spacing w:before="60" w:after="200"/>
      </w:pPr>
      <w:r>
        <w:rPr>
          <w:rFonts w:ascii="Arial" w:cs="Arial" w:eastAsia="Arial" w:hAnsi="Arial"/>
          <w:sz w:val="20"/>
          <w:szCs w:val="20"/>
        </w:rPr>
        <w:t xml:space="preserve">Task #78 — Evaluation Capability Matrix (Uma): A structured 21-dimension comparison matrix with capability ratings, measurement methods, and a 3-layer hybrid framework recommendation.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From 21 total dimensions assessed across these tasks, the following analysis filters to only those where rule-based methods score MODERATE or above.</w:t>
      </w:r>
    </w:p>
    <w:p>
      <w:pPr>
        <w:pStyle w:val="Heading1"/>
      </w:pPr>
      <w:r>
        <w:t xml:space="preserve">3. Included Dimensions — Rule-Based Viable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The following 8 dimensions meet the inclusion threshold (MODERATE capability or above) for rule-based evaluation in the auto-response messaging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8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for Inclusion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Length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PERFECT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Word/character 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 counting, 100% deterministic — no semantic understanding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Format Compliance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PERFECT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Regex / schema validation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Exact structure matching; verifiable without language comprehension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Keyword Presence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PERFECT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Regex pattern matching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Fast, cheap, and reliable for detecting required or forbidden terms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PERFECT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comparison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Fully deterministic; suitable for structured or templated responses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Privacy / PII 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Regex (SSN / email / phone)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Known PII patterns are well-defined; regex outperforms LLMs for reliability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Structural Elements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Regex / DOM parsing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Presence/absence checks require no language comprehension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Safety / Toxicity (Basic)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Keyword blocklist filter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Catches explicit terms reliably; context-dependent cases escalate to LLM layer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Instruction Following (Basic)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Checklist / template matching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 for simple, explicit instructions; complex instructions require LLM</w:t>
            </w:r>
          </w:p>
        </w:tc>
      </w:tr>
    </w:tbl>
    <w:p>
      <w:pPr>
        <w:spacing w:before="0" w:after="300"/>
      </w:pPr>
    </w:p>
    <w:p>
      <w:pPr>
        <w:pStyle w:val="Heading1"/>
      </w:pPr>
      <w:r>
        <w:t xml:space="preserve">4. Excluded Dimensions — Rule-Based Not Viable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The following 11 dimensions are excluded because rule-based methods score WEAK or below, or are irrelevant to the auto-response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Tone / Appropriateness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emotional and contextual understanding — beyond pattern matching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Helpfulness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Fully subjective; depends on sender role, urgency, and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Needs language comprehension to assess readability and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Empathy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Emotional understanding cannot be captured by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Appropriateness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Cultural and situational judgment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Relevance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WEAK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 query-response alignment requires NLP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Coherence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WEAK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Logical flow assessment across sentences requires NLP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WEAK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Context-aware gap detection cannot be rule-based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Factuality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external knowledge base; neither rule-based nor LLM alone sufficient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Bias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LLMs themselves struggle with this — rule-based methods have no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Code Syntax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EXCELLENT*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Technically viable but irrelevant to auto-response messaging domain</w:t>
            </w:r>
          </w:p>
        </w:tc>
      </w:tr>
    </w:tbl>
    <w:p>
      <w:pPr>
        <w:spacing w:before="0" w:after="300"/>
      </w:pPr>
    </w:p>
    <w:p>
      <w:pPr>
        <w:pStyle w:val="Heading1"/>
      </w:pPr>
      <w:r>
        <w:t xml:space="preserve">5. Auto-Response Specific Considerations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>Two dimensions require special handling when applied to the auto-response messaging context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Code Syntax — Excluded from Scope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linting tools (ESLint, Pylint) achieve EXCELLENT capability for code syntax validation. However, auto-response messages are natural language outputs, not code. This dimension is technically viable but domain-irrelevant and has been excluded from #74's scope.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Safety / Toxicity — Partial Coverage (Layer 1 Only)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keyword filters reliably catch explicit toxic terms (MODERATE capability). However, context-dependent toxicity — such as a passive-aggressive tone in an auto-response — falls outside rule-based detection. This dimension is included in #74 for Layer 1 filtering only. Context-aware toxicity detection is escalated to the LLM layer (#75), creating a clean handoff between the two user stories.</w:t>
            </w:r>
          </w:p>
        </w:tc>
      </w:tr>
    </w:tbl>
    <w:p>
      <w:pPr>
        <w:spacing w:before="0" w:after="300"/>
      </w:pPr>
    </w:p>
    <w:p>
      <w:pPr>
        <w:pStyle w:val="Heading1"/>
      </w:pPr>
      <w:r>
        <w:t xml:space="preserve">6.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 Dimensions Reviewed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dimensions from Tasks #77 and #78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Included (Rule-Based Viable)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dimensions: Length, Format Compliance, Keyword Presence, Exact Match, Privacy/PII, Structural Elements, Safety/Toxicity (basic), Instruction Following (basic)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Excluded (Rule-Based Not Viable)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dimensions: Tone, Helpfulness, Clarity, Empathy, Appropriateness, Relevance, Coherence, Completeness, Factuality, Bias Detection, Code Syntax (domain-irrelevant)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Special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Safety/Toxicity: included for Layer 1 only; Code Syntax: excluded as domain-irrelevant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Feeds Into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#75 (LLM dimensions), Task #78 hybrid framework Layer 1 implementation</w:t>
            </w:r>
          </w:p>
        </w:tc>
      </w:tr>
    </w:tbl>
    <w:p>
      <w:pPr>
        <w:spacing w:before="0" w:after="300"/>
      </w:pPr>
    </w:p>
    <w:p>
      <w:pPr>
        <w:pBdr>
          <w:top w:val="single" w:color="2E75B6" w:sz="4" w:space="1"/>
        </w:pBdr>
        <w:spacing w:before="200" w:after="10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Contextual Auto-Response Messaging System  |  Sprint 2  |  Faculty Team 9  |  Dr. Pranut Jain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2026-02-20T19:36:27.440Z</dcterms:created>
  <dcterms:modified xsi:type="dcterms:W3CDTF">2026-02-20T19:36:27.441Z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