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636bfd8c394c38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Employee Handbook</w:t>
      </w:r>
    </w:p>
    <w:p>
      <w:r>
        <w:t>Welcome to the handbook.</w:t>
      </w:r>
    </w:p>
    <w:p>
      <w:pPr>
        <w:pStyle w:val="Heading2"/>
      </w:pPr>
      <w:r>
        <w:t>Leave Policy</w:t>
      </w:r>
    </w:p>
    <w:p>
      <w:r>
        <w:t>General leave rules apply.</w:t>
      </w:r>
    </w:p>
    <w:p>
      <w:pPr>
        <w:pStyle w:val="Heading3"/>
      </w:pPr>
      <w:r>
        <w:t>Parental Leave</w:t>
      </w:r>
    </w:p>
    <w:p>
      <w:r>
        <w:t>Employees qualify after twelve months of employment.</w:t>
      </w:r>
    </w:p>
    <w:p>
      <w:pPr>
        <w:numPr>
          <w:ilvl w:val="0"/>
          <w:numId w:val="1"/>
        </w:numPr>
      </w:pPr>
      <w:r>
        <w:t>Eligibility requires continuous service.</w:t>
      </w:r>
    </w:p>
    <w:p>
      <w:pPr>
        <w:numPr>
          <w:ilvl w:val="0"/>
          <w:numId w:val="1"/>
        </w:numPr>
      </w:pPr>
      <w:r>
        <w:t>Apply at least four weeks in advance.</w:t>
      </w:r>
    </w:p>
    <w:p>
      <w:pPr>
        <w:pStyle w:val="Heading2"/>
      </w:pPr>
      <w:r>
        <w:t>Benefits</w:t>
      </w:r>
    </w:p>
    <w:p>
      <w:r>
        <w:t>Benefits are described here.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-"/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a89b043b8ea495c" /></Relationships>
</file>