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51D" w:rsidRDefault="00D05EBE" w:rsidP="00D05EBE">
      <w:pPr>
        <w:rPr>
          <w:rFonts w:ascii="Times New Roman" w:hAnsi="Times New Roman" w:cs="Times New Roman"/>
          <w:sz w:val="32"/>
          <w:szCs w:val="32"/>
        </w:rPr>
      </w:pPr>
      <w:r>
        <w:rPr>
          <w:rFonts w:ascii="Times New Roman" w:hAnsi="Times New Roman" w:cs="Times New Roman"/>
          <w:sz w:val="32"/>
          <w:szCs w:val="32"/>
        </w:rPr>
        <w:t>Analysis of Co-variance</w:t>
      </w:r>
      <w:bookmarkStart w:id="0" w:name="_GoBack"/>
      <w:bookmarkEnd w:id="0"/>
    </w:p>
    <w:p w:rsidR="00D05EBE" w:rsidRPr="00420E7B" w:rsidRDefault="00D05EBE" w:rsidP="00D05EBE">
      <w:pPr>
        <w:pStyle w:val="ListParagraph"/>
        <w:numPr>
          <w:ilvl w:val="0"/>
          <w:numId w:val="7"/>
        </w:numPr>
        <w:rPr>
          <w:rFonts w:ascii="Times New Roman" w:hAnsi="Times New Roman" w:cs="Times New Roman"/>
          <w:sz w:val="24"/>
          <w:szCs w:val="24"/>
        </w:rPr>
      </w:pPr>
      <w:r w:rsidRPr="00420E7B">
        <w:rPr>
          <w:rFonts w:ascii="Times New Roman" w:hAnsi="Times New Roman" w:cs="Times New Roman"/>
          <w:sz w:val="24"/>
          <w:szCs w:val="24"/>
        </w:rPr>
        <w:t>Analysis of co-variance (ANCOVA) is a statistical test related to ANOVA</w:t>
      </w:r>
    </w:p>
    <w:p w:rsidR="00D05EBE" w:rsidRPr="00420E7B" w:rsidRDefault="00D05EBE" w:rsidP="00D05EBE">
      <w:pPr>
        <w:pStyle w:val="ListParagraph"/>
        <w:numPr>
          <w:ilvl w:val="0"/>
          <w:numId w:val="7"/>
        </w:numPr>
        <w:rPr>
          <w:rFonts w:ascii="Times New Roman" w:hAnsi="Times New Roman" w:cs="Times New Roman"/>
          <w:sz w:val="24"/>
          <w:szCs w:val="24"/>
        </w:rPr>
      </w:pPr>
      <w:r w:rsidRPr="00420E7B">
        <w:rPr>
          <w:rFonts w:ascii="Times New Roman" w:hAnsi="Times New Roman" w:cs="Times New Roman"/>
          <w:sz w:val="24"/>
          <w:szCs w:val="24"/>
        </w:rPr>
        <w:t>It tests whether there is significant difference between the groups after controlling for variance explained by a co-variate</w:t>
      </w:r>
    </w:p>
    <w:p w:rsidR="00D05EBE" w:rsidRDefault="00D05EBE" w:rsidP="00D05EBE">
      <w:pPr>
        <w:pStyle w:val="ListParagraph"/>
        <w:numPr>
          <w:ilvl w:val="0"/>
          <w:numId w:val="7"/>
        </w:numPr>
        <w:rPr>
          <w:rFonts w:ascii="Times New Roman" w:hAnsi="Times New Roman" w:cs="Times New Roman"/>
          <w:sz w:val="24"/>
          <w:szCs w:val="24"/>
        </w:rPr>
      </w:pPr>
      <w:r w:rsidRPr="00420E7B">
        <w:rPr>
          <w:rFonts w:ascii="Times New Roman" w:hAnsi="Times New Roman" w:cs="Times New Roman"/>
          <w:sz w:val="24"/>
          <w:szCs w:val="24"/>
        </w:rPr>
        <w:t>A covariate is a continuous variable that correlates with the dependent variable.</w:t>
      </w:r>
    </w:p>
    <w:p w:rsidR="00420E7B" w:rsidRDefault="00420E7B" w:rsidP="00420E7B">
      <w:pPr>
        <w:pStyle w:val="ListParagraph"/>
        <w:rPr>
          <w:rFonts w:ascii="Times New Roman" w:hAnsi="Times New Roman" w:cs="Times New Roman"/>
          <w:sz w:val="24"/>
          <w:szCs w:val="24"/>
        </w:rPr>
      </w:pPr>
    </w:p>
    <w:p w:rsidR="00420E7B" w:rsidRPr="00420E7B" w:rsidRDefault="00420E7B" w:rsidP="00420E7B">
      <w:pPr>
        <w:pStyle w:val="ListParagraph"/>
        <w:rPr>
          <w:rFonts w:ascii="Times New Roman" w:hAnsi="Times New Roman" w:cs="Times New Roman"/>
          <w:sz w:val="24"/>
          <w:szCs w:val="24"/>
        </w:rPr>
      </w:pPr>
    </w:p>
    <w:p w:rsidR="00E2178C" w:rsidRDefault="00420E7B" w:rsidP="00D05EBE">
      <w:pPr>
        <w:rPr>
          <w:rFonts w:ascii="Times New Roman" w:hAnsi="Times New Roman" w:cs="Times New Roman"/>
          <w:sz w:val="32"/>
          <w:szCs w:val="32"/>
        </w:rPr>
      </w:pPr>
      <w:r w:rsidRPr="00420E7B">
        <w:rPr>
          <w:rFonts w:ascii="Times New Roman" w:hAnsi="Times New Roman" w:cs="Times New Roman"/>
          <w:sz w:val="32"/>
          <w:szCs w:val="32"/>
        </w:rPr>
        <w:t xml:space="preserve">The ANCOVA model </w:t>
      </w:r>
    </w:p>
    <w:p w:rsidR="00E2178C" w:rsidRPr="00420E7B" w:rsidRDefault="00E2178C" w:rsidP="00E2178C">
      <w:pPr>
        <w:rPr>
          <w:rFonts w:ascii="Times New Roman" w:hAnsi="Times New Roman" w:cs="Times New Roman"/>
          <w:sz w:val="24"/>
          <w:szCs w:val="24"/>
        </w:rPr>
      </w:pPr>
      <w:r w:rsidRPr="00420E7B">
        <w:rPr>
          <w:rFonts w:ascii="Times New Roman" w:hAnsi="Times New Roman" w:cs="Times New Roman"/>
          <w:sz w:val="24"/>
          <w:szCs w:val="24"/>
        </w:rPr>
        <w:t>ANCOVA evaluates whether the means of a </w:t>
      </w:r>
      <w:hyperlink r:id="rId5" w:tooltip="Dependent variable" w:history="1">
        <w:r w:rsidRPr="00420E7B">
          <w:rPr>
            <w:rFonts w:ascii="Times New Roman" w:hAnsi="Times New Roman" w:cs="Times New Roman"/>
            <w:sz w:val="24"/>
            <w:szCs w:val="24"/>
          </w:rPr>
          <w:t>dependent variable</w:t>
        </w:r>
      </w:hyperlink>
      <w:r w:rsidRPr="00420E7B">
        <w:rPr>
          <w:rFonts w:ascii="Times New Roman" w:hAnsi="Times New Roman" w:cs="Times New Roman"/>
          <w:sz w:val="24"/>
          <w:szCs w:val="24"/>
        </w:rPr>
        <w:t> (DV) are equal across levels of a categorical </w:t>
      </w:r>
      <w:hyperlink r:id="rId6" w:tooltip="Independent variable" w:history="1">
        <w:r w:rsidRPr="00420E7B">
          <w:rPr>
            <w:rFonts w:ascii="Times New Roman" w:hAnsi="Times New Roman" w:cs="Times New Roman"/>
            <w:sz w:val="24"/>
            <w:szCs w:val="24"/>
          </w:rPr>
          <w:t>independent variable</w:t>
        </w:r>
      </w:hyperlink>
      <w:r w:rsidRPr="00420E7B">
        <w:rPr>
          <w:rFonts w:ascii="Times New Roman" w:hAnsi="Times New Roman" w:cs="Times New Roman"/>
          <w:sz w:val="24"/>
          <w:szCs w:val="24"/>
        </w:rPr>
        <w:t> (IV) often called a treatment, while statistically controlling for the effects of other continuous variables that are not of primary interest, known as </w:t>
      </w:r>
      <w:hyperlink r:id="rId7" w:tooltip="Covariate" w:history="1">
        <w:r w:rsidRPr="00420E7B">
          <w:rPr>
            <w:rFonts w:ascii="Times New Roman" w:hAnsi="Times New Roman" w:cs="Times New Roman"/>
            <w:sz w:val="24"/>
            <w:szCs w:val="24"/>
          </w:rPr>
          <w:t>covariates</w:t>
        </w:r>
      </w:hyperlink>
      <w:r w:rsidRPr="00420E7B">
        <w:rPr>
          <w:rFonts w:ascii="Times New Roman" w:hAnsi="Times New Roman" w:cs="Times New Roman"/>
          <w:sz w:val="24"/>
          <w:szCs w:val="24"/>
        </w:rPr>
        <w:t xml:space="preserve"> (CV) or nuisance variables. Mathematically, ANCOVA decomposes the variance in the DV into variance explained by the CV(s), variance explained by the categorical IV, and residual variance. Intuitively, ANCOVA can be thought of as 'adjusting' the DV by the group means of the CV(s) </w:t>
      </w:r>
    </w:p>
    <w:p w:rsidR="00E2178C" w:rsidRPr="00420E7B" w:rsidRDefault="00E2178C" w:rsidP="00D05EBE">
      <w:pPr>
        <w:rPr>
          <w:rFonts w:ascii="Times New Roman" w:hAnsi="Times New Roman" w:cs="Times New Roman"/>
          <w:sz w:val="24"/>
          <w:szCs w:val="24"/>
        </w:rPr>
      </w:pPr>
      <w:r w:rsidRPr="00420E7B">
        <w:rPr>
          <w:rFonts w:ascii="Times New Roman" w:hAnsi="Times New Roman" w:cs="Times New Roman"/>
          <w:sz w:val="24"/>
          <w:szCs w:val="24"/>
        </w:rPr>
        <w:t xml:space="preserve">The ANCOVA model assumes a linear relationship between the response (DV) and covariate (CV): </w:t>
      </w:r>
    </w:p>
    <w:p w:rsidR="00E2178C" w:rsidRDefault="00E2178C" w:rsidP="00D05EBE">
      <w:pPr>
        <w:rPr>
          <w:rFonts w:ascii="Times New Roman" w:eastAsiaTheme="minorEastAsia" w:hAnsi="Times New Roman" w:cs="Times New Roman"/>
          <w:i/>
          <w:sz w:val="28"/>
          <w:szCs w:val="28"/>
        </w:rPr>
      </w:pPr>
      <w:proofErr w:type="spellStart"/>
      <w:r>
        <w:rPr>
          <w:rFonts w:ascii="Times New Roman" w:hAnsi="Times New Roman" w:cs="Times New Roman"/>
          <w:i/>
          <w:sz w:val="28"/>
          <w:szCs w:val="28"/>
        </w:rPr>
        <w:t>Y</w:t>
      </w:r>
      <w:r>
        <w:rPr>
          <w:rFonts w:ascii="Times New Roman" w:hAnsi="Times New Roman" w:cs="Times New Roman"/>
          <w:i/>
          <w:sz w:val="28"/>
          <w:szCs w:val="28"/>
          <w:vertAlign w:val="subscript"/>
        </w:rPr>
        <w:t>ij</w:t>
      </w:r>
      <w:proofErr w:type="spellEnd"/>
      <w:r>
        <w:rPr>
          <w:rFonts w:ascii="Times New Roman" w:hAnsi="Times New Roman" w:cs="Times New Roman"/>
          <w:i/>
          <w:sz w:val="28"/>
          <w:szCs w:val="28"/>
        </w:rPr>
        <w:t xml:space="preserve"> = </w:t>
      </w:r>
      <m:oMath>
        <m:r>
          <w:rPr>
            <w:rFonts w:ascii="Cambria Math" w:hAnsi="Cambria Math" w:cs="Times New Roman"/>
            <w:sz w:val="28"/>
            <w:szCs w:val="28"/>
          </w:rPr>
          <m:t>µ</m:t>
        </m:r>
      </m:oMath>
      <w:r>
        <w:rPr>
          <w:rFonts w:ascii="Times New Roman" w:eastAsiaTheme="minorEastAsia" w:hAnsi="Times New Roman" w:cs="Times New Roman"/>
          <w:i/>
          <w:sz w:val="28"/>
          <w:szCs w:val="28"/>
        </w:rPr>
        <w:t xml:space="preserve"> + </w:t>
      </w:r>
      <w:proofErr w:type="spellStart"/>
      <w:r>
        <w:rPr>
          <w:rFonts w:ascii="Times New Roman" w:eastAsiaTheme="minorEastAsia" w:hAnsi="Times New Roman" w:cs="Times New Roman"/>
          <w:i/>
          <w:sz w:val="28"/>
          <w:szCs w:val="28"/>
          <w:vertAlign w:val="subscript"/>
        </w:rPr>
        <w:t>Ti</w:t>
      </w:r>
      <w:proofErr w:type="spellEnd"/>
      <w:r>
        <w:rPr>
          <w:rFonts w:ascii="Times New Roman" w:eastAsiaTheme="minorEastAsia" w:hAnsi="Times New Roman" w:cs="Times New Roman"/>
          <w:i/>
          <w:sz w:val="28"/>
          <w:szCs w:val="28"/>
        </w:rPr>
        <w:t xml:space="preserve"> + B(</w:t>
      </w:r>
      <w:proofErr w:type="spellStart"/>
      <w:r>
        <w:rPr>
          <w:rFonts w:ascii="Times New Roman" w:eastAsiaTheme="minorEastAsia" w:hAnsi="Times New Roman" w:cs="Times New Roman"/>
          <w:i/>
          <w:sz w:val="28"/>
          <w:szCs w:val="28"/>
        </w:rPr>
        <w:t>x</w:t>
      </w:r>
      <w:r>
        <w:rPr>
          <w:rFonts w:ascii="Times New Roman" w:eastAsiaTheme="minorEastAsia" w:hAnsi="Times New Roman" w:cs="Times New Roman"/>
          <w:i/>
          <w:sz w:val="28"/>
          <w:szCs w:val="28"/>
          <w:vertAlign w:val="subscript"/>
        </w:rPr>
        <w:t>ij</w:t>
      </w:r>
      <w:proofErr w:type="spellEnd"/>
      <w:r>
        <w:rPr>
          <w:rFonts w:ascii="Times New Roman" w:eastAsiaTheme="minorEastAsia" w:hAnsi="Times New Roman" w:cs="Times New Roman"/>
          <w:i/>
          <w:sz w:val="28"/>
          <w:szCs w:val="28"/>
        </w:rPr>
        <w:t xml:space="preserve"> - x̄ ) + €</w:t>
      </w:r>
      <w:proofErr w:type="spellStart"/>
      <w:r w:rsidR="00545650">
        <w:rPr>
          <w:rFonts w:ascii="Times New Roman" w:eastAsiaTheme="minorEastAsia" w:hAnsi="Times New Roman" w:cs="Times New Roman"/>
          <w:i/>
          <w:sz w:val="28"/>
          <w:szCs w:val="28"/>
          <w:vertAlign w:val="subscript"/>
        </w:rPr>
        <w:t>ij</w:t>
      </w:r>
      <w:proofErr w:type="spellEnd"/>
      <w:r w:rsidR="00545650">
        <w:rPr>
          <w:rFonts w:ascii="Times New Roman" w:eastAsiaTheme="minorEastAsia" w:hAnsi="Times New Roman" w:cs="Times New Roman"/>
          <w:i/>
          <w:sz w:val="28"/>
          <w:szCs w:val="28"/>
          <w:vertAlign w:val="subscript"/>
        </w:rPr>
        <w:t xml:space="preserve"> </w:t>
      </w:r>
      <w:r w:rsidR="00545650">
        <w:rPr>
          <w:rFonts w:ascii="Times New Roman" w:eastAsiaTheme="minorEastAsia" w:hAnsi="Times New Roman" w:cs="Times New Roman"/>
          <w:i/>
          <w:sz w:val="28"/>
          <w:szCs w:val="28"/>
        </w:rPr>
        <w:t xml:space="preserve"> </w:t>
      </w:r>
    </w:p>
    <w:p w:rsidR="00420E7B" w:rsidRDefault="00420E7B" w:rsidP="00420E7B">
      <w:pPr>
        <w:rPr>
          <w:rFonts w:ascii="Times New Roman" w:hAnsi="Times New Roman" w:cs="Times New Roman"/>
          <w:sz w:val="24"/>
          <w:szCs w:val="24"/>
        </w:rPr>
      </w:pPr>
      <w:r w:rsidRPr="00420E7B">
        <w:rPr>
          <w:rFonts w:ascii="Times New Roman" w:hAnsi="Times New Roman" w:cs="Times New Roman"/>
          <w:sz w:val="24"/>
          <w:szCs w:val="24"/>
        </w:rPr>
        <w:t xml:space="preserve">where </w:t>
      </w:r>
      <w:r w:rsidRPr="00420E7B">
        <w:rPr>
          <w:rFonts w:ascii="Times New Roman" w:eastAsiaTheme="minorEastAsia" w:hAnsi="Times New Roman" w:cs="Times New Roman"/>
          <w:i/>
          <w:sz w:val="24"/>
          <w:szCs w:val="24"/>
        </w:rPr>
        <w:t>x̄</w:t>
      </w:r>
      <w:r w:rsidRPr="00420E7B">
        <w:rPr>
          <w:rFonts w:ascii="Times New Roman" w:eastAsiaTheme="minorEastAsia" w:hAnsi="Times New Roman" w:cs="Times New Roman"/>
          <w:i/>
          <w:sz w:val="24"/>
          <w:szCs w:val="24"/>
        </w:rPr>
        <w:t xml:space="preserve"> </w:t>
      </w:r>
      <w:r w:rsidRPr="00420E7B">
        <w:rPr>
          <w:rFonts w:ascii="Times New Roman" w:hAnsi="Times New Roman" w:cs="Times New Roman"/>
          <w:sz w:val="24"/>
          <w:szCs w:val="24"/>
        </w:rPr>
        <w:t xml:space="preserve">represents the overall mean of </w:t>
      </w:r>
      <w:r w:rsidRPr="00420E7B">
        <w:rPr>
          <w:rFonts w:ascii="Cambria Math" w:hAnsi="Cambria Math" w:cs="Cambria Math"/>
          <w:sz w:val="24"/>
          <w:szCs w:val="24"/>
        </w:rPr>
        <w:t>𝑋</w:t>
      </w:r>
      <w:r w:rsidRPr="00420E7B">
        <w:rPr>
          <w:rFonts w:ascii="Times New Roman" w:hAnsi="Times New Roman" w:cs="Times New Roman"/>
          <w:sz w:val="24"/>
          <w:szCs w:val="24"/>
        </w:rPr>
        <w:t xml:space="preserve">. If </w:t>
      </w:r>
      <w:r w:rsidRPr="00420E7B">
        <w:rPr>
          <w:rFonts w:ascii="Cambria Math" w:hAnsi="Cambria Math" w:cs="Cambria Math"/>
          <w:sz w:val="24"/>
          <w:szCs w:val="24"/>
        </w:rPr>
        <w:t>𝑋</w:t>
      </w:r>
      <w:r w:rsidRPr="00420E7B">
        <w:rPr>
          <w:rFonts w:ascii="Times New Roman" w:hAnsi="Times New Roman" w:cs="Times New Roman"/>
          <w:sz w:val="24"/>
          <w:szCs w:val="24"/>
        </w:rPr>
        <w:t xml:space="preserve"> and </w:t>
      </w:r>
      <w:r w:rsidRPr="00420E7B">
        <w:rPr>
          <w:rFonts w:ascii="Cambria Math" w:hAnsi="Cambria Math" w:cs="Cambria Math"/>
          <w:sz w:val="24"/>
          <w:szCs w:val="24"/>
        </w:rPr>
        <w:t>𝑌</w:t>
      </w:r>
      <w:r w:rsidRPr="00420E7B">
        <w:rPr>
          <w:rFonts w:ascii="Times New Roman" w:hAnsi="Times New Roman" w:cs="Times New Roman"/>
          <w:sz w:val="24"/>
          <w:szCs w:val="24"/>
        </w:rPr>
        <w:t xml:space="preserve"> are closely related, you would expect that the errors, </w:t>
      </w:r>
      <w:r w:rsidRPr="00420E7B">
        <w:rPr>
          <w:rFonts w:ascii="Cambria Math" w:hAnsi="Cambria Math" w:cs="Cambria Math"/>
          <w:sz w:val="24"/>
          <w:szCs w:val="24"/>
        </w:rPr>
        <w:t>𝑒</w:t>
      </w:r>
      <w:r w:rsidRPr="00420E7B">
        <w:rPr>
          <w:rFonts w:ascii="Times New Roman" w:hAnsi="Times New Roman" w:cs="Times New Roman"/>
          <w:sz w:val="24"/>
          <w:szCs w:val="24"/>
        </w:rPr>
        <w:t>2</w:t>
      </w:r>
      <w:r w:rsidRPr="00420E7B">
        <w:rPr>
          <w:rFonts w:ascii="Cambria Math" w:hAnsi="Cambria Math" w:cs="Cambria Math"/>
          <w:sz w:val="24"/>
          <w:szCs w:val="24"/>
        </w:rPr>
        <w:t>𝑖</w:t>
      </w:r>
      <w:r w:rsidRPr="00420E7B">
        <w:rPr>
          <w:rFonts w:ascii="Times New Roman" w:hAnsi="Times New Roman" w:cs="Times New Roman"/>
          <w:sz w:val="24"/>
          <w:szCs w:val="24"/>
        </w:rPr>
        <w:t>j</w:t>
      </w:r>
      <w:r w:rsidRPr="00420E7B">
        <w:rPr>
          <w:rFonts w:ascii="Times New Roman" w:hAnsi="Times New Roman" w:cs="Times New Roman"/>
          <w:sz w:val="24"/>
          <w:szCs w:val="24"/>
        </w:rPr>
        <w:t xml:space="preserve">, would be much smaller than the errors, </w:t>
      </w:r>
      <w:r w:rsidRPr="00420E7B">
        <w:rPr>
          <w:rFonts w:ascii="Cambria Math" w:hAnsi="Cambria Math" w:cs="Cambria Math"/>
          <w:sz w:val="24"/>
          <w:szCs w:val="24"/>
        </w:rPr>
        <w:t>𝑒</w:t>
      </w:r>
      <w:r w:rsidRPr="00420E7B">
        <w:rPr>
          <w:rFonts w:ascii="Times New Roman" w:hAnsi="Times New Roman" w:cs="Times New Roman"/>
          <w:sz w:val="24"/>
          <w:szCs w:val="24"/>
        </w:rPr>
        <w:t>1</w:t>
      </w:r>
      <w:r w:rsidRPr="00420E7B">
        <w:rPr>
          <w:rFonts w:ascii="Cambria Math" w:hAnsi="Cambria Math" w:cs="Cambria Math"/>
          <w:sz w:val="24"/>
          <w:szCs w:val="24"/>
        </w:rPr>
        <w:t>𝑖</w:t>
      </w:r>
      <w:r w:rsidRPr="00420E7B">
        <w:rPr>
          <w:rFonts w:ascii="Times New Roman" w:hAnsi="Times New Roman" w:cs="Times New Roman"/>
          <w:sz w:val="24"/>
          <w:szCs w:val="24"/>
        </w:rPr>
        <w:t>j</w:t>
      </w:r>
      <w:r w:rsidRPr="00420E7B">
        <w:rPr>
          <w:rFonts w:ascii="Times New Roman" w:hAnsi="Times New Roman" w:cs="Times New Roman"/>
          <w:sz w:val="24"/>
          <w:szCs w:val="24"/>
        </w:rPr>
        <w:t>, giving you more precise results.</w:t>
      </w:r>
    </w:p>
    <w:p w:rsidR="00420E7B" w:rsidRPr="00420E7B" w:rsidRDefault="00420E7B" w:rsidP="00420E7B">
      <w:pPr>
        <w:rPr>
          <w:rFonts w:ascii="Times New Roman" w:hAnsi="Times New Roman" w:cs="Times New Roman"/>
          <w:sz w:val="24"/>
          <w:szCs w:val="24"/>
        </w:rPr>
      </w:pPr>
      <w:r w:rsidRPr="00420E7B">
        <w:rPr>
          <w:rFonts w:ascii="Times New Roman" w:hAnsi="Times New Roman" w:cs="Times New Roman"/>
          <w:sz w:val="24"/>
          <w:szCs w:val="24"/>
        </w:rPr>
        <w:t>The classical analysis of covariance is useful for many reasons, but it does have the (highly) restrictive assumption that the slope is constant over all the groups. This assumption is often violated, which limits the technique’s usefulness.</w:t>
      </w:r>
    </w:p>
    <w:p w:rsidR="00420E7B" w:rsidRPr="00420E7B" w:rsidRDefault="00420E7B" w:rsidP="00420E7B">
      <w:pPr>
        <w:rPr>
          <w:rFonts w:ascii="Times New Roman" w:hAnsi="Times New Roman" w:cs="Times New Roman"/>
          <w:i/>
          <w:sz w:val="24"/>
          <w:szCs w:val="24"/>
        </w:rPr>
      </w:pPr>
    </w:p>
    <w:p w:rsidR="00420E7B" w:rsidRDefault="00420E7B" w:rsidP="00D05EBE">
      <w:pPr>
        <w:rPr>
          <w:rFonts w:ascii="Times New Roman" w:hAnsi="Times New Roman" w:cs="Times New Roman"/>
          <w:sz w:val="32"/>
          <w:szCs w:val="32"/>
        </w:rPr>
      </w:pPr>
      <w:r w:rsidRPr="00420E7B">
        <w:rPr>
          <w:rFonts w:ascii="Times New Roman" w:hAnsi="Times New Roman" w:cs="Times New Roman"/>
          <w:sz w:val="32"/>
          <w:szCs w:val="32"/>
        </w:rPr>
        <w:t>Assumptions</w:t>
      </w:r>
    </w:p>
    <w:p w:rsidR="00420E7B" w:rsidRPr="00420E7B" w:rsidRDefault="00420E7B" w:rsidP="00D05EBE">
      <w:pPr>
        <w:rPr>
          <w:rFonts w:ascii="Times New Roman" w:hAnsi="Times New Roman" w:cs="Times New Roman"/>
          <w:sz w:val="24"/>
          <w:szCs w:val="24"/>
        </w:rPr>
      </w:pPr>
      <w:r w:rsidRPr="00420E7B">
        <w:rPr>
          <w:rFonts w:ascii="Times New Roman" w:hAnsi="Times New Roman" w:cs="Times New Roman"/>
          <w:sz w:val="24"/>
          <w:szCs w:val="24"/>
        </w:rPr>
        <w:t xml:space="preserve">The following assumptions are made when using the F-test. </w:t>
      </w:r>
    </w:p>
    <w:p w:rsidR="00420E7B" w:rsidRPr="00420E7B" w:rsidRDefault="00420E7B" w:rsidP="00D05EBE">
      <w:pPr>
        <w:rPr>
          <w:rFonts w:ascii="Times New Roman" w:hAnsi="Times New Roman" w:cs="Times New Roman"/>
          <w:sz w:val="24"/>
          <w:szCs w:val="24"/>
        </w:rPr>
      </w:pPr>
      <w:r w:rsidRPr="00420E7B">
        <w:rPr>
          <w:rFonts w:ascii="Times New Roman" w:hAnsi="Times New Roman" w:cs="Times New Roman"/>
          <w:sz w:val="24"/>
          <w:szCs w:val="24"/>
        </w:rPr>
        <w:t xml:space="preserve">1. The response variable is continuous. </w:t>
      </w:r>
    </w:p>
    <w:p w:rsidR="00420E7B" w:rsidRPr="00420E7B" w:rsidRDefault="00420E7B" w:rsidP="00D05EBE">
      <w:pPr>
        <w:rPr>
          <w:rFonts w:ascii="Times New Roman" w:hAnsi="Times New Roman" w:cs="Times New Roman"/>
          <w:sz w:val="24"/>
          <w:szCs w:val="24"/>
        </w:rPr>
      </w:pPr>
      <w:r w:rsidRPr="00420E7B">
        <w:rPr>
          <w:rFonts w:ascii="Times New Roman" w:hAnsi="Times New Roman" w:cs="Times New Roman"/>
          <w:sz w:val="24"/>
          <w:szCs w:val="24"/>
        </w:rPr>
        <w:t xml:space="preserve">2. The treatments do not affect the value of the covariate, </w:t>
      </w:r>
      <w:r w:rsidRPr="00420E7B">
        <w:rPr>
          <w:rFonts w:ascii="Cambria Math" w:hAnsi="Cambria Math" w:cs="Cambria Math"/>
          <w:sz w:val="24"/>
          <w:szCs w:val="24"/>
        </w:rPr>
        <w:t>𝑋𝑖</w:t>
      </w:r>
      <w:r w:rsidRPr="00420E7B">
        <w:rPr>
          <w:rFonts w:ascii="Times New Roman" w:hAnsi="Times New Roman" w:cs="Times New Roman"/>
          <w:sz w:val="24"/>
          <w:szCs w:val="24"/>
        </w:rPr>
        <w:t>j</w:t>
      </w:r>
      <w:r w:rsidRPr="00420E7B">
        <w:rPr>
          <w:rFonts w:ascii="Times New Roman" w:hAnsi="Times New Roman" w:cs="Times New Roman"/>
          <w:sz w:val="24"/>
          <w:szCs w:val="24"/>
        </w:rPr>
        <w:t xml:space="preserve">. </w:t>
      </w:r>
    </w:p>
    <w:p w:rsidR="00420E7B" w:rsidRPr="00420E7B" w:rsidRDefault="00420E7B" w:rsidP="00D05EBE">
      <w:pPr>
        <w:rPr>
          <w:rFonts w:ascii="Times New Roman" w:hAnsi="Times New Roman" w:cs="Times New Roman"/>
          <w:sz w:val="24"/>
          <w:szCs w:val="24"/>
        </w:rPr>
      </w:pPr>
      <w:r w:rsidRPr="00420E7B">
        <w:rPr>
          <w:rFonts w:ascii="Times New Roman" w:hAnsi="Times New Roman" w:cs="Times New Roman"/>
          <w:sz w:val="24"/>
          <w:szCs w:val="24"/>
        </w:rPr>
        <w:t xml:space="preserve">3. The </w:t>
      </w:r>
      <w:r w:rsidRPr="00420E7B">
        <w:rPr>
          <w:rFonts w:ascii="Cambria Math" w:hAnsi="Cambria Math" w:cs="Cambria Math"/>
          <w:sz w:val="24"/>
          <w:szCs w:val="24"/>
        </w:rPr>
        <w:t>𝑒</w:t>
      </w:r>
      <w:r w:rsidRPr="00420E7B">
        <w:rPr>
          <w:rFonts w:ascii="Times New Roman" w:hAnsi="Times New Roman" w:cs="Times New Roman"/>
          <w:sz w:val="24"/>
          <w:szCs w:val="24"/>
        </w:rPr>
        <w:t>2</w:t>
      </w:r>
      <w:r w:rsidRPr="00420E7B">
        <w:rPr>
          <w:rFonts w:ascii="Cambria Math" w:hAnsi="Cambria Math" w:cs="Cambria Math"/>
          <w:sz w:val="24"/>
          <w:szCs w:val="24"/>
        </w:rPr>
        <w:t>𝑖</w:t>
      </w:r>
      <w:r w:rsidRPr="00420E7B">
        <w:rPr>
          <w:rFonts w:ascii="Times New Roman" w:hAnsi="Times New Roman" w:cs="Times New Roman"/>
          <w:sz w:val="24"/>
          <w:szCs w:val="24"/>
        </w:rPr>
        <w:t>j</w:t>
      </w:r>
      <w:r w:rsidRPr="00420E7B">
        <w:rPr>
          <w:rFonts w:ascii="Times New Roman" w:hAnsi="Times New Roman" w:cs="Times New Roman"/>
          <w:sz w:val="24"/>
          <w:szCs w:val="24"/>
        </w:rPr>
        <w:t xml:space="preserve"> follow the normal probability distribution with mean equal to zero. </w:t>
      </w:r>
    </w:p>
    <w:p w:rsidR="00420E7B" w:rsidRPr="00420E7B" w:rsidRDefault="00420E7B" w:rsidP="00D05EBE">
      <w:pPr>
        <w:rPr>
          <w:rFonts w:ascii="Times New Roman" w:hAnsi="Times New Roman" w:cs="Times New Roman"/>
          <w:sz w:val="24"/>
          <w:szCs w:val="24"/>
        </w:rPr>
      </w:pPr>
      <w:r w:rsidRPr="00420E7B">
        <w:rPr>
          <w:rFonts w:ascii="Times New Roman" w:hAnsi="Times New Roman" w:cs="Times New Roman"/>
          <w:sz w:val="24"/>
          <w:szCs w:val="24"/>
        </w:rPr>
        <w:t xml:space="preserve">4. The variances of the </w:t>
      </w:r>
      <w:r w:rsidRPr="00420E7B">
        <w:rPr>
          <w:rFonts w:ascii="Cambria Math" w:hAnsi="Cambria Math" w:cs="Cambria Math"/>
          <w:sz w:val="24"/>
          <w:szCs w:val="24"/>
        </w:rPr>
        <w:t>𝑒</w:t>
      </w:r>
      <w:r w:rsidRPr="00420E7B">
        <w:rPr>
          <w:rFonts w:ascii="Times New Roman" w:hAnsi="Times New Roman" w:cs="Times New Roman"/>
          <w:sz w:val="24"/>
          <w:szCs w:val="24"/>
        </w:rPr>
        <w:t>2</w:t>
      </w:r>
      <w:r w:rsidRPr="00420E7B">
        <w:rPr>
          <w:rFonts w:ascii="Cambria Math" w:hAnsi="Cambria Math" w:cs="Cambria Math"/>
          <w:sz w:val="24"/>
          <w:szCs w:val="24"/>
        </w:rPr>
        <w:t>𝑖</w:t>
      </w:r>
      <w:r w:rsidRPr="00420E7B">
        <w:rPr>
          <w:rFonts w:ascii="Times New Roman" w:hAnsi="Times New Roman" w:cs="Times New Roman"/>
          <w:sz w:val="24"/>
          <w:szCs w:val="24"/>
        </w:rPr>
        <w:t>j</w:t>
      </w:r>
      <w:r w:rsidRPr="00420E7B">
        <w:rPr>
          <w:rFonts w:ascii="Times New Roman" w:hAnsi="Times New Roman" w:cs="Times New Roman"/>
          <w:sz w:val="24"/>
          <w:szCs w:val="24"/>
        </w:rPr>
        <w:t xml:space="preserve"> are equal for all values of </w:t>
      </w:r>
      <w:proofErr w:type="spellStart"/>
      <w:r w:rsidRPr="00420E7B">
        <w:rPr>
          <w:rFonts w:ascii="Times New Roman" w:hAnsi="Times New Roman" w:cs="Times New Roman"/>
          <w:sz w:val="24"/>
          <w:szCs w:val="24"/>
        </w:rPr>
        <w:t>i</w:t>
      </w:r>
      <w:proofErr w:type="spellEnd"/>
      <w:r w:rsidRPr="00420E7B">
        <w:rPr>
          <w:rFonts w:ascii="Times New Roman" w:hAnsi="Times New Roman" w:cs="Times New Roman"/>
          <w:sz w:val="24"/>
          <w:szCs w:val="24"/>
        </w:rPr>
        <w:t xml:space="preserve"> and j. </w:t>
      </w:r>
    </w:p>
    <w:p w:rsidR="00420E7B" w:rsidRDefault="00420E7B" w:rsidP="00D05EBE">
      <w:pPr>
        <w:rPr>
          <w:rFonts w:ascii="Times New Roman" w:hAnsi="Times New Roman" w:cs="Times New Roman"/>
          <w:sz w:val="24"/>
          <w:szCs w:val="24"/>
        </w:rPr>
      </w:pPr>
      <w:r w:rsidRPr="00420E7B">
        <w:rPr>
          <w:rFonts w:ascii="Times New Roman" w:hAnsi="Times New Roman" w:cs="Times New Roman"/>
          <w:sz w:val="24"/>
          <w:szCs w:val="24"/>
        </w:rPr>
        <w:t>5. The individuals are independent.</w:t>
      </w:r>
    </w:p>
    <w:p w:rsidR="00420E7B" w:rsidRDefault="00420E7B" w:rsidP="00D05EBE">
      <w:pPr>
        <w:rPr>
          <w:rFonts w:ascii="Times New Roman" w:hAnsi="Times New Roman" w:cs="Times New Roman"/>
          <w:sz w:val="24"/>
          <w:szCs w:val="24"/>
        </w:rPr>
      </w:pPr>
    </w:p>
    <w:p w:rsidR="00420E7B" w:rsidRDefault="00420E7B" w:rsidP="00D05EBE">
      <w:pPr>
        <w:rPr>
          <w:rFonts w:ascii="Times New Roman" w:hAnsi="Times New Roman" w:cs="Times New Roman"/>
          <w:sz w:val="32"/>
          <w:szCs w:val="32"/>
        </w:rPr>
      </w:pPr>
      <w:r w:rsidRPr="00420E7B">
        <w:rPr>
          <w:rFonts w:ascii="Times New Roman" w:hAnsi="Times New Roman" w:cs="Times New Roman"/>
          <w:sz w:val="32"/>
          <w:szCs w:val="32"/>
        </w:rPr>
        <w:t>Limitations</w:t>
      </w:r>
    </w:p>
    <w:p w:rsidR="00420E7B" w:rsidRPr="00420E7B" w:rsidRDefault="00420E7B" w:rsidP="00420E7B">
      <w:pPr>
        <w:rPr>
          <w:rFonts w:ascii="Times New Roman" w:hAnsi="Times New Roman" w:cs="Times New Roman"/>
          <w:sz w:val="24"/>
          <w:szCs w:val="24"/>
        </w:rPr>
      </w:pPr>
      <w:r w:rsidRPr="00420E7B">
        <w:rPr>
          <w:rFonts w:ascii="Times New Roman" w:hAnsi="Times New Roman" w:cs="Times New Roman"/>
          <w:sz w:val="24"/>
          <w:szCs w:val="24"/>
        </w:rPr>
        <w:lastRenderedPageBreak/>
        <w:t>There are few limitations when using these tests. Sample sizes may range from a few to several hundred. If your data are discrete with at least five unique values, you can assume that you have met the continuous variable assumption. Perhaps the greatest restriction is that your data comes from a random sample of the population. If you do not have a random sample, the F-test will not work.</w:t>
      </w:r>
    </w:p>
    <w:sectPr w:rsidR="00420E7B" w:rsidRPr="00420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87A5F"/>
    <w:multiLevelType w:val="hybridMultilevel"/>
    <w:tmpl w:val="D06A0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5A3381"/>
    <w:multiLevelType w:val="hybridMultilevel"/>
    <w:tmpl w:val="3D5EB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39098D"/>
    <w:multiLevelType w:val="multilevel"/>
    <w:tmpl w:val="18FA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27B86"/>
    <w:multiLevelType w:val="hybridMultilevel"/>
    <w:tmpl w:val="49406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C23480"/>
    <w:multiLevelType w:val="hybridMultilevel"/>
    <w:tmpl w:val="A92C6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DA558B"/>
    <w:multiLevelType w:val="hybridMultilevel"/>
    <w:tmpl w:val="150CE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632BDF"/>
    <w:multiLevelType w:val="multilevel"/>
    <w:tmpl w:val="655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579C5"/>
    <w:multiLevelType w:val="hybridMultilevel"/>
    <w:tmpl w:val="8864F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D2"/>
    <w:rsid w:val="000E019E"/>
    <w:rsid w:val="000F6C3D"/>
    <w:rsid w:val="00420E7B"/>
    <w:rsid w:val="004E4DC6"/>
    <w:rsid w:val="00545650"/>
    <w:rsid w:val="005C7FD2"/>
    <w:rsid w:val="00723D80"/>
    <w:rsid w:val="008D3AEF"/>
    <w:rsid w:val="00AB1128"/>
    <w:rsid w:val="00BB4AE9"/>
    <w:rsid w:val="00C953DB"/>
    <w:rsid w:val="00D05EBE"/>
    <w:rsid w:val="00D4389F"/>
    <w:rsid w:val="00E2178C"/>
    <w:rsid w:val="00E40205"/>
    <w:rsid w:val="00F35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5067"/>
  <w15:chartTrackingRefBased/>
  <w15:docId w15:val="{480EEFA9-10A2-4816-A4DE-E1F271E0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02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128"/>
    <w:pPr>
      <w:ind w:left="720"/>
      <w:contextualSpacing/>
    </w:pPr>
  </w:style>
  <w:style w:type="character" w:customStyle="1" w:styleId="Heading1Char">
    <w:name w:val="Heading 1 Char"/>
    <w:basedOn w:val="DefaultParagraphFont"/>
    <w:link w:val="Heading1"/>
    <w:uiPriority w:val="9"/>
    <w:rsid w:val="00E4020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355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178C"/>
    <w:rPr>
      <w:color w:val="0000FF"/>
      <w:u w:val="single"/>
    </w:rPr>
  </w:style>
  <w:style w:type="character" w:customStyle="1" w:styleId="mwe-math-mathml-inline">
    <w:name w:val="mwe-math-mathml-inline"/>
    <w:basedOn w:val="DefaultParagraphFont"/>
    <w:rsid w:val="00E2178C"/>
  </w:style>
  <w:style w:type="character" w:styleId="PlaceholderText">
    <w:name w:val="Placeholder Text"/>
    <w:basedOn w:val="DefaultParagraphFont"/>
    <w:uiPriority w:val="99"/>
    <w:semiHidden/>
    <w:rsid w:val="00E217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301">
      <w:bodyDiv w:val="1"/>
      <w:marLeft w:val="0"/>
      <w:marRight w:val="0"/>
      <w:marTop w:val="0"/>
      <w:marBottom w:val="0"/>
      <w:divBdr>
        <w:top w:val="none" w:sz="0" w:space="0" w:color="auto"/>
        <w:left w:val="none" w:sz="0" w:space="0" w:color="auto"/>
        <w:bottom w:val="none" w:sz="0" w:space="0" w:color="auto"/>
        <w:right w:val="none" w:sz="0" w:space="0" w:color="auto"/>
      </w:divBdr>
    </w:div>
    <w:div w:id="113790377">
      <w:bodyDiv w:val="1"/>
      <w:marLeft w:val="0"/>
      <w:marRight w:val="0"/>
      <w:marTop w:val="0"/>
      <w:marBottom w:val="0"/>
      <w:divBdr>
        <w:top w:val="none" w:sz="0" w:space="0" w:color="auto"/>
        <w:left w:val="none" w:sz="0" w:space="0" w:color="auto"/>
        <w:bottom w:val="none" w:sz="0" w:space="0" w:color="auto"/>
        <w:right w:val="none" w:sz="0" w:space="0" w:color="auto"/>
      </w:divBdr>
    </w:div>
    <w:div w:id="797142094">
      <w:bodyDiv w:val="1"/>
      <w:marLeft w:val="0"/>
      <w:marRight w:val="0"/>
      <w:marTop w:val="0"/>
      <w:marBottom w:val="0"/>
      <w:divBdr>
        <w:top w:val="none" w:sz="0" w:space="0" w:color="auto"/>
        <w:left w:val="none" w:sz="0" w:space="0" w:color="auto"/>
        <w:bottom w:val="none" w:sz="0" w:space="0" w:color="auto"/>
        <w:right w:val="none" w:sz="0" w:space="0" w:color="auto"/>
      </w:divBdr>
    </w:div>
    <w:div w:id="183672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vari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dependent_variable" TargetMode="External"/><Relationship Id="rId5" Type="http://schemas.openxmlformats.org/officeDocument/2006/relationships/hyperlink" Target="https://en.wikipedia.org/wiki/Dependent_vari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Stock_BGL</dc:creator>
  <cp:keywords/>
  <dc:description/>
  <cp:lastModifiedBy>Stock_BGL</cp:lastModifiedBy>
  <cp:revision>2</cp:revision>
  <dcterms:created xsi:type="dcterms:W3CDTF">2019-05-15T07:11:00Z</dcterms:created>
  <dcterms:modified xsi:type="dcterms:W3CDTF">2019-05-15T07:11:00Z</dcterms:modified>
</cp:coreProperties>
</file>