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CbCR Quality Review Web App</w:t>
      </w:r>
    </w:p>
    <w:p>
      <w:pPr>
        <w:spacing w:after="400"/>
        <w:jc w:val="center"/>
      </w:pPr>
      <w:r>
        <w:rPr>
          <w:color w:val="4a5568"/>
          <w:sz w:val="28"/>
          <w:szCs w:val="28"/>
        </w:rPr>
        <w:t xml:space="preserve">XML Validation Rules Technical Specification</w:t>
      </w:r>
    </w:p>
    <w:p>
      <w:pPr>
        <w:spacing w:after="600"/>
        <w:jc w:val="center"/>
      </w:pPr>
      <w:r>
        <w:rPr>
          <w:color w:val="718096"/>
          <w:sz w:val="20"/>
          <w:szCs w:val="20"/>
        </w:rPr>
        <w:t xml:space="preserve">Version 1.0 — December 2024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provides comprehensive technical specifications for building a CbCR (Country-by-Country Reporting) quality review web application. It covers OECD XML Schema v2.0 validation rules, status message error codes, and country-specific requirements starting with Luxembourg.</w:t>
      </w:r>
    </w:p>
    <w:p>
      <w:pPr>
        <w:pStyle w:val="Heading1"/>
      </w:pPr>
      <w:r>
        <w:t xml:space="preserve">2. OECD CbCR XML Schema v2.0 Structure</w:t>
      </w:r>
    </w:p>
    <w:p>
      <w:pPr>
        <w:pStyle w:val="Heading2"/>
      </w:pPr>
      <w:r>
        <w:t xml:space="preserve">2.1 Schema Namespaces</w:t>
      </w:r>
    </w:p>
    <w:p>
      <w:pPr>
        <w:pStyle w:val="Code"/>
        <w:shd w:fill="f7fafc" w:val="clear"/>
      </w:pPr>
      <w:r>
        <w:t xml:space="preserve">Primary namespace: urn:oecd:ties:cbc:v2</w:t>
      </w:r>
    </w:p>
    <w:p>
      <w:pPr>
        <w:pStyle w:val="Code"/>
        <w:shd w:fill="f7fafc" w:val="clear"/>
      </w:pPr>
      <w:r>
        <w:t xml:space="preserve">STF types: urn:oecd:ties:cbcstf:v5</w:t>
      </w:r>
    </w:p>
    <w:p>
      <w:pPr>
        <w:pStyle w:val="Code"/>
        <w:shd w:fill="f7fafc" w:val="clear"/>
      </w:pPr>
      <w:r>
        <w:t xml:space="preserve">ISO types: urn:oecd:ties:isocbctypes:v1</w:t>
      </w:r>
    </w:p>
    <w:p>
      <w:pPr>
        <w:pStyle w:val="Heading2"/>
      </w:pPr>
      <w:r>
        <w:t xml:space="preserve">2.2 Document Structure Hierarchy</w:t>
      </w:r>
    </w:p>
    <w:p>
      <w:pPr>
        <w:spacing w:after="100"/>
      </w:pPr>
      <w:r>
        <w:t xml:space="preserve">The CbCR XML document follows this hierarchical structure: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CBC_OECD</w:t>
      </w:r>
      <w:r>
        <w:t xml:space="preserve"> — Root element with version attribute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MessageSpec</w:t>
      </w:r>
      <w:r>
        <w:t xml:space="preserve"> — Message header information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CbcBody</w:t>
      </w:r>
      <w:r>
        <w:t xml:space="preserve"> — Container for report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ReportingEntity</w:t>
      </w:r>
      <w:r>
        <w:t xml:space="preserve"> — UPE or Surrogate Parent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CbcReports</w:t>
      </w:r>
      <w:r>
        <w:t xml:space="preserve"> — Per-jurisdiction data (repeatable)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Summary</w:t>
      </w:r>
      <w:r>
        <w:t xml:space="preserve"> — Table 1 aggregate data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ConstEntities</w:t>
      </w:r>
      <w:r>
        <w:t xml:space="preserve"> — Table 2 entity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AdditionalInfo</w:t>
      </w:r>
      <w:r>
        <w:t xml:space="preserve"> — Table 3 supplementary information</w:t>
      </w:r>
    </w:p>
    <w:p>
      <w:r>
        <w:br w:type="page"/>
      </w:r>
    </w:p>
    <w:p>
      <w:pPr>
        <w:pStyle w:val="Heading1"/>
      </w:pPr>
      <w:r>
        <w:t xml:space="preserve">3. Message Header (MessageSpec) Validation Rules</w:t>
      </w:r>
    </w:p>
    <w:p>
      <w:pPr>
        <w:pStyle w:val="Heading2"/>
      </w:pPr>
      <w:r>
        <w:t xml:space="preserve">3.1 MessageRefId Validation</w:t>
      </w:r>
    </w:p>
    <w:p>
      <w:pPr>
        <w:spacing w:after="100"/>
      </w:pPr>
      <w:r>
        <w:t xml:space="preserve">The MessageRefId must be globally unique and follow specific formatting rules.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Format/Example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MSG-001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be unique in space and time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 duplicates ever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MSG-002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Must start with sending country code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LU2024..., DE2024...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MSG-003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include reporting year after country code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LU2024...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MSG-004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Maximum length 100 characters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≤100 chars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MSG-005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Case-insensitive uniqueness check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LU2024ABC = lu2024abc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MSG-006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No spaces or special characters except hyphen/underscore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LU2024-MNE-001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</w:tbl>
    <w:p>
      <w:pPr>
        <w:pStyle w:val="Code"/>
        <w:shd w:fill="f7fafc" w:val="clear"/>
        <w:spacing w:before="200"/>
      </w:pPr>
      <w:r>
        <w:t xml:space="preserve">Valid format: {CountryCode}{Year}{UniqueIdentifier}</w:t>
      </w:r>
    </w:p>
    <w:p>
      <w:pPr>
        <w:pStyle w:val="Code"/>
        <w:shd w:fill="f7fafc" w:val="clear"/>
      </w:pPr>
      <w:r>
        <w:t xml:space="preserve">Example: LU2024-ACME-CORP-001</w:t>
      </w:r>
    </w:p>
    <w:p>
      <w:pPr>
        <w:pStyle w:val="Heading2"/>
      </w:pPr>
      <w:r>
        <w:t xml:space="preserve">3.2 MessageTypeIndic Validation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DocTypeIndic Allowed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CBC401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New submission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OECD1 only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Initial filing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CBC402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Correction/Deletion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OECD2, OECD3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Amendments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2"/>
        </w:numPr>
      </w:pPr>
      <w:r>
        <w:t xml:space="preserve">CBC401 message may ONLY contain DocTypeIndic = OECD1</w:t>
      </w:r>
    </w:p>
    <w:p>
      <w:pPr>
        <w:pStyle w:val="ListParagraph"/>
        <w:numPr>
          <w:ilvl w:val="0"/>
          <w:numId w:val="2"/>
        </w:numPr>
      </w:pPr>
      <w:r>
        <w:t xml:space="preserve">CBC402 message may contain OECD2 (corrections) or OECD3 (deletions)</w:t>
      </w:r>
    </w:p>
    <w:p>
      <w:pPr>
        <w:pStyle w:val="ListParagraph"/>
        <w:numPr>
          <w:ilvl w:val="0"/>
          <w:numId w:val="2"/>
        </w:numPr>
      </w:pPr>
      <w:r>
        <w:t xml:space="preserve">A single message cannot mix OECD2 and OECD3</w:t>
      </w:r>
    </w:p>
    <w:p>
      <w:pPr>
        <w:pStyle w:val="ListParagraph"/>
        <w:numPr>
          <w:ilvl w:val="0"/>
          <w:numId w:val="2"/>
        </w:numPr>
      </w:pPr>
      <w:r>
        <w:t xml:space="preserve">Cannot mix new data (OECD1) with corrections (OECD2/OECD3) in same message</w:t>
      </w:r>
    </w:p>
    <w:p>
      <w:pPr>
        <w:pStyle w:val="Heading2"/>
      </w:pPr>
      <w:r>
        <w:t xml:space="preserve">3.3 ReportingPeriod Validation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RPD-001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be valid ISO 8601 date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YYYY-MM-DD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RPD-002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Must be last day of fiscal year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End date only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RPD-003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Cannot be future date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≤ current date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RPD-004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StartDate ≤ EndDate in AcctPeriodStart/End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Logical sequence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</w:tbl>
    <w:p>
      <w:pPr>
        <w:pStyle w:val="Heading2"/>
      </w:pPr>
      <w:r>
        <w:t xml:space="preserve">3.4 Timestamp Validation</w:t>
      </w:r>
    </w:p>
    <w:p>
      <w:pPr>
        <w:pStyle w:val="Code"/>
        <w:shd w:fill="f7fafc" w:val="clear"/>
      </w:pPr>
      <w:r>
        <w:t xml:space="preserve">Format: YYYY-MM-DD'T'hh:mm:ss or YYYY-MM-DD'T'hh:mm:ss.nnn</w:t>
      </w:r>
    </w:p>
    <w:p>
      <w:pPr>
        <w:pStyle w:val="Code"/>
        <w:shd w:fill="f7fafc" w:val="clear"/>
      </w:pPr>
      <w:r>
        <w:t xml:space="preserve">Example: 2024-12-15T14:37:40 or 2024-12-15T14:37:40.789</w:t>
      </w:r>
    </w:p>
    <w:p>
      <w:r>
        <w:br w:type="page"/>
      </w:r>
    </w:p>
    <w:p>
      <w:pPr>
        <w:pStyle w:val="Heading1"/>
      </w:pPr>
      <w:r>
        <w:t xml:space="preserve">4. DocSpec Validation Rules</w:t>
      </w:r>
    </w:p>
    <w:p>
      <w:pPr>
        <w:spacing w:after="100"/>
      </w:pPr>
      <w:r>
        <w:t xml:space="preserve">DocSpec elements identify individual records within a CbCR message and enable corrections/deletions.</w:t>
      </w:r>
    </w:p>
    <w:p>
      <w:pPr>
        <w:pStyle w:val="Heading2"/>
      </w:pPr>
      <w:r>
        <w:t xml:space="preserve">4.1 DocRefId Validation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DOC-001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be globally unique in space and time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DOC-002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First part before hyphen must match MessageRefId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DOC-003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Maximum length 164 characters (HMRC) / 200 chars (OECD)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DOC-004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Case-insensitive uniqueness (ABC = abc)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DOC-005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Each CbcReports element must have unique DocRefId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DOC-006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Cannot reuse DocRefId ever (even in corrections)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DOC-007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ReportingEntity DocRefId separate from CbcReports DocRefIds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</w:tbl>
    <w:p>
      <w:pPr>
        <w:pStyle w:val="Code"/>
        <w:shd w:fill="f7fafc" w:val="clear"/>
        <w:spacing w:before="200"/>
      </w:pPr>
      <w:r>
        <w:t xml:space="preserve">Format: {MessageRefId}-{TIN}-{UniqueElement}</w:t>
      </w:r>
    </w:p>
    <w:p>
      <w:pPr>
        <w:pStyle w:val="Code"/>
        <w:shd w:fill="f7fafc" w:val="clear"/>
      </w:pPr>
      <w:r>
        <w:t xml:space="preserve">Example: LU2024-ACME-001-123456789-RE001 (Reporting Entity)</w:t>
      </w:r>
    </w:p>
    <w:p>
      <w:pPr>
        <w:pStyle w:val="Code"/>
        <w:shd w:fill="f7fafc" w:val="clear"/>
      </w:pPr>
      <w:r>
        <w:t xml:space="preserve">Example: LU2024-ACME-001-123456789-LU001 (Luxembourg CbcReports)</w:t>
      </w:r>
    </w:p>
    <w:p>
      <w:pPr>
        <w:pStyle w:val="Heading2"/>
      </w:pPr>
      <w:r>
        <w:t xml:space="preserve">4.2 DocTypeIndic Values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OECD0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Resend (unchanged data)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Resend ReportingEntity only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OECD1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New data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Initial submission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OECD2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Corrected data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Amendments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OECD3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Deletion of data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Remove previously filed data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OECD10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Resend (test)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Testing only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OECD11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New (test)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Testing only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OECD12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Correction (test)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Testing only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OECD13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Deletion (test)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Testing only</w:t>
            </w:r>
          </w:p>
        </w:tc>
      </w:tr>
    </w:tbl>
    <w:p>
      <w:pPr>
        <w:spacing w:before="200" w:after="100"/>
      </w:pPr>
      <w:r>
        <w:rPr>
          <w:b/>
          <w:bCs/>
          <w:color w:val="c53030"/>
        </w:rPr>
        <w:t xml:space="preserve">Critical Rules:</w:t>
      </w:r>
    </w:p>
    <w:p>
      <w:pPr>
        <w:pStyle w:val="ListParagraph"/>
        <w:numPr>
          <w:ilvl w:val="0"/>
          <w:numId w:val="2"/>
        </w:numPr>
      </w:pPr>
      <w:r>
        <w:t xml:space="preserve">OECD0 can ONLY be used for ReportingEntity element</w:t>
      </w:r>
    </w:p>
    <w:p>
      <w:pPr>
        <w:pStyle w:val="ListParagraph"/>
        <w:numPr>
          <w:ilvl w:val="0"/>
          <w:numId w:val="2"/>
        </w:numPr>
      </w:pPr>
      <w:r>
        <w:t xml:space="preserve">OECD10-13 are for testing ONLY — production systems must reject</w:t>
      </w:r>
    </w:p>
    <w:p>
      <w:pPr>
        <w:pStyle w:val="ListParagraph"/>
        <w:numPr>
          <w:ilvl w:val="0"/>
          <w:numId w:val="2"/>
        </w:numPr>
      </w:pPr>
      <w:r>
        <w:t xml:space="preserve">Corrections (OECD2) require CorrDocRefId referencing the original</w:t>
      </w:r>
    </w:p>
    <w:p>
      <w:pPr>
        <w:pStyle w:val="Heading2"/>
      </w:pPr>
      <w:r>
        <w:t xml:space="preserve">4.3 CorrDocRefId Validation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CORR-001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Required for OECD2 and OECD3 DocTypeIndic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CORR-002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Must reference a previously submitted DocRefId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CORR-003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reference the LATEST DocRefId (not original if already corrected)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CORR-004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Cannot be present for OECD0 or OECD1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CORR-005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Referenced record must exist in receiving system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Tax Identification Number (TIN) Validation</w:t>
      </w:r>
    </w:p>
    <w:p>
      <w:pPr>
        <w:pStyle w:val="Heading2"/>
      </w:pPr>
      <w:r>
        <w:t xml:space="preserve">5.1 General TIN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TIN-001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not be blank or contain only spaces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TIN-002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Use 'NOTIN' if constituent entity has no TIN issued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TIN-003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include issuedBy attribute with ISO country code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TIN-004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Cannot use repeated single character (e.g., 999999999)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TIN-005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match format expected by issuing jurisdiction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TIN-006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Reporting Entity TIN must be valid for reporting jurisdiction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</w:tbl>
    <w:p>
      <w:pPr>
        <w:pStyle w:val="Heading2"/>
      </w:pPr>
      <w:r>
        <w:t xml:space="preserve">5.2 Country-Specific TIN Formats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TIN Format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Luxembourg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11-13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Matricule national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Germany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Steuer-IdNr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France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SIREN/SIRET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UK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UTR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USA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Numeric (XXX-XX-XXXX)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EIN format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Netherlands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RSIN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Cayman Islands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CbCR ID for Reporting Entity</w:t>
            </w:r>
          </w:p>
        </w:tc>
      </w:tr>
    </w:tbl>
    <w:p>
      <w:pPr>
        <w:pStyle w:val="Heading1"/>
      </w:pPr>
      <w:r>
        <w:t xml:space="preserve">6. Business Activity Codes (BizActivities)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CBC501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Research and Development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CBC502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Holding or Managing Intellectual Property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CBC503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Purchasing or Procurement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CBC504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Manufacturing or Production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CBC505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Sales, Marketing or Distribution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CBC506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Administrative, Management or Support Services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CBC507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Provision of Services to Unrelated Parties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CBC508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Internal Group Finance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CBC509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Regulated Financial Services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CBC510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Insurance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CBC511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Holding Shares or Other Equity Instruments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CBC512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Dormant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CBC513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Other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Validation Rules:</w:t>
      </w:r>
    </w:p>
    <w:p>
      <w:pPr>
        <w:pStyle w:val="ListParagraph"/>
        <w:numPr>
          <w:ilvl w:val="0"/>
          <w:numId w:val="2"/>
        </w:numPr>
      </w:pPr>
      <w:r>
        <w:t xml:space="preserve">At least one BizActivity code required per Constituent Entity</w:t>
      </w:r>
    </w:p>
    <w:p>
      <w:pPr>
        <w:pStyle w:val="ListParagraph"/>
        <w:numPr>
          <w:ilvl w:val="0"/>
          <w:numId w:val="2"/>
        </w:numPr>
      </w:pPr>
      <w:r>
        <w:t xml:space="preserve">Multiple codes allowed (select all that apply)</w:t>
      </w:r>
    </w:p>
    <w:p>
      <w:pPr>
        <w:pStyle w:val="ListParagraph"/>
        <w:numPr>
          <w:ilvl w:val="0"/>
          <w:numId w:val="2"/>
        </w:numPr>
      </w:pPr>
      <w:r>
        <w:t xml:space="preserve">If CBC513 (Other) selected, OtherEntityInfo MUST contain explanation</w:t>
      </w:r>
    </w:p>
    <w:p>
      <w:pPr>
        <w:pStyle w:val="ListParagraph"/>
        <w:numPr>
          <w:ilvl w:val="0"/>
          <w:numId w:val="2"/>
        </w:numPr>
      </w:pPr>
      <w:r>
        <w:t xml:space="preserve">CBC513 should only be used when no other code accurately describes activity</w:t>
      </w:r>
    </w:p>
    <w:p>
      <w:r>
        <w:br w:type="page"/>
      </w:r>
    </w:p>
    <w:p>
      <w:pPr>
        <w:pStyle w:val="Heading1"/>
      </w:pPr>
      <w:r>
        <w:t xml:space="preserve">7. Summary Data (Table 1) Validation Rules</w:t>
      </w:r>
    </w:p>
    <w:p>
      <w:pPr>
        <w:pStyle w:val="Heading2"/>
      </w:pPr>
      <w:r>
        <w:t xml:space="preserve">7.1 Numeric Field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SUM-001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All amounts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Full numbers only — no decimals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SUM-002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All amounts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No shortened numbers (no thousands/millions)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SUM-003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Negative values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Use minus prefix (e.g., -1000)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SUM-004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Must be consistent throughout CbcReports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SUM-005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Revenues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include both Related and Unrelated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SUM-006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NbEmployees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Reasonable rounding permitted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INFO</w:t>
            </w:r>
          </w:p>
        </w:tc>
      </w:tr>
    </w:tbl>
    <w:p>
      <w:pPr>
        <w:pStyle w:val="Heading2"/>
      </w:pPr>
      <w:r>
        <w:t xml:space="preserve">7.2 Cross-Field Validation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XFV-001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TaxPaid cannot exceed TaxAccrued significantly without explanation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XFV-002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Revenues = 0 but Employees &gt; 0 may indicate issue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XFV-003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Profit before tax + Entities with losses = reasonable total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XFV-004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Tangible assets should align with business activity codes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XFV-005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Dividends from constituent entities MUST be excluded from Revenues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XFV-006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Dividends from constituent entities MUST be excluded from ProfitOrLoss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</w:tbl>
    <w:p>
      <w:pPr>
        <w:pStyle w:val="Heading2"/>
      </w:pPr>
      <w:r>
        <w:t xml:space="preserve">7.3 Dividend Exclusion Rule (May 2024 OECD Guidance)</w:t>
      </w:r>
    </w:p>
    <w:p>
      <w:pPr>
        <w:spacing w:after="100"/>
      </w:pPr>
      <w:r>
        <w:t xml:space="preserve">Per updated OECD guidance (May 2024), payments treated as dividends in the payer's jurisdiction must be excluded from both: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Revenues</w:t>
      </w:r>
      <w:r>
        <w:t xml:space="preserve"> — Exclude dividends received from other Constituent Entities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Profit (Loss) before Income Tax</w:t>
      </w:r>
      <w:r>
        <w:t xml:space="preserve"> — Consistent treatment with Revenues</w:t>
      </w:r>
    </w:p>
    <w:p>
      <w:pPr>
        <w:spacing w:before="100"/>
      </w:pPr>
      <w:r>
        <w:rPr>
          <w:i/>
          <w:iCs/>
        </w:rPr>
        <w:t xml:space="preserve">Effective: </w:t>
      </w:r>
      <w:r>
        <w:t xml:space="preserve">Fiscal years beginning on or after 1 January 2025</w:t>
      </w:r>
    </w:p>
    <w:p>
      <w:r>
        <w:br w:type="page"/>
      </w:r>
    </w:p>
    <w:p>
      <w:pPr>
        <w:pStyle w:val="Heading1"/>
      </w:pPr>
      <w:r>
        <w:t xml:space="preserve">8. Character Encoding &amp; Special Characters</w:t>
      </w:r>
    </w:p>
    <w:p>
      <w:pPr>
        <w:pStyle w:val="Heading2"/>
      </w:pPr>
      <w:r>
        <w:t xml:space="preserve">8.1 Encoding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ENC-001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be UTF-8 encoded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ENC-002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No Byte-Order-Mark (BOM)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ENC-003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XML declaration must specify encoding='UTF-8'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</w:tbl>
    <w:p>
      <w:pPr>
        <w:pStyle w:val="Heading2"/>
      </w:pPr>
      <w:r>
        <w:t xml:space="preserve">8.2 Special Character Handling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XML Entity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Must Replace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&amp; (ampersand)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&amp;amp;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&lt; (less than)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&amp;lt;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&gt; (greater than)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&amp;gt;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' (apostrophe)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&amp;apos;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" (quote)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&amp;quot;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before="200" w:after="100"/>
      </w:pPr>
      <w:r>
        <w:rPr>
          <w:b/>
          <w:bCs/>
          <w:color w:val="c53030"/>
        </w:rPr>
        <w:t xml:space="preserve">Prohibited Characters:</w:t>
      </w:r>
    </w:p>
    <w:p>
      <w:pPr>
        <w:pStyle w:val="ListParagraph"/>
        <w:numPr>
          <w:ilvl w:val="0"/>
          <w:numId w:val="2"/>
        </w:numPr>
      </w:pPr>
      <w:r>
        <w:t xml:space="preserve">Control characters (0x00-0x1F except 0x09, 0x0A, 0x0D)</w:t>
      </w:r>
    </w:p>
    <w:p>
      <w:pPr>
        <w:pStyle w:val="ListParagraph"/>
        <w:numPr>
          <w:ilvl w:val="0"/>
          <w:numId w:val="2"/>
        </w:numPr>
      </w:pPr>
      <w:r>
        <w:t xml:space="preserve">Characters that cannot be represented in XML even with escaping</w:t>
      </w:r>
    </w:p>
    <w:p>
      <w:pPr>
        <w:pStyle w:val="ListParagraph"/>
        <w:numPr>
          <w:ilvl w:val="0"/>
          <w:numId w:val="2"/>
        </w:numPr>
      </w:pPr>
      <w:r>
        <w:t xml:space="preserve">Empty elements are NOT allowed in v2.0 — omit optional elements instead</w:t>
      </w:r>
    </w:p>
    <w:p>
      <w:pPr>
        <w:pStyle w:val="Heading1"/>
      </w:pPr>
      <w:r>
        <w:t xml:space="preserve">9. Country Code Validation</w:t>
      </w:r>
    </w:p>
    <w:p>
      <w:pPr>
        <w:spacing w:after="100"/>
      </w:pPr>
      <w:r>
        <w:t xml:space="preserve">All country codes must conform to ISO 3166-1 Alpha-2 standard.</w:t>
      </w:r>
    </w:p>
    <w:p>
      <w:pPr>
        <w:pStyle w:val="Heading2"/>
      </w:pPr>
      <w:r>
        <w:t xml:space="preserve">9.1 Country Code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CC-001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be exactly 2 uppercase letters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CC-002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Must be valid ISO 3166-1 Alpha-2 code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CC-003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SendingCompetentAuthority must match filing jurisdiction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CC-004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ReceivingCompetentAuthority must be valid exchange partners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CC-005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ResCountryCode must match entity's tax residence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OECD Status Message Error Codes</w:t>
      </w:r>
    </w:p>
    <w:p>
      <w:pPr>
        <w:spacing w:after="100"/>
      </w:pPr>
      <w:r>
        <w:t xml:space="preserve">These are the official error codes returned via the CbCR Status Message XML Schema.</w:t>
      </w:r>
    </w:p>
    <w:p>
      <w:pPr>
        <w:pStyle w:val="Heading2"/>
      </w:pPr>
      <w:r>
        <w:t xml:space="preserve">10.1 File-Level Errors (50000-59999)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50000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File could not be downloaded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Resubmit file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50001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File could not be decrypted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Re-encrypt with valid key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50002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File is not valid XML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Fix XML structure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50003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File does not conform to schema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Validate against XSD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50004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File contains virus/malware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Clean file and resubmit</w:t>
            </w:r>
          </w:p>
        </w:tc>
      </w:tr>
    </w:tbl>
    <w:p>
      <w:pPr>
        <w:pStyle w:val="Heading2"/>
      </w:pPr>
      <w:r>
        <w:t xml:space="preserve">10.2 Record-Level Errors (80000-89999)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80000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DocRefId format invalid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Correct format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80001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DocRefId already used (duplicate)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Use new unique DocRefId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80002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CorrDocRefId references unknown record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Check reference exists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80003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Initial element has CorrDocRefId (not allowed)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Remove CorrDocRefId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80004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Correction element missing CorrDocRefId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Add required CorrDocRefId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80005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CorrMessageRefId forbidden in DocSpec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Remove element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80006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Invalid DocTypeIndic value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Use OECD0-3 only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80007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Test DocTypeIndic in production (OECD10-13)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Use production values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80008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MessageTypeIndic/DocTypeIndic mismatch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CBC401=OECD1, CBC402=OECD2/3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80009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Resend (OECD0) used incorrectly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Only for ReportingEntity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80010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TIN format invalid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Correct TIN format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80011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Country code invalid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Use ISO 3166-1 Alpha-2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80012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Reporting period invalid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Use YYYY-MM-DD format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80013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Business activity code invalid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Use CBC501-513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80014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Required element missing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Add required element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Luxembourg-Specific Validation Rules</w:t>
      </w:r>
    </w:p>
    <w:p>
      <w:pPr>
        <w:pStyle w:val="Heading2"/>
      </w:pPr>
      <w:r>
        <w:t xml:space="preserve">11.1 Luxembourg Legal Framework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Law: </w:t>
      </w:r>
      <w:r>
        <w:t xml:space="preserve">Loi modifiée du 23 décembre 2016 relative à la déclaration pays par pays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Regulation: </w:t>
      </w:r>
      <w:r>
        <w:t xml:space="preserve">Règlement grand-ducal modifié du 13 février 2018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Authority: </w:t>
      </w:r>
      <w:r>
        <w:t xml:space="preserve">Administration des contributions directes (ACD)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Portal: </w:t>
      </w:r>
      <w:r>
        <w:t xml:space="preserve">MyGuichet.lu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XML Schema: </w:t>
      </w:r>
      <w:r>
        <w:t xml:space="preserve">acd-dac4-reporting-xml-preremplissage-v165xsd.zip</w:t>
      </w:r>
    </w:p>
    <w:p>
      <w:pPr>
        <w:pStyle w:val="Heading2"/>
      </w:pPr>
      <w:r>
        <w:t xml:space="preserve">11.2 Luxembourg TIN Validation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LU-TIN-001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Matricule national format: 11-13 numeric digits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LU-TIN-002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Must include issuedBy='LU'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LU-TIN-003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Reporting Entity TIN must be registered with ACD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</w:tbl>
    <w:p>
      <w:pPr>
        <w:pStyle w:val="Heading2"/>
      </w:pPr>
      <w:r>
        <w:t xml:space="preserve">11.3 Luxembourg Deadlines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Filing Type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Penalty for Non-Compliance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CbCR Notification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Last day of reporting fiscal year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Up to €250,000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CbC Report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12 months after fiscal year end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Up to €250,000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Correction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As soon as error discovered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Up to €250,000</w:t>
            </w:r>
          </w:p>
        </w:tc>
      </w:tr>
    </w:tbl>
    <w:p>
      <w:pPr>
        <w:pStyle w:val="Heading2"/>
      </w:pPr>
      <w:r>
        <w:t xml:space="preserve">11.4 Luxembourg Pillar 2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Pillar 2 Law: </w:t>
      </w:r>
      <w:r>
        <w:t xml:space="preserve">Loi du 22 décembre 2023 (imposition minimale effective)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IIR/QDMTT Effective: </w:t>
      </w:r>
      <w:r>
        <w:t xml:space="preserve">FY starting 31 December 2023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UTPR Effective: </w:t>
      </w:r>
      <w:r>
        <w:t xml:space="preserve">FY starting 31 December 2024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CbCR Safe Harbour: </w:t>
      </w:r>
      <w:r>
        <w:t xml:space="preserve">Transitional period FY 2024-2026</w:t>
      </w:r>
    </w:p>
    <w:p>
      <w:r>
        <w:br w:type="page"/>
      </w:r>
    </w:p>
    <w:p>
      <w:pPr>
        <w:pStyle w:val="Heading1"/>
      </w:pPr>
      <w:r>
        <w:t xml:space="preserve">12. Web App Implementation Recommendations</w:t>
      </w:r>
    </w:p>
    <w:p>
      <w:pPr>
        <w:pStyle w:val="Heading2"/>
      </w:pPr>
      <w:r>
        <w:t xml:space="preserve">12.1 Validation Layer Architecture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Layer 1 - XML Well-Formedness: </w:t>
      </w:r>
      <w:r>
        <w:t xml:space="preserve">Check valid XML structure, encoding, no prohibited characters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Layer 2 - Schema Validation: </w:t>
      </w:r>
      <w:r>
        <w:t xml:space="preserve">Validate against OECD CbC-Schema-v2.0.xsd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Layer 3 - Business Rules: </w:t>
      </w:r>
      <w:r>
        <w:t xml:space="preserve">DocRefId uniqueness, MessageTypeIndic/DocTypeIndic matching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Layer 4 - Country Rules: </w:t>
      </w:r>
      <w:r>
        <w:t xml:space="preserve">Luxembourg-specific TIN format, deadline checks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Layer 5 - Data Quality: </w:t>
      </w:r>
      <w:r>
        <w:t xml:space="preserve">Cross-field validation, reasonableness checks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Layer 6 - Pillar 2 Readiness: </w:t>
      </w:r>
      <w:r>
        <w:t xml:space="preserve">Safe harbour eligibility, ETR calculations</w:t>
      </w:r>
    </w:p>
    <w:p>
      <w:pPr>
        <w:pStyle w:val="Heading2"/>
      </w:pPr>
      <w:r>
        <w:t xml:space="preserve">12.2 Suggested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Next.js 14 + Tailwind CSS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XML Parsing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fast-xml-parser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Parse uploaded XML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xsd-schema-validator / libxmljs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XSD validation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Zod schemas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Type-safe validation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Store rules, results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PDF Export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@react-pdf/renderer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Compliance reports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User management</w:t>
            </w:r>
          </w:p>
        </w:tc>
      </w:tr>
    </w:tbl>
    <w:p>
      <w:pPr>
        <w:pStyle w:val="Heading2"/>
      </w:pPr>
      <w:r>
        <w:t xml:space="preserve">12.3 Severity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Red (#c53030)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Submission will be rejected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fix before filing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Orange (#dd6b20)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May cause issues with tax authority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Should fix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Yellow (#d69e2e)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Potential data quality issue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Review recommended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INFO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Blue (#3182ce)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Best practice suggestion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Consider for improvement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A: Official Sources</w:t>
      </w:r>
    </w:p>
    <w:p>
      <w:pPr>
        <w:pStyle w:val="Heading2"/>
      </w:pPr>
      <w:r>
        <w:t xml:space="preserve">A.1 OECD Resources</w:t>
      </w:r>
    </w:p>
    <w:p>
      <w:pPr>
        <w:pStyle w:val="ListParagraph"/>
        <w:numPr>
          <w:ilvl w:val="0"/>
          <w:numId w:val="2"/>
        </w:numPr>
      </w:pPr>
      <w:r>
        <w:t xml:space="preserve">CbCR XML Schema v2.0: www.oecd.org/ctp/exchange-of-tax-information/CbC-Schema-v2.0.zip</w:t>
      </w:r>
    </w:p>
    <w:p>
      <w:pPr>
        <w:pStyle w:val="ListParagraph"/>
        <w:numPr>
          <w:ilvl w:val="0"/>
          <w:numId w:val="2"/>
        </w:numPr>
      </w:pPr>
      <w:r>
        <w:t xml:space="preserve">User Guide: Country-by-Country Reporting XML Schema User Guide for Tax Administrations (June 2019)</w:t>
      </w:r>
    </w:p>
    <w:p>
      <w:pPr>
        <w:pStyle w:val="ListParagraph"/>
        <w:numPr>
          <w:ilvl w:val="0"/>
          <w:numId w:val="2"/>
        </w:numPr>
      </w:pPr>
      <w:r>
        <w:t xml:space="preserve">Status Message Schema: CbC Status Message XML Schema User Guide (June 2019)</w:t>
      </w:r>
    </w:p>
    <w:p>
      <w:pPr>
        <w:pStyle w:val="ListParagraph"/>
        <w:numPr>
          <w:ilvl w:val="0"/>
          <w:numId w:val="2"/>
        </w:numPr>
      </w:pPr>
      <w:r>
        <w:t xml:space="preserve">Common Errors: Common errors made by MNEs in preparing CbC reports</w:t>
      </w:r>
    </w:p>
    <w:p>
      <w:pPr>
        <w:pStyle w:val="ListParagraph"/>
        <w:numPr>
          <w:ilvl w:val="0"/>
          <w:numId w:val="2"/>
        </w:numPr>
      </w:pPr>
      <w:r>
        <w:t xml:space="preserve">Implementation Guidance: Guidance on the Implementation of CbCR BEPS Action 13 (May 2024)</w:t>
      </w:r>
    </w:p>
    <w:p>
      <w:pPr>
        <w:pStyle w:val="Heading2"/>
      </w:pPr>
      <w:r>
        <w:t xml:space="preserve">A.2 Luxembourg Resources</w:t>
      </w:r>
    </w:p>
    <w:p>
      <w:pPr>
        <w:pStyle w:val="ListParagraph"/>
        <w:numPr>
          <w:ilvl w:val="0"/>
          <w:numId w:val="2"/>
        </w:numPr>
      </w:pPr>
      <w:r>
        <w:t xml:space="preserve">ACD CbCR Portal: impotsdirects.public.lu/fr/echanges_electroniques/CbCR.html</w:t>
      </w:r>
    </w:p>
    <w:p>
      <w:pPr>
        <w:pStyle w:val="ListParagraph"/>
        <w:numPr>
          <w:ilvl w:val="0"/>
          <w:numId w:val="2"/>
        </w:numPr>
      </w:pPr>
      <w:r>
        <w:t xml:space="preserve">CbCR Law: Loi du 23 décembre 2016 (Mémorial A N° 280)</w:t>
      </w:r>
    </w:p>
    <w:p>
      <w:pPr>
        <w:pStyle w:val="ListParagraph"/>
        <w:numPr>
          <w:ilvl w:val="0"/>
          <w:numId w:val="2"/>
        </w:numPr>
      </w:pPr>
      <w:r>
        <w:t xml:space="preserve">Pillar 2 Law: Loi du 22 décembre 2023 (Mémorial A N° 864)</w:t>
      </w:r>
    </w:p>
    <w:p>
      <w:pPr>
        <w:pStyle w:val="ListParagraph"/>
        <w:numPr>
          <w:ilvl w:val="0"/>
          <w:numId w:val="2"/>
        </w:numPr>
      </w:pPr>
      <w:r>
        <w:t xml:space="preserve">ACD FAQ: faq-cbcr-2024-final.pdf</w:t>
      </w:r>
    </w:p>
    <w:p>
      <w:pPr>
        <w:pStyle w:val="ListParagraph"/>
        <w:numPr>
          <w:ilvl w:val="0"/>
          <w:numId w:val="2"/>
        </w:numPr>
      </w:pPr>
      <w:r>
        <w:t xml:space="preserve">Luxembourg XSD: acd-dac4-reporting-xml-preremplissage-v165xsd.zip</w:t>
      </w:r>
    </w:p>
    <w:p>
      <w:pPr>
        <w:pStyle w:val="ListParagraph"/>
        <w:numPr>
          <w:ilvl w:val="0"/>
          <w:numId w:val="2"/>
        </w:numPr>
      </w:pPr>
      <w:r>
        <w:t xml:space="preserve">Filing Guide: Manuel utilisateur MyGuichet CbCR</w:t>
      </w:r>
    </w:p>
    <w:p>
      <w:pPr>
        <w:pStyle w:val="Heading2"/>
      </w:pPr>
      <w:r>
        <w:t xml:space="preserve">A.3 Other Country User Guides</w:t>
      </w:r>
    </w:p>
    <w:p>
      <w:pPr>
        <w:pStyle w:val="ListParagraph"/>
        <w:numPr>
          <w:ilvl w:val="0"/>
          <w:numId w:val="2"/>
        </w:numPr>
      </w:pPr>
      <w:r>
        <w:t xml:space="preserve">UK HMRC: Country-by-Country XML User Guide V2.0</w:t>
      </w:r>
    </w:p>
    <w:p>
      <w:pPr>
        <w:pStyle w:val="ListParagraph"/>
        <w:numPr>
          <w:ilvl w:val="0"/>
          <w:numId w:val="2"/>
        </w:numPr>
      </w:pPr>
      <w:r>
        <w:t xml:space="preserve">Germany BZSt: ELMA5 technical specifications</w:t>
      </w:r>
    </w:p>
    <w:p>
      <w:pPr>
        <w:pStyle w:val="ListParagraph"/>
        <w:numPr>
          <w:ilvl w:val="0"/>
          <w:numId w:val="2"/>
        </w:numPr>
      </w:pPr>
      <w:r>
        <w:t xml:space="preserve">Hong Kong IRD: CbC Return XML Schema User Guide v2.0</w:t>
      </w:r>
    </w:p>
    <w:p>
      <w:pPr>
        <w:pStyle w:val="ListParagraph"/>
        <w:numPr>
          <w:ilvl w:val="0"/>
          <w:numId w:val="2"/>
        </w:numPr>
      </w:pPr>
      <w:r>
        <w:t xml:space="preserve">Cayman Islands DITC: CbC XML Schema User Guide</w:t>
      </w:r>
    </w:p>
    <w:p>
      <w:pPr>
        <w:pStyle w:val="ListParagraph"/>
        <w:numPr>
          <w:ilvl w:val="0"/>
          <w:numId w:val="2"/>
        </w:numPr>
      </w:pPr>
      <w:r>
        <w:t xml:space="preserve">Isle of Man: CbCR Validation Notice (October 2020)</w:t>
      </w:r>
    </w:p>
    <w:p>
      <w:pPr>
        <w:spacing w:before="600"/>
        <w:jc w:val="center"/>
      </w:pPr>
      <w:r>
        <w:rPr>
          <w:i/>
          <w:i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CbCR XML Validation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color w:val="2d374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2025-12-23T17:42:20.992Z</dcterms:created>
  <dcterms:modified xsi:type="dcterms:W3CDTF">2025-12-23T17:42:20.993Z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