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8BA" w:rsidRPr="00C66A53" w:rsidRDefault="00E4038D">
      <w:r w:rsidRPr="00C66A53">
        <w:t xml:space="preserve">Projections of industrial </w:t>
      </w:r>
      <w:r w:rsidR="00A07593" w:rsidRPr="00C66A53">
        <w:t xml:space="preserve">combustion fuel and electricity </w:t>
      </w:r>
      <w:r w:rsidRPr="00C66A53">
        <w:t xml:space="preserve">use </w:t>
      </w:r>
      <w:r w:rsidR="00EA55E4" w:rsidRPr="00C66A53">
        <w:t>were</w:t>
      </w:r>
      <w:r w:rsidRPr="00C66A53">
        <w:t xml:space="preserve"> made </w:t>
      </w:r>
      <w:r w:rsidR="00A07593" w:rsidRPr="00C66A53">
        <w:t>by Energy Information Administration Manufacturing Energy Consumption Survey end use category</w:t>
      </w:r>
      <w:r w:rsidR="00C66A53" w:rsidRPr="00C66A53">
        <w:t xml:space="preserve"> </w:t>
      </w:r>
      <w:r w:rsidR="00C66A53" w:rsidRPr="00C66A53">
        <w:fldChar w:fldCharType="begin"/>
      </w:r>
      <w:r w:rsidR="00C66A53" w:rsidRPr="00C66A53">
        <w:instrText xml:space="preserve"> ADDIN ZOTERO_ITEM CSL_CITATION {"citationID":"3wDcOtGs","properties":{"formattedCitation":"(U.S. Energy Information Administration 2015)","plainCitation":"(U.S. Energy Information Administration 2015)"},"citationItems":[{"id":515,"uris":["http://zotero.org/users/local/36uufV8Q/items/FEF4DCV9"],"uri":["http://zotero.org/users/local/36uufV8Q/items/FEF4DCV9"],"itemData":{"id":515,"type":"webpage","title":"2010 Manufacturing Energy Consumption Survey","container-title":"2010 MECS Survey Data","URL":"http://www.eia.gov/consumption/manufacturing/data/2010/","author":[{"literal":"U.S. Energy Information Administration"}],"accessed":{"date-parts":[["2015",12,8]]}}}],"schema":"https://github.com/citation-style-language/schema/raw/master/csl-citation.json"} </w:instrText>
      </w:r>
      <w:r w:rsidR="00C66A53" w:rsidRPr="00C66A53">
        <w:fldChar w:fldCharType="separate"/>
      </w:r>
      <w:r w:rsidR="00C66A53" w:rsidRPr="00C66A53">
        <w:rPr>
          <w:rFonts w:ascii="Calibri" w:hAnsi="Calibri"/>
        </w:rPr>
        <w:t>(U.S. Energy Information Administration 2015)</w:t>
      </w:r>
      <w:r w:rsidR="00C66A53" w:rsidRPr="00C66A53">
        <w:fldChar w:fldCharType="end"/>
      </w:r>
      <w:r w:rsidR="00C66A53" w:rsidRPr="00C66A53">
        <w:t xml:space="preserve">. </w:t>
      </w:r>
      <w:r w:rsidR="00A07593" w:rsidRPr="00C66A53">
        <w:t xml:space="preserve">Only manufacturing industries </w:t>
      </w:r>
      <w:r w:rsidR="00991CFA" w:rsidRPr="00C66A53">
        <w:t xml:space="preserve">and not construction, agriculture, or mining industries </w:t>
      </w:r>
      <w:r w:rsidR="00EA55E4" w:rsidRPr="00C66A53">
        <w:t>were</w:t>
      </w:r>
      <w:r w:rsidR="00A07593" w:rsidRPr="00C66A53">
        <w:t xml:space="preserve"> included in the analysis. QER Base Case </w:t>
      </w:r>
      <w:r w:rsidR="00E82C13">
        <w:t xml:space="preserve">fuel-weighted </w:t>
      </w:r>
      <w:r w:rsidR="00A07593" w:rsidRPr="00C66A53">
        <w:t xml:space="preserve">annual growth rates of 0.6% and 0.74% </w:t>
      </w:r>
      <w:r w:rsidR="00EA55E4" w:rsidRPr="00C66A53">
        <w:t>were</w:t>
      </w:r>
      <w:r w:rsidR="00A07593" w:rsidRPr="00C66A53">
        <w:t xml:space="preserve"> assumed for combustion fuel and electricity </w:t>
      </w:r>
      <w:r w:rsidR="00991CFA" w:rsidRPr="00C66A53">
        <w:t xml:space="preserve">use, respectively, for the baseline and electrification technical potential scenarios. </w:t>
      </w:r>
      <w:r w:rsidR="00BB2849" w:rsidRPr="00C66A53">
        <w:t xml:space="preserve">No consideration of costs </w:t>
      </w:r>
      <w:r w:rsidR="000B7E31">
        <w:t xml:space="preserve">or efficiency improvement </w:t>
      </w:r>
      <w:r w:rsidR="00BB2849" w:rsidRPr="00C66A53">
        <w:t>was made in either scenario.</w:t>
      </w:r>
    </w:p>
    <w:p w:rsidR="00B74872" w:rsidRPr="00C66A53" w:rsidRDefault="007F0CAA">
      <w:r w:rsidRPr="00C66A53">
        <w:t xml:space="preserve">Annual growth </w:t>
      </w:r>
      <w:r w:rsidR="00EA55E4" w:rsidRPr="00C66A53">
        <w:t xml:space="preserve">rates of electrotechnologies </w:t>
      </w:r>
      <w:r w:rsidR="00BF1045">
        <w:t>in</w:t>
      </w:r>
      <w:r w:rsidRPr="00C66A53">
        <w:t xml:space="preserve"> the electrification </w:t>
      </w:r>
      <w:r w:rsidR="00C76508" w:rsidRPr="00C66A53">
        <w:t xml:space="preserve">scenario </w:t>
      </w:r>
      <w:r w:rsidR="00EA55E4" w:rsidRPr="00C66A53">
        <w:t>were</w:t>
      </w:r>
      <w:r w:rsidR="00C76508" w:rsidRPr="00C66A53">
        <w:t xml:space="preserve"> derived from the Electric Power Research Institute (EPRI) El</w:t>
      </w:r>
      <w:r w:rsidR="00C66A53">
        <w:t xml:space="preserve">ectrotechnology Reference Guide </w:t>
      </w:r>
      <w:r w:rsidR="00C66A53" w:rsidRPr="00C66A53">
        <w:fldChar w:fldCharType="begin"/>
      </w:r>
      <w:r w:rsidR="00C66A53" w:rsidRPr="00C66A53">
        <w:instrText xml:space="preserve"> ADDIN ZOTERO_ITEM CSL_CITATION {"citationID":"0OQBlCBZ","properties":{"formattedCitation":"(EPRI 2010)","plainCitation":"(EPRI 2010)"},"citationItems":[{"id":770,"uris":["http://zotero.org/users/local/36uufV8Q/items/NXDV4Z5F"],"uri":["http://zotero.org/users/local/36uufV8Q/items/NXDV4Z5F"],"itemData":{"id":770,"type":"report","title":"Electrotechnology Reference Guide 2010 (draft)","publisher":"Electric Power Research Institute (EPRI)","publisher-place":"Palo Alto, CA","page":"74","event-place":"Palo Alto, CA","abstract":"Industrial use of electricity has declined in recent years, motivating utilities to help their industrial customers take advantage of energy-efficient electrotechnologies.  This updated Electrotechnology Reference Guide (ERG) is a resource for analyzing industrial sectors, identifying applicable technologies, and targeting new opportunities for electricity substitution.  This ERG includes analysis of industrial electricity and natural gas consumption data, electricity consumption estimated for 2000-2010 and forecast through 2020 for 36 electrotechnologies, and an analysis of end-use applications of electricity and natural gas within the industry sectors.","author":[{"literal":"EPRI"}],"issued":{"date-parts":[["2010"]]}}}],"schema":"https://github.com/citation-style-language/schema/raw/master/csl-citation.json"} </w:instrText>
      </w:r>
      <w:r w:rsidR="00C66A53" w:rsidRPr="00C66A53">
        <w:fldChar w:fldCharType="separate"/>
      </w:r>
      <w:r w:rsidR="00C66A53" w:rsidRPr="00C66A53">
        <w:rPr>
          <w:rFonts w:ascii="Calibri" w:hAnsi="Calibri"/>
        </w:rPr>
        <w:t>(EPRI 2010)</w:t>
      </w:r>
      <w:r w:rsidR="00C66A53" w:rsidRPr="00C66A53">
        <w:fldChar w:fldCharType="end"/>
      </w:r>
      <w:r w:rsidR="00C66A53">
        <w:t>.</w:t>
      </w:r>
      <w:r w:rsidR="00C66A53" w:rsidRPr="00C66A53">
        <w:t xml:space="preserve"> </w:t>
      </w:r>
      <w:r w:rsidR="00EA55E4" w:rsidRPr="00C66A53">
        <w:t>Six technologies, shown in Table 1</w:t>
      </w:r>
      <w:r w:rsidR="00303D4A" w:rsidRPr="00C66A53">
        <w:t xml:space="preserve"> along with their annual growth rates</w:t>
      </w:r>
      <w:r w:rsidR="00EA55E4" w:rsidRPr="00C66A53">
        <w:t>, were selected for the scenario based on the magnitude of EPRI’s estimated national growth potential.</w:t>
      </w:r>
      <w:r w:rsidR="002A7935">
        <w:t xml:space="preserve"> These six technologies represent over 75% of EPRI’s projected growth potential. </w:t>
      </w:r>
      <w:r w:rsidR="00EA55E4" w:rsidRPr="00C66A53">
        <w:t xml:space="preserve">Although </w:t>
      </w:r>
      <w:r w:rsidR="00011011" w:rsidRPr="00C66A53">
        <w:t xml:space="preserve">ERPI did not identify </w:t>
      </w:r>
      <w:r w:rsidR="00EA55E4" w:rsidRPr="00C66A53">
        <w:t>industrial process heat</w:t>
      </w:r>
      <w:r w:rsidR="00BF1045">
        <w:t xml:space="preserve"> pumps</w:t>
      </w:r>
      <w:r w:rsidR="00EA55E4" w:rsidRPr="00C66A53">
        <w:t xml:space="preserve"> </w:t>
      </w:r>
      <w:r w:rsidR="00011011" w:rsidRPr="00C66A53">
        <w:t>as having significant growth potential, this technology was included in the electrification scenario based on other estimates</w:t>
      </w:r>
      <w:r w:rsidR="00C66A53">
        <w:t xml:space="preserve"> of its future growth potential </w:t>
      </w:r>
      <w:r w:rsidR="00C66A53" w:rsidRPr="00C66A53">
        <w:fldChar w:fldCharType="begin"/>
      </w:r>
      <w:r w:rsidR="00C66A53" w:rsidRPr="00C66A53">
        <w:instrText xml:space="preserve"> ADDIN ZOTERO_ITEM CSL_CITATION {"citationID":"m1wfuwYf","properties":{"formattedCitation":"(Heat Pump &amp; Thermal Storage Technology Center of Japan 2010; Greenblatt, Wei, and McMahon 2012)","plainCitation":"(Heat Pump &amp; Thermal Storage Technology Center of Japan 2010; Greenblatt, Wei, and McMahon 2012)"},"citationItems":[{"id":545,"uris":["http://zotero.org/users/local/36uufV8Q/items/ME8PXNU9"],"uri":["http://zotero.org/users/local/36uufV8Q/items/ME8PXNU9"],"itemData":{"id":545,"type":"report","title":"Survey of Availability of Heat Pumps in the Food and Beverage Fields","publisher":"Heat Pump &amp; Thermal Storage Technology Center of Japan","publisher-place":"Tokyo, Japan","page":"61","event-place":"Tokyo, Japan","URL":"https://www.hptcj.or.jp/Portals/0/data0/e/publication/pdf/survey.pdf","author":[{"literal":"Heat Pump &amp; Thermal Storage Technology Center of Japan"}],"issued":{"date-parts":[["2010",3]]},"accessed":{"date-parts":[["2016",4,25]]}},"label":"page"},{"id":633,"uris":["http://zotero.org/users/local/36uufV8Q/items/X9TB24F7"],"uri":["http://zotero.org/users/local/36uufV8Q/items/X9TB24F7"],"itemData":{"id":633,"type":"report","title":"California’s Energy Future: Buildings &amp; Industrial Efficiency","publisher":"California Council on Science and Technology","publisher-place":"Sacramento, CA","page":"114","event-place":"Sacramento, CA","abstract":"This report summarizes some of the work of the California’s Energy Future (CEF) committee to quantify the potential for reductions in energy demand through increased energy efficiency throughout the California economy between the present day and 2050. This work took place between April 2009 and January 2011, while improvements to the efficiency analysis itself continued through\nApril 2012. The report developed and explored California’s possible efficiency and electrification\npathways through 2050 in California in the buildings and industrial sectors (the transportation sector\nis dealt with in a separate report; see Yang et al., 2011, though demand projections for all sectors,\nincluding transportation, are summarized in the current report). It does not consider specific policy\nrequirements to achieve these goals; that is the focus of a new effort called the California’s Energy\nFuture Policy project, for which work is still ongoing. Where possible, we have identified barriers to\nimplementation, opportunities and synergies with other activities, and highlighted research needs,\nbut the focus of the report is on the technical requirements of achieving high efficiency gains in the\nState.","URL":"http://ccst.us/publications/2012/2012bie.pdf","author":[{"family":"Greenblatt","given":"Jeffery"},{"family":"Wei","given":"Max"},{"family":"McMahon","given":"James"}],"issued":{"date-parts":[["2012",11]]},"accessed":{"date-parts":[["2016",5,11]]}}}],"schema":"https://github.com/citation-style-language/schema/raw/master/csl-citation.json"} </w:instrText>
      </w:r>
      <w:r w:rsidR="00C66A53" w:rsidRPr="00C66A53">
        <w:fldChar w:fldCharType="separate"/>
      </w:r>
      <w:r w:rsidR="00C66A53" w:rsidRPr="00C66A53">
        <w:rPr>
          <w:rFonts w:ascii="Calibri" w:hAnsi="Calibri"/>
        </w:rPr>
        <w:t>(Heat Pump &amp; Thermal Storage Technology Center of Japan 2010; Greenblatt, Wei, and McMahon 2012)</w:t>
      </w:r>
      <w:r w:rsidR="00C66A53" w:rsidRPr="00C66A53">
        <w:fldChar w:fldCharType="end"/>
      </w:r>
      <w:r w:rsidR="00C66A53">
        <w:t>.</w:t>
      </w:r>
      <w:r w:rsidR="00C66A53" w:rsidRPr="00C66A53">
        <w:t xml:space="preserve"> </w:t>
      </w:r>
      <w:r w:rsidR="00303D4A" w:rsidRPr="00C66A53">
        <w:t>The ERPI estimated annual growth rate was applied</w:t>
      </w:r>
      <w:r w:rsidR="00CD7E60" w:rsidRPr="00C66A53">
        <w:t xml:space="preserve"> to the appropriate end use and industry</w:t>
      </w:r>
      <w:r w:rsidR="00303D4A" w:rsidRPr="00C66A53">
        <w:t xml:space="preserve"> for 2017 –</w:t>
      </w:r>
      <w:r w:rsidR="00A5389F">
        <w:t xml:space="preserve"> 2020.  G</w:t>
      </w:r>
      <w:r w:rsidR="00303D4A" w:rsidRPr="00C66A53">
        <w:t>rowth rates for 2021 – 20</w:t>
      </w:r>
      <w:r w:rsidR="00CE2A22">
        <w:t>50</w:t>
      </w:r>
      <w:r w:rsidR="00303D4A" w:rsidRPr="00C66A53">
        <w:t xml:space="preserve"> were an assumed fr</w:t>
      </w:r>
      <w:r w:rsidR="00A5389F">
        <w:t>action of the EPRI growth rates</w:t>
      </w:r>
      <w:r w:rsidR="000616EF">
        <w:t xml:space="preserve"> (25% of the 2010-2020 annual growth rate for technologies 1-4, 50% of the 2010-2020 annual growth rate for direct arc melting, and a 100% increase in the 2010-2020 annual growth for industrial process heat pumps)</w:t>
      </w:r>
      <w:r w:rsidR="009832F9">
        <w:t>, based on expert judgement</w:t>
      </w:r>
      <w:r w:rsidR="00A5389F">
        <w:t>; electrotechnology substitution was assumed to stop in 2051.</w:t>
      </w:r>
      <w:r w:rsidR="000616EF">
        <w:t xml:space="preserve"> Expert judgment was used based on an extensive literature review and the fact that continuing the same growth rate as used in 2010-2020 fully electrifies several industrial sub-sectors by 2040 which seems unlikely. In the case of heat pumps, </w:t>
      </w:r>
      <w:r w:rsidR="00DE10B7">
        <w:t xml:space="preserve">the annual growth rate was increased after 2020, because </w:t>
      </w:r>
      <w:bookmarkStart w:id="0" w:name="_GoBack"/>
      <w:bookmarkEnd w:id="0"/>
      <w:r w:rsidR="000616EF">
        <w:t>EPRI is more conservative on electrification potential than other sources.</w:t>
      </w:r>
    </w:p>
    <w:p w:rsidR="00B74872" w:rsidRPr="00991CFA" w:rsidRDefault="00B74872" w:rsidP="00B74872">
      <w:pPr>
        <w:pStyle w:val="Caption"/>
        <w:keepNext/>
        <w:rPr>
          <w:color w:val="auto"/>
        </w:rPr>
      </w:pPr>
      <w:r w:rsidRPr="00991CFA">
        <w:rPr>
          <w:color w:val="auto"/>
        </w:rPr>
        <w:t xml:space="preserve">Table </w:t>
      </w:r>
      <w:r w:rsidRPr="00991CFA">
        <w:rPr>
          <w:color w:val="auto"/>
        </w:rPr>
        <w:fldChar w:fldCharType="begin"/>
      </w:r>
      <w:r w:rsidRPr="00991CFA">
        <w:rPr>
          <w:color w:val="auto"/>
        </w:rPr>
        <w:instrText xml:space="preserve"> SEQ Table \* ARABIC </w:instrText>
      </w:r>
      <w:r w:rsidRPr="00991CFA">
        <w:rPr>
          <w:color w:val="auto"/>
        </w:rPr>
        <w:fldChar w:fldCharType="separate"/>
      </w:r>
      <w:r w:rsidRPr="00991CFA">
        <w:rPr>
          <w:noProof/>
          <w:color w:val="auto"/>
        </w:rPr>
        <w:t>1</w:t>
      </w:r>
      <w:r w:rsidRPr="00991CFA">
        <w:rPr>
          <w:color w:val="auto"/>
        </w:rPr>
        <w:fldChar w:fldCharType="end"/>
      </w:r>
      <w:r w:rsidR="00991CFA" w:rsidRPr="00991CFA">
        <w:rPr>
          <w:color w:val="auto"/>
        </w:rPr>
        <w:t xml:space="preserve"> Electrification Technical Potential Scenario: Annual Growth Rates of Selected Electrotechnologies</w:t>
      </w:r>
    </w:p>
    <w:tbl>
      <w:tblPr>
        <w:tblStyle w:val="TableGrid"/>
        <w:tblW w:w="0" w:type="auto"/>
        <w:tblLook w:val="04A0" w:firstRow="1" w:lastRow="0" w:firstColumn="1" w:lastColumn="0" w:noHBand="0" w:noVBand="1"/>
      </w:tblPr>
      <w:tblGrid>
        <w:gridCol w:w="3978"/>
        <w:gridCol w:w="2294"/>
        <w:gridCol w:w="2746"/>
      </w:tblGrid>
      <w:tr w:rsidR="00B74872" w:rsidRPr="00A5389F" w:rsidTr="006F1B9C">
        <w:trPr>
          <w:trHeight w:val="300"/>
        </w:trPr>
        <w:tc>
          <w:tcPr>
            <w:tcW w:w="3978" w:type="dxa"/>
            <w:noWrap/>
            <w:hideMark/>
          </w:tcPr>
          <w:p w:rsidR="00B74872" w:rsidRPr="00A5389F" w:rsidRDefault="00991CFA" w:rsidP="00B74872">
            <w:pPr>
              <w:rPr>
                <w:b/>
                <w:bCs/>
                <w:sz w:val="20"/>
                <w:szCs w:val="20"/>
              </w:rPr>
            </w:pPr>
            <w:r w:rsidRPr="00A5389F">
              <w:rPr>
                <w:b/>
                <w:bCs/>
                <w:sz w:val="20"/>
                <w:szCs w:val="20"/>
              </w:rPr>
              <w:t>El</w:t>
            </w:r>
            <w:r w:rsidR="00B74872" w:rsidRPr="00A5389F">
              <w:rPr>
                <w:b/>
                <w:bCs/>
                <w:sz w:val="20"/>
                <w:szCs w:val="20"/>
              </w:rPr>
              <w:t>ectrotechnology and Applicable Industry</w:t>
            </w:r>
          </w:p>
        </w:tc>
        <w:tc>
          <w:tcPr>
            <w:tcW w:w="2294" w:type="dxa"/>
          </w:tcPr>
          <w:p w:rsidR="00C66A53" w:rsidRPr="00A5389F" w:rsidRDefault="00B74872" w:rsidP="00B74872">
            <w:pPr>
              <w:jc w:val="center"/>
              <w:rPr>
                <w:b/>
                <w:bCs/>
                <w:sz w:val="20"/>
                <w:szCs w:val="20"/>
              </w:rPr>
            </w:pPr>
            <w:r w:rsidRPr="00A5389F">
              <w:rPr>
                <w:b/>
                <w:bCs/>
                <w:sz w:val="20"/>
                <w:szCs w:val="20"/>
              </w:rPr>
              <w:t>ERPI Estimated Annual Growth rate (2010 - 2020)</w:t>
            </w:r>
            <w:r w:rsidR="00A5389F">
              <w:rPr>
                <w:b/>
                <w:bCs/>
                <w:sz w:val="20"/>
                <w:szCs w:val="20"/>
              </w:rPr>
              <w:t xml:space="preserve"> </w:t>
            </w:r>
            <w:r w:rsidR="00C66A53" w:rsidRPr="00A5389F">
              <w:rPr>
                <w:b/>
                <w:sz w:val="20"/>
                <w:szCs w:val="20"/>
              </w:rPr>
              <w:fldChar w:fldCharType="begin"/>
            </w:r>
            <w:r w:rsidR="00C66A53" w:rsidRPr="00A5389F">
              <w:rPr>
                <w:b/>
                <w:sz w:val="20"/>
                <w:szCs w:val="20"/>
              </w:rPr>
              <w:instrText xml:space="preserve"> ADDIN ZOTERO_ITEM CSL_CITATION {"citationID":"BpqE1DvM","properties":{"formattedCitation":"(EPRI 2010)","plainCitation":"(EPRI 2010)"},"citationItems":[{"id":770,"uris":["http://zotero.org/users/local/36uufV8Q/items/NXDV4Z5F"],"uri":["http://zotero.org/users/local/36uufV8Q/items/NXDV4Z5F"],"itemData":{"id":770,"type":"report","title":"Electrotechnology Reference Guide 2010 (draft)","publisher":"Electric Power Research Institute (EPRI)","publisher-place":"Palo Alto, CA","page":"74","event-place":"Palo Alto, CA","abstract":"Industrial use of electricity has declined in recent years, motivating utilities to help their industrial customers take advantage of energy-efficient electrotechnologies.  This updated Electrotechnology Reference Guide (ERG) is a resource for analyzing industrial sectors, identifying applicable technologies, and targeting new opportunities for electricity substitution.  This ERG includes analysis of industrial electricity and natural gas consumption data, electricity consumption estimated for 2000-2010 and forecast through 2020 for 36 electrotechnologies, and an analysis of end-use applications of electricity and natural gas within the industry sectors.","author":[{"literal":"EPRI"}],"issued":{"date-parts":[["2010"]]}}}],"schema":"https://github.com/citation-style-language/schema/raw/master/csl-citation.json"} </w:instrText>
            </w:r>
            <w:r w:rsidR="00C66A53" w:rsidRPr="00A5389F">
              <w:rPr>
                <w:b/>
                <w:sz w:val="20"/>
                <w:szCs w:val="20"/>
              </w:rPr>
              <w:fldChar w:fldCharType="separate"/>
            </w:r>
            <w:r w:rsidR="00C66A53" w:rsidRPr="00A5389F">
              <w:rPr>
                <w:rFonts w:ascii="Calibri" w:hAnsi="Calibri"/>
                <w:b/>
                <w:sz w:val="20"/>
                <w:szCs w:val="20"/>
              </w:rPr>
              <w:t>(EPRI 2010)</w:t>
            </w:r>
            <w:r w:rsidR="00C66A53" w:rsidRPr="00A5389F">
              <w:rPr>
                <w:b/>
                <w:sz w:val="20"/>
                <w:szCs w:val="20"/>
              </w:rPr>
              <w:fldChar w:fldCharType="end"/>
            </w:r>
          </w:p>
        </w:tc>
        <w:tc>
          <w:tcPr>
            <w:tcW w:w="2746" w:type="dxa"/>
            <w:noWrap/>
            <w:hideMark/>
          </w:tcPr>
          <w:p w:rsidR="00B74872" w:rsidRPr="00A5389F" w:rsidRDefault="006F1B9C" w:rsidP="00CE2A22">
            <w:pPr>
              <w:jc w:val="center"/>
              <w:rPr>
                <w:b/>
                <w:bCs/>
                <w:sz w:val="20"/>
                <w:szCs w:val="20"/>
              </w:rPr>
            </w:pPr>
            <w:r w:rsidRPr="00A5389F">
              <w:rPr>
                <w:b/>
                <w:bCs/>
                <w:sz w:val="20"/>
                <w:szCs w:val="20"/>
              </w:rPr>
              <w:t xml:space="preserve">Assumed </w:t>
            </w:r>
            <w:r w:rsidR="00B74872" w:rsidRPr="00A5389F">
              <w:rPr>
                <w:b/>
                <w:bCs/>
                <w:sz w:val="20"/>
                <w:szCs w:val="20"/>
              </w:rPr>
              <w:t>Technical Potential Annual Growth Rate (2021 – 20</w:t>
            </w:r>
            <w:r w:rsidR="00CE2A22" w:rsidRPr="00A5389F">
              <w:rPr>
                <w:b/>
                <w:bCs/>
                <w:sz w:val="20"/>
                <w:szCs w:val="20"/>
              </w:rPr>
              <w:t>50</w:t>
            </w:r>
            <w:r w:rsidR="00B74872" w:rsidRPr="00A5389F">
              <w:rPr>
                <w:b/>
                <w:bCs/>
                <w:sz w:val="20"/>
                <w:szCs w:val="20"/>
              </w:rPr>
              <w:t>)</w:t>
            </w:r>
          </w:p>
        </w:tc>
      </w:tr>
      <w:tr w:rsidR="00B74872" w:rsidRPr="00A5389F" w:rsidTr="006F1B9C">
        <w:trPr>
          <w:trHeight w:val="300"/>
        </w:trPr>
        <w:tc>
          <w:tcPr>
            <w:tcW w:w="3978" w:type="dxa"/>
            <w:noWrap/>
            <w:hideMark/>
          </w:tcPr>
          <w:p w:rsidR="00B74872" w:rsidRPr="00A5389F" w:rsidRDefault="00B74872" w:rsidP="00B74872">
            <w:pPr>
              <w:rPr>
                <w:bCs/>
                <w:sz w:val="20"/>
                <w:szCs w:val="20"/>
              </w:rPr>
            </w:pPr>
            <w:r w:rsidRPr="00A5389F">
              <w:rPr>
                <w:bCs/>
                <w:sz w:val="20"/>
                <w:szCs w:val="20"/>
              </w:rPr>
              <w:t>Electrolytic Reduction (Nonferrous</w:t>
            </w:r>
            <w:r w:rsidR="002D7849">
              <w:rPr>
                <w:bCs/>
                <w:sz w:val="20"/>
                <w:szCs w:val="20"/>
              </w:rPr>
              <w:t xml:space="preserve"> Metals</w:t>
            </w:r>
            <w:r w:rsidRPr="00A5389F">
              <w:rPr>
                <w:bCs/>
                <w:sz w:val="20"/>
                <w:szCs w:val="20"/>
              </w:rPr>
              <w:t>, ex</w:t>
            </w:r>
            <w:r w:rsidR="002D7849">
              <w:rPr>
                <w:bCs/>
                <w:sz w:val="20"/>
                <w:szCs w:val="20"/>
              </w:rPr>
              <w:t>cluding</w:t>
            </w:r>
            <w:r w:rsidRPr="00A5389F">
              <w:rPr>
                <w:bCs/>
                <w:sz w:val="20"/>
                <w:szCs w:val="20"/>
              </w:rPr>
              <w:t xml:space="preserve"> Al</w:t>
            </w:r>
            <w:r w:rsidR="002D7849">
              <w:rPr>
                <w:bCs/>
                <w:sz w:val="20"/>
                <w:szCs w:val="20"/>
              </w:rPr>
              <w:t>uminum</w:t>
            </w:r>
            <w:r w:rsidRPr="00A5389F">
              <w:rPr>
                <w:bCs/>
                <w:sz w:val="20"/>
                <w:szCs w:val="20"/>
              </w:rPr>
              <w:t>)</w:t>
            </w:r>
          </w:p>
        </w:tc>
        <w:tc>
          <w:tcPr>
            <w:tcW w:w="2294" w:type="dxa"/>
          </w:tcPr>
          <w:p w:rsidR="00B74872" w:rsidRPr="00A5389F" w:rsidRDefault="00B74872" w:rsidP="00B74872">
            <w:pPr>
              <w:jc w:val="center"/>
              <w:rPr>
                <w:sz w:val="20"/>
                <w:szCs w:val="20"/>
              </w:rPr>
            </w:pPr>
            <w:r w:rsidRPr="00A5389F">
              <w:rPr>
                <w:sz w:val="20"/>
                <w:szCs w:val="20"/>
              </w:rPr>
              <w:t>7%</w:t>
            </w:r>
          </w:p>
        </w:tc>
        <w:tc>
          <w:tcPr>
            <w:tcW w:w="2746" w:type="dxa"/>
            <w:noWrap/>
            <w:hideMark/>
          </w:tcPr>
          <w:p w:rsidR="00B74872" w:rsidRPr="00A5389F" w:rsidRDefault="00B74872" w:rsidP="00B74872">
            <w:pPr>
              <w:jc w:val="center"/>
              <w:rPr>
                <w:bCs/>
                <w:sz w:val="20"/>
                <w:szCs w:val="20"/>
              </w:rPr>
            </w:pPr>
            <w:r w:rsidRPr="00A5389F">
              <w:rPr>
                <w:bCs/>
                <w:sz w:val="20"/>
                <w:szCs w:val="20"/>
              </w:rPr>
              <w:t>1.8%</w:t>
            </w:r>
          </w:p>
        </w:tc>
      </w:tr>
      <w:tr w:rsidR="00B74872" w:rsidRPr="00A5389F" w:rsidTr="006F1B9C">
        <w:trPr>
          <w:trHeight w:val="300"/>
        </w:trPr>
        <w:tc>
          <w:tcPr>
            <w:tcW w:w="3978" w:type="dxa"/>
            <w:noWrap/>
            <w:hideMark/>
          </w:tcPr>
          <w:p w:rsidR="00B74872" w:rsidRPr="00A5389F" w:rsidRDefault="00B74872" w:rsidP="00B74872">
            <w:pPr>
              <w:rPr>
                <w:bCs/>
                <w:sz w:val="20"/>
                <w:szCs w:val="20"/>
              </w:rPr>
            </w:pPr>
            <w:r w:rsidRPr="00A5389F">
              <w:rPr>
                <w:bCs/>
                <w:sz w:val="20"/>
                <w:szCs w:val="20"/>
              </w:rPr>
              <w:t>Induction Heating (Metal Fabrication)</w:t>
            </w:r>
          </w:p>
        </w:tc>
        <w:tc>
          <w:tcPr>
            <w:tcW w:w="2294" w:type="dxa"/>
          </w:tcPr>
          <w:p w:rsidR="00B74872" w:rsidRPr="00A5389F" w:rsidRDefault="00B74872" w:rsidP="00B74872">
            <w:pPr>
              <w:jc w:val="center"/>
              <w:rPr>
                <w:sz w:val="20"/>
                <w:szCs w:val="20"/>
              </w:rPr>
            </w:pPr>
            <w:r w:rsidRPr="00A5389F">
              <w:rPr>
                <w:sz w:val="20"/>
                <w:szCs w:val="20"/>
              </w:rPr>
              <w:t>2.4%</w:t>
            </w:r>
          </w:p>
        </w:tc>
        <w:tc>
          <w:tcPr>
            <w:tcW w:w="2746" w:type="dxa"/>
            <w:noWrap/>
            <w:hideMark/>
          </w:tcPr>
          <w:p w:rsidR="00B74872" w:rsidRPr="00A5389F" w:rsidRDefault="00B74872" w:rsidP="00B74872">
            <w:pPr>
              <w:jc w:val="center"/>
              <w:rPr>
                <w:bCs/>
                <w:sz w:val="20"/>
                <w:szCs w:val="20"/>
              </w:rPr>
            </w:pPr>
            <w:r w:rsidRPr="00A5389F">
              <w:rPr>
                <w:bCs/>
                <w:sz w:val="20"/>
                <w:szCs w:val="20"/>
              </w:rPr>
              <w:t>0.6%</w:t>
            </w:r>
          </w:p>
        </w:tc>
      </w:tr>
      <w:tr w:rsidR="00B74872" w:rsidRPr="00A5389F" w:rsidTr="006F1B9C">
        <w:trPr>
          <w:trHeight w:val="300"/>
        </w:trPr>
        <w:tc>
          <w:tcPr>
            <w:tcW w:w="3978" w:type="dxa"/>
            <w:noWrap/>
            <w:hideMark/>
          </w:tcPr>
          <w:p w:rsidR="00B74872" w:rsidRPr="00A5389F" w:rsidRDefault="00B74872" w:rsidP="00CD7E60">
            <w:pPr>
              <w:rPr>
                <w:bCs/>
                <w:sz w:val="20"/>
                <w:szCs w:val="20"/>
              </w:rPr>
            </w:pPr>
            <w:r w:rsidRPr="00A5389F">
              <w:rPr>
                <w:bCs/>
                <w:sz w:val="20"/>
                <w:szCs w:val="20"/>
              </w:rPr>
              <w:t>Electric Boilers (All</w:t>
            </w:r>
            <w:r w:rsidR="00CD7E60" w:rsidRPr="00A5389F">
              <w:rPr>
                <w:bCs/>
                <w:sz w:val="20"/>
                <w:szCs w:val="20"/>
              </w:rPr>
              <w:t xml:space="preserve"> industries</w:t>
            </w:r>
            <w:r w:rsidRPr="00A5389F">
              <w:rPr>
                <w:bCs/>
                <w:sz w:val="20"/>
                <w:szCs w:val="20"/>
              </w:rPr>
              <w:t>)</w:t>
            </w:r>
            <w:r w:rsidR="00CD7E60" w:rsidRPr="00A5389F">
              <w:rPr>
                <w:bCs/>
                <w:sz w:val="20"/>
                <w:szCs w:val="20"/>
              </w:rPr>
              <w:t xml:space="preserve"> </w:t>
            </w:r>
            <w:r w:rsidRPr="00A5389F">
              <w:rPr>
                <w:bCs/>
                <w:sz w:val="20"/>
                <w:szCs w:val="20"/>
              </w:rPr>
              <w:t xml:space="preserve"> </w:t>
            </w:r>
          </w:p>
        </w:tc>
        <w:tc>
          <w:tcPr>
            <w:tcW w:w="2294" w:type="dxa"/>
          </w:tcPr>
          <w:p w:rsidR="00B74872" w:rsidRPr="00A5389F" w:rsidRDefault="00B74872" w:rsidP="00B74872">
            <w:pPr>
              <w:jc w:val="center"/>
              <w:rPr>
                <w:sz w:val="20"/>
                <w:szCs w:val="20"/>
              </w:rPr>
            </w:pPr>
            <w:r w:rsidRPr="00A5389F">
              <w:rPr>
                <w:sz w:val="20"/>
                <w:szCs w:val="20"/>
              </w:rPr>
              <w:t>8.6%</w:t>
            </w:r>
          </w:p>
        </w:tc>
        <w:tc>
          <w:tcPr>
            <w:tcW w:w="2746" w:type="dxa"/>
            <w:noWrap/>
            <w:hideMark/>
          </w:tcPr>
          <w:p w:rsidR="00B74872" w:rsidRPr="00A5389F" w:rsidRDefault="00B74872" w:rsidP="00B74872">
            <w:pPr>
              <w:jc w:val="center"/>
              <w:rPr>
                <w:bCs/>
                <w:sz w:val="20"/>
                <w:szCs w:val="20"/>
              </w:rPr>
            </w:pPr>
            <w:r w:rsidRPr="00A5389F">
              <w:rPr>
                <w:bCs/>
                <w:sz w:val="20"/>
                <w:szCs w:val="20"/>
              </w:rPr>
              <w:t>2.2%</w:t>
            </w:r>
          </w:p>
        </w:tc>
      </w:tr>
      <w:tr w:rsidR="00B74872" w:rsidRPr="00A5389F" w:rsidTr="006F1B9C">
        <w:trPr>
          <w:trHeight w:val="300"/>
        </w:trPr>
        <w:tc>
          <w:tcPr>
            <w:tcW w:w="3978" w:type="dxa"/>
            <w:hideMark/>
          </w:tcPr>
          <w:p w:rsidR="00B74872" w:rsidRPr="00A5389F" w:rsidRDefault="00B74872" w:rsidP="00B74872">
            <w:pPr>
              <w:rPr>
                <w:bCs/>
                <w:sz w:val="20"/>
                <w:szCs w:val="20"/>
              </w:rPr>
            </w:pPr>
            <w:r w:rsidRPr="00A5389F">
              <w:rPr>
                <w:bCs/>
                <w:sz w:val="20"/>
                <w:szCs w:val="20"/>
              </w:rPr>
              <w:t>Resistance Heating and Melting (Glass)</w:t>
            </w:r>
          </w:p>
        </w:tc>
        <w:tc>
          <w:tcPr>
            <w:tcW w:w="2294" w:type="dxa"/>
          </w:tcPr>
          <w:p w:rsidR="00B74872" w:rsidRPr="00A5389F" w:rsidRDefault="00B74872" w:rsidP="00B74872">
            <w:pPr>
              <w:jc w:val="center"/>
              <w:rPr>
                <w:sz w:val="20"/>
                <w:szCs w:val="20"/>
              </w:rPr>
            </w:pPr>
            <w:r w:rsidRPr="00A5389F">
              <w:rPr>
                <w:sz w:val="20"/>
                <w:szCs w:val="20"/>
              </w:rPr>
              <w:t>3.6%</w:t>
            </w:r>
          </w:p>
        </w:tc>
        <w:tc>
          <w:tcPr>
            <w:tcW w:w="2746" w:type="dxa"/>
            <w:noWrap/>
            <w:hideMark/>
          </w:tcPr>
          <w:p w:rsidR="00B74872" w:rsidRPr="00A5389F" w:rsidRDefault="00B74872" w:rsidP="00B74872">
            <w:pPr>
              <w:jc w:val="center"/>
              <w:rPr>
                <w:bCs/>
                <w:sz w:val="20"/>
                <w:szCs w:val="20"/>
              </w:rPr>
            </w:pPr>
            <w:r w:rsidRPr="00A5389F">
              <w:rPr>
                <w:bCs/>
                <w:sz w:val="20"/>
                <w:szCs w:val="20"/>
              </w:rPr>
              <w:t>0.9%</w:t>
            </w:r>
          </w:p>
        </w:tc>
      </w:tr>
      <w:tr w:rsidR="00B74872" w:rsidRPr="00A5389F" w:rsidTr="006F1B9C">
        <w:trPr>
          <w:trHeight w:val="300"/>
        </w:trPr>
        <w:tc>
          <w:tcPr>
            <w:tcW w:w="3978" w:type="dxa"/>
            <w:noWrap/>
            <w:hideMark/>
          </w:tcPr>
          <w:p w:rsidR="00B74872" w:rsidRPr="00A5389F" w:rsidRDefault="00B74872" w:rsidP="00B74872">
            <w:pPr>
              <w:rPr>
                <w:bCs/>
                <w:sz w:val="20"/>
                <w:szCs w:val="20"/>
              </w:rPr>
            </w:pPr>
            <w:r w:rsidRPr="00A5389F">
              <w:rPr>
                <w:bCs/>
                <w:sz w:val="20"/>
                <w:szCs w:val="20"/>
              </w:rPr>
              <w:t>Direct Arc Melting (Iron and Steel)</w:t>
            </w:r>
          </w:p>
        </w:tc>
        <w:tc>
          <w:tcPr>
            <w:tcW w:w="2294" w:type="dxa"/>
          </w:tcPr>
          <w:p w:rsidR="00B74872" w:rsidRPr="00A5389F" w:rsidRDefault="00B74872" w:rsidP="00B74872">
            <w:pPr>
              <w:jc w:val="center"/>
              <w:rPr>
                <w:sz w:val="20"/>
                <w:szCs w:val="20"/>
              </w:rPr>
            </w:pPr>
            <w:r w:rsidRPr="00A5389F">
              <w:rPr>
                <w:sz w:val="20"/>
                <w:szCs w:val="20"/>
              </w:rPr>
              <w:t>4.8%</w:t>
            </w:r>
          </w:p>
        </w:tc>
        <w:tc>
          <w:tcPr>
            <w:tcW w:w="2746" w:type="dxa"/>
            <w:noWrap/>
            <w:hideMark/>
          </w:tcPr>
          <w:p w:rsidR="00B74872" w:rsidRPr="00A5389F" w:rsidRDefault="00B74872" w:rsidP="00B74872">
            <w:pPr>
              <w:jc w:val="center"/>
              <w:rPr>
                <w:bCs/>
                <w:sz w:val="20"/>
                <w:szCs w:val="20"/>
              </w:rPr>
            </w:pPr>
            <w:r w:rsidRPr="00A5389F">
              <w:rPr>
                <w:bCs/>
                <w:sz w:val="20"/>
                <w:szCs w:val="20"/>
              </w:rPr>
              <w:t>2.4%</w:t>
            </w:r>
          </w:p>
        </w:tc>
      </w:tr>
      <w:tr w:rsidR="00B74872" w:rsidRPr="00A5389F" w:rsidTr="006F1B9C">
        <w:trPr>
          <w:trHeight w:val="600"/>
        </w:trPr>
        <w:tc>
          <w:tcPr>
            <w:tcW w:w="3978" w:type="dxa"/>
            <w:hideMark/>
          </w:tcPr>
          <w:p w:rsidR="00B74872" w:rsidRPr="00A5389F" w:rsidRDefault="00B74872" w:rsidP="00B74872">
            <w:pPr>
              <w:rPr>
                <w:bCs/>
                <w:sz w:val="20"/>
                <w:szCs w:val="20"/>
              </w:rPr>
            </w:pPr>
            <w:r w:rsidRPr="00A5389F">
              <w:rPr>
                <w:bCs/>
                <w:sz w:val="20"/>
                <w:szCs w:val="20"/>
              </w:rPr>
              <w:t>Industrial Process Heat Pump (Food, Paper, Chemicals)</w:t>
            </w:r>
          </w:p>
        </w:tc>
        <w:tc>
          <w:tcPr>
            <w:tcW w:w="2294" w:type="dxa"/>
          </w:tcPr>
          <w:p w:rsidR="00B74872" w:rsidRPr="00A5389F" w:rsidRDefault="00B74872" w:rsidP="00B74872">
            <w:pPr>
              <w:jc w:val="center"/>
              <w:rPr>
                <w:sz w:val="20"/>
                <w:szCs w:val="20"/>
              </w:rPr>
            </w:pPr>
            <w:r w:rsidRPr="00A5389F">
              <w:rPr>
                <w:sz w:val="20"/>
                <w:szCs w:val="20"/>
              </w:rPr>
              <w:t>1.3%</w:t>
            </w:r>
          </w:p>
        </w:tc>
        <w:tc>
          <w:tcPr>
            <w:tcW w:w="2746" w:type="dxa"/>
            <w:noWrap/>
            <w:hideMark/>
          </w:tcPr>
          <w:p w:rsidR="00B74872" w:rsidRPr="00A5389F" w:rsidRDefault="00B74872" w:rsidP="00B74872">
            <w:pPr>
              <w:jc w:val="center"/>
              <w:rPr>
                <w:bCs/>
                <w:sz w:val="20"/>
                <w:szCs w:val="20"/>
              </w:rPr>
            </w:pPr>
            <w:r w:rsidRPr="00A5389F">
              <w:rPr>
                <w:bCs/>
                <w:sz w:val="20"/>
                <w:szCs w:val="20"/>
              </w:rPr>
              <w:t>2.6%</w:t>
            </w:r>
          </w:p>
        </w:tc>
      </w:tr>
    </w:tbl>
    <w:p w:rsidR="00B74872" w:rsidRDefault="00B74872"/>
    <w:p w:rsidR="00CE2A22" w:rsidRDefault="00BB2849" w:rsidP="00303D4A">
      <w:r>
        <w:t xml:space="preserve">The </w:t>
      </w:r>
      <w:r w:rsidR="002B2887">
        <w:t>substitu</w:t>
      </w:r>
      <w:r>
        <w:t>tion of</w:t>
      </w:r>
      <w:r w:rsidR="002B2887">
        <w:t xml:space="preserve"> electricity for</w:t>
      </w:r>
      <w:r>
        <w:t xml:space="preserve"> combustion fuels </w:t>
      </w:r>
      <w:r w:rsidR="002B2887">
        <w:t>was not assumed to</w:t>
      </w:r>
      <w:r w:rsidR="00C66A53">
        <w:t xml:space="preserve"> occur on a 1:1 basis. Instead, </w:t>
      </w:r>
      <w:r w:rsidR="002B2887">
        <w:t xml:space="preserve">relative efficiencies were estimated by fuel and end use based on energy losses </w:t>
      </w:r>
      <w:r w:rsidR="00C66A53">
        <w:t xml:space="preserve">from </w:t>
      </w:r>
      <w:r w:rsidR="00C66A53">
        <w:fldChar w:fldCharType="begin"/>
      </w:r>
      <w:r w:rsidR="00C66A53">
        <w:instrText xml:space="preserve"> ADDIN ZOTERO_ITEM CSL_CITATION {"citationID":"cJIv2iH2","properties":{"custom":"Pellegrino et al. (2004)","formattedCitation":"Pellegrino et al. (2004)","plainCitation":"Pellegrino et al. (2004)"},"citationItems":[{"id":753,"uris":["http://zotero.org/users/local/36uufV8Q/items/ZMTKFGW7"],"uri":["http://zotero.org/users/local/36uufV8Q/items/ZMTKFGW7"],"itemData":{"id":753,"type":"report","title":"Energy Use, Loss and Opportunities Analysis:  U.S. Manufacturing and Mining","publisher":"U.S. Department of Energy, Industrial Technologies Program","publisher-place":"Washington, D.C","page":"169","event-place":"Washington, D.C","URL":"https://www1.eere.energy.gov/manufacturing/intensiveprocesses/pdfs/energy_use_loss_opportunities_analysis.pdf","author":[{"family":"Pellegrino","given":"Joan L"},{"family":"Margolis","given":"Nancy"},{"family":"Justiniano","given":"Mauricio"},{"family":"Miller","given":"Melanie"},{"family":"Thedki","given":"Arvind"}],"issued":{"date-parts":[["2004",12]]},"accessed":{"date-parts":[["2016",6,13]]}}}],"schema":"https://github.com/citation-style-language/schema/raw/master/csl-citation.json"} </w:instrText>
      </w:r>
      <w:r w:rsidR="00C66A53">
        <w:fldChar w:fldCharType="separate"/>
      </w:r>
      <w:r w:rsidR="00C66A53" w:rsidRPr="00C66A53">
        <w:rPr>
          <w:rFonts w:ascii="Calibri" w:hAnsi="Calibri"/>
        </w:rPr>
        <w:t>Pellegrino et al. (2004)</w:t>
      </w:r>
      <w:r w:rsidR="00C66A53">
        <w:fldChar w:fldCharType="end"/>
      </w:r>
      <w:r w:rsidR="00C66A53">
        <w:t xml:space="preserve"> and efficiency data from </w:t>
      </w:r>
      <w:r w:rsidR="007E7D9C">
        <w:fldChar w:fldCharType="begin"/>
      </w:r>
      <w:r w:rsidR="00A5389F">
        <w:instrText xml:space="preserve"> ADDIN ZOTERO_ITEM CSL_CITATION {"citationID":"pxl6bhqA","properties":{"custom":"Council of Industrial Boiler Owners (CIBO) (n.d.) and S. Wolf (2012)","formattedCitation":"Council of Industrial Boiler Owners (CIBO) (n.d.) and S. Wolf (2012)","plainCitation":"Council of Industrial Boiler Owners (CIBO) (n.d.) and S. Wolf (2012)"},"citationItems":[{"id":774,"uris":["http://zotero.org/users/local/36uufV8Q/items/E49CP8AM"],"uri":["http://zotero.org/users/local/36uufV8Q/items/E49CP8AM"],"itemData":{"id":774,"type":"webpage","title":"Energy Efficiency &amp; Industrial Boiler Efficiency: An Industry Perspective","URL":"http://invenoinc.com/file/Energy-Efficieny-adn-Industrial-Boiler-Efficiency.pdf","author":[{"literal":"Council of Industrial Boiler Owners (CIBO)"}],"issued":{"literal":"no date"},"accessed":{"date-parts":[["2016",5,2]]}},"label":"page"},{"id":776,"uris":["http://zotero.org/users/local/36uufV8Q/items/AMIWRB4N"],"uri":["http://zotero.org/users/local/36uufV8Q/items/AMIWRB4N"],"itemData":{"id":776,"type":"speech","title":"Industrial heat pumps in Germany - potentials, technological development and application examples","publisher-place":"Frankfurt, Germany","event":"ACHEMA 2012","event-place":"Frankfurt, Germany","URL":"http://web.ornl.gov/sci/ees/etsd/btric/usnt/03InHPsAchmaIERWolf.pdf","author":[{"family":"Wolf","given":"S."}],"issued":{"date-parts":[["2012",6,13]]},"accessed":{"date-parts":[["2016",5,10]]}},"label":"page"}],"schema":"https://github.com/citation-style-language/schema/raw/master/csl-citation.json"} </w:instrText>
      </w:r>
      <w:r w:rsidR="007E7D9C">
        <w:fldChar w:fldCharType="separate"/>
      </w:r>
      <w:r w:rsidR="00A5389F" w:rsidRPr="00A5389F">
        <w:rPr>
          <w:rFonts w:ascii="Calibri" w:hAnsi="Calibri"/>
        </w:rPr>
        <w:t>Council of Industrial Boiler Owners (CIBO) (n.d.) and S. Wolf (2012)</w:t>
      </w:r>
      <w:r w:rsidR="007E7D9C">
        <w:fldChar w:fldCharType="end"/>
      </w:r>
      <w:r w:rsidR="00C66A53">
        <w:t>.</w:t>
      </w:r>
      <w:r w:rsidR="002B2887">
        <w:t xml:space="preserve">  </w:t>
      </w:r>
      <w:r w:rsidR="00BF1045">
        <w:t xml:space="preserve">Note that projections </w:t>
      </w:r>
      <w:r w:rsidR="00EC0771">
        <w:t>were</w:t>
      </w:r>
      <w:r w:rsidR="00BF1045">
        <w:t xml:space="preserve"> for site, not primary, energy. </w:t>
      </w:r>
    </w:p>
    <w:p w:rsidR="00CE2A22" w:rsidRDefault="00CE2A22" w:rsidP="00303D4A"/>
    <w:p w:rsidR="00303D4A" w:rsidRDefault="00CE2A22" w:rsidP="00303D4A">
      <w:r>
        <w:t>Works Cited</w:t>
      </w:r>
      <w:r w:rsidR="00303D4A">
        <w:t xml:space="preserve"> </w:t>
      </w:r>
    </w:p>
    <w:p w:rsidR="008B3111" w:rsidRPr="008B3111" w:rsidRDefault="007E7D9C" w:rsidP="008B3111">
      <w:pPr>
        <w:pStyle w:val="Bibliography"/>
        <w:rPr>
          <w:rFonts w:ascii="Calibri" w:hAnsi="Calibri"/>
        </w:rPr>
      </w:pPr>
      <w:r>
        <w:lastRenderedPageBreak/>
        <w:fldChar w:fldCharType="begin"/>
      </w:r>
      <w:r w:rsidR="00A5389F">
        <w:instrText xml:space="preserve"> ADDIN ZOTERO_BIBL {"custom":[]} CSL_BIBLIOGRAPHY </w:instrText>
      </w:r>
      <w:r>
        <w:fldChar w:fldCharType="separate"/>
      </w:r>
      <w:r w:rsidR="008B3111" w:rsidRPr="008B3111">
        <w:rPr>
          <w:rFonts w:ascii="Calibri" w:hAnsi="Calibri"/>
        </w:rPr>
        <w:t xml:space="preserve">Choate, William T., and John A.S. Green. 2003. “U.S. Aluminum Production Energy Requirements: Historical Perspective, Theoretical Limits, and New Opportunities.” In </w:t>
      </w:r>
      <w:r w:rsidR="008B3111" w:rsidRPr="008B3111">
        <w:rPr>
          <w:rFonts w:ascii="Calibri" w:hAnsi="Calibri"/>
          <w:i/>
          <w:iCs/>
        </w:rPr>
        <w:t>Sustainability and Industry: Increasing Energy Efficiency &amp; Reducing Emissions</w:t>
      </w:r>
      <w:r w:rsidR="008B3111" w:rsidRPr="008B3111">
        <w:rPr>
          <w:rFonts w:ascii="Calibri" w:hAnsi="Calibri"/>
        </w:rPr>
        <w:t>. ACEEE. http://aceee.org/files/proceedings/2003/data/papers/SS03_Panel1_Paper02.pdf.</w:t>
      </w:r>
    </w:p>
    <w:p w:rsidR="008B3111" w:rsidRPr="008B3111" w:rsidRDefault="008B3111" w:rsidP="008B3111">
      <w:pPr>
        <w:pStyle w:val="Bibliography"/>
        <w:rPr>
          <w:rFonts w:ascii="Calibri" w:hAnsi="Calibri"/>
        </w:rPr>
      </w:pPr>
      <w:r w:rsidRPr="008B3111">
        <w:rPr>
          <w:rFonts w:ascii="Calibri" w:hAnsi="Calibri"/>
        </w:rPr>
        <w:t>Council of Industrial Boiler Owners (CIBO). no date. “Energy Efficiency &amp; Industrial Boiler Efficiency: An Industry Perspective.” http://invenoinc.com/file/Energy-Efficieny-adn-Industrial-Boiler-Efficiency.pdf.</w:t>
      </w:r>
    </w:p>
    <w:p w:rsidR="008B3111" w:rsidRPr="008B3111" w:rsidRDefault="008B3111" w:rsidP="008B3111">
      <w:pPr>
        <w:pStyle w:val="Bibliography"/>
        <w:rPr>
          <w:rFonts w:ascii="Calibri" w:hAnsi="Calibri"/>
        </w:rPr>
      </w:pPr>
      <w:r w:rsidRPr="008B3111">
        <w:rPr>
          <w:rFonts w:ascii="Calibri" w:hAnsi="Calibri"/>
        </w:rPr>
        <w:t>David M. Rue, James Servaites, and Warren Wolf. 2007. “Industrial Glass Bandwidth Analysis.” Des Plaines, IL: Gas Technology Institute Energy Utilization Center. http://www1.eere.energy.gov/manufacturing/resources/glass/pdfs/industrial_bandwidth.pdf.</w:t>
      </w:r>
    </w:p>
    <w:p w:rsidR="008B3111" w:rsidRPr="008B3111" w:rsidRDefault="008B3111" w:rsidP="008B3111">
      <w:pPr>
        <w:pStyle w:val="Bibliography"/>
        <w:rPr>
          <w:rFonts w:ascii="Calibri" w:hAnsi="Calibri"/>
        </w:rPr>
      </w:pPr>
      <w:r w:rsidRPr="008B3111">
        <w:rPr>
          <w:rFonts w:ascii="Calibri" w:hAnsi="Calibri"/>
        </w:rPr>
        <w:t>EPRI. 2010. “Electrotechnology Reference Guide 2010 (draft).” Palo Alto, CA: Electric Power Research Institute (EPRI).</w:t>
      </w:r>
    </w:p>
    <w:p w:rsidR="008B3111" w:rsidRPr="008B3111" w:rsidRDefault="008B3111" w:rsidP="008B3111">
      <w:pPr>
        <w:pStyle w:val="Bibliography"/>
        <w:rPr>
          <w:rFonts w:ascii="Calibri" w:hAnsi="Calibri"/>
        </w:rPr>
      </w:pPr>
      <w:r w:rsidRPr="008B3111">
        <w:rPr>
          <w:rFonts w:ascii="Calibri" w:hAnsi="Calibri"/>
        </w:rPr>
        <w:t>Greenblatt, Jeffery, Max Wei, and James McMahon. 2012. “California’s Energy Future: Buildings &amp; Industrial Efficiency.” Sacramento, CA: California Council on Science and Technology. http://ccst.us/publications/2012/2012bie.pdf.</w:t>
      </w:r>
    </w:p>
    <w:p w:rsidR="008B3111" w:rsidRPr="008B3111" w:rsidRDefault="008B3111" w:rsidP="008B3111">
      <w:pPr>
        <w:pStyle w:val="Bibliography"/>
        <w:rPr>
          <w:rFonts w:ascii="Calibri" w:hAnsi="Calibri"/>
        </w:rPr>
      </w:pPr>
      <w:r w:rsidRPr="008B3111">
        <w:rPr>
          <w:rFonts w:ascii="Calibri" w:hAnsi="Calibri"/>
        </w:rPr>
        <w:t>Heat Pump &amp; Thermal Storage Technology Center of Japan. 2010. “Survey of Availability of Heat Pumps in the Food and Beverage Fields.” Tokyo, Japan: Heat Pump &amp; Thermal Storage Technology Center of Japan. https://www.hptcj.or.jp/Portals/0/data0/e/publication/pdf/survey.pdf.</w:t>
      </w:r>
    </w:p>
    <w:p w:rsidR="008B3111" w:rsidRPr="008B3111" w:rsidRDefault="008B3111" w:rsidP="008B3111">
      <w:pPr>
        <w:pStyle w:val="Bibliography"/>
        <w:rPr>
          <w:rFonts w:ascii="Calibri" w:hAnsi="Calibri"/>
        </w:rPr>
      </w:pPr>
      <w:r w:rsidRPr="008B3111">
        <w:rPr>
          <w:rFonts w:ascii="Calibri" w:hAnsi="Calibri"/>
        </w:rPr>
        <w:t>Pellegrino, Joan L, Nancy Margolis, Mauricio Justiniano, Melanie Miller, and Arvind Thedki. 2004. “Energy Use, Loss and Opportunities Analysis:  U.S. Manufacturing and Mining.” Washington, D.C: U.S. Department of Energy, Industrial Technologies Program. https://www1.eere.energy.gov/manufacturing/intensiveprocesses/pdfs/energy_use_loss_opportunities_analysis.pdf.</w:t>
      </w:r>
    </w:p>
    <w:p w:rsidR="008B3111" w:rsidRPr="008B3111" w:rsidRDefault="008B3111" w:rsidP="008B3111">
      <w:pPr>
        <w:pStyle w:val="Bibliography"/>
        <w:rPr>
          <w:rFonts w:ascii="Calibri" w:hAnsi="Calibri"/>
        </w:rPr>
      </w:pPr>
      <w:r w:rsidRPr="008B3111">
        <w:rPr>
          <w:rFonts w:ascii="Calibri" w:hAnsi="Calibri"/>
        </w:rPr>
        <w:t>U.S. Department of Energy. 2007. “Mining Industry Energy Bandwidth Study.” Washington, D.C: U.S. Department of Energy Industrial Technologies Program. http://www.energy.gov/eere/amo/downloads/us-mining-industry-energy-bandwidth-study.</w:t>
      </w:r>
    </w:p>
    <w:p w:rsidR="008B3111" w:rsidRPr="008B3111" w:rsidRDefault="008B3111" w:rsidP="008B3111">
      <w:pPr>
        <w:pStyle w:val="Bibliography"/>
        <w:rPr>
          <w:rFonts w:ascii="Calibri" w:hAnsi="Calibri"/>
        </w:rPr>
      </w:pPr>
      <w:r w:rsidRPr="008B3111">
        <w:rPr>
          <w:rFonts w:ascii="Calibri" w:hAnsi="Calibri"/>
        </w:rPr>
        <w:t>———. 2015a. “Bandwidth Study on Energy Use and Potential Energy Saving Opportunities in U.S. Chemical Manufacturing.” Washington, D.C: U.S. Department of Energy Energy Efficiency and Renewable Energy. http://energy.gov/eere/amo/downloads/bandwidth-study-us-chemical-manufacturing.</w:t>
      </w:r>
    </w:p>
    <w:p w:rsidR="008B3111" w:rsidRPr="008B3111" w:rsidRDefault="008B3111" w:rsidP="008B3111">
      <w:pPr>
        <w:pStyle w:val="Bibliography"/>
        <w:rPr>
          <w:rFonts w:ascii="Calibri" w:hAnsi="Calibri"/>
        </w:rPr>
      </w:pPr>
      <w:r w:rsidRPr="008B3111">
        <w:rPr>
          <w:rFonts w:ascii="Calibri" w:hAnsi="Calibri"/>
        </w:rPr>
        <w:t>———. 2015b. “Bandwidth Study on Energy Use and Potential Energy Saving Opportunities in U.S. Iron and Steel Manufacturing.” Washington, D.C: U.S. Department of Energy Energy Efficiency and Renewable Energy. http://energy.gov/eere/amo/downloads/bandwidth-study-us-iron-and-steel-manufacturing.</w:t>
      </w:r>
    </w:p>
    <w:p w:rsidR="008B3111" w:rsidRPr="008B3111" w:rsidRDefault="008B3111" w:rsidP="008B3111">
      <w:pPr>
        <w:pStyle w:val="Bibliography"/>
        <w:rPr>
          <w:rFonts w:ascii="Calibri" w:hAnsi="Calibri"/>
        </w:rPr>
      </w:pPr>
      <w:r w:rsidRPr="008B3111">
        <w:rPr>
          <w:rFonts w:ascii="Calibri" w:hAnsi="Calibri"/>
        </w:rPr>
        <w:t>———. 2015c. “Bandwidth Study on Energy Use and Potential Energy Saving Opportunities in U.S. Petroleum Refining.” Washington, D.C: U.S. Department of Energy Energy Efficiency and Renewable Energy. http://energy.gov/eere/amo/downloads/bandwidth-study-us-petroleum-refining.</w:t>
      </w:r>
    </w:p>
    <w:p w:rsidR="008B3111" w:rsidRPr="008B3111" w:rsidRDefault="008B3111" w:rsidP="008B3111">
      <w:pPr>
        <w:pStyle w:val="Bibliography"/>
        <w:rPr>
          <w:rFonts w:ascii="Calibri" w:hAnsi="Calibri"/>
        </w:rPr>
      </w:pPr>
      <w:r w:rsidRPr="008B3111">
        <w:rPr>
          <w:rFonts w:ascii="Calibri" w:hAnsi="Calibri"/>
        </w:rPr>
        <w:t>———. 2015d. “Bandwidth Study on Energy Use and Potential Energy Saving Opportunities in U.S. Pulp and Paper Manufacturing.” Washington, D.C: U.S. Department of Energy Energy Efficiency and Renewable Energy. http://energy.gov/eere/amo/downloads/bandwidth-study-us-pulp-and-paper-manufacturing.</w:t>
      </w:r>
    </w:p>
    <w:p w:rsidR="008B3111" w:rsidRPr="008B3111" w:rsidRDefault="008B3111" w:rsidP="008B3111">
      <w:pPr>
        <w:pStyle w:val="Bibliography"/>
        <w:rPr>
          <w:rFonts w:ascii="Calibri" w:hAnsi="Calibri"/>
        </w:rPr>
      </w:pPr>
      <w:r w:rsidRPr="008B3111">
        <w:rPr>
          <w:rFonts w:ascii="Calibri" w:hAnsi="Calibri"/>
        </w:rPr>
        <w:t xml:space="preserve">U.S. Energy Information Administration. 2015. “2010 Manufacturing Energy Consumption Survey.” </w:t>
      </w:r>
      <w:r w:rsidRPr="008B3111">
        <w:rPr>
          <w:rFonts w:ascii="Calibri" w:hAnsi="Calibri"/>
          <w:i/>
          <w:iCs/>
        </w:rPr>
        <w:t>2010 MECS Survey Data</w:t>
      </w:r>
      <w:r w:rsidRPr="008B3111">
        <w:rPr>
          <w:rFonts w:ascii="Calibri" w:hAnsi="Calibri"/>
        </w:rPr>
        <w:t>. Accessed December 8. http://www.eia.gov/consumption/manufacturing/data/2010/.</w:t>
      </w:r>
    </w:p>
    <w:p w:rsidR="008B3111" w:rsidRPr="008B3111" w:rsidRDefault="008B3111" w:rsidP="008B3111">
      <w:pPr>
        <w:pStyle w:val="Bibliography"/>
        <w:rPr>
          <w:rFonts w:ascii="Calibri" w:hAnsi="Calibri"/>
        </w:rPr>
      </w:pPr>
      <w:r w:rsidRPr="008B3111">
        <w:rPr>
          <w:rFonts w:ascii="Calibri" w:hAnsi="Calibri"/>
        </w:rPr>
        <w:t>Wolf, S. 2012. “Industrial Heat Pumps in Germany - Potentials, Technological Development and Application Examples.” presented at the ACHEMA 2012, Frankfurt, Germany, June 13. http://web.ornl.gov/sci/ees/etsd/btric/usnt/03InHPsAchmaIERWolf.pdf.</w:t>
      </w:r>
    </w:p>
    <w:p w:rsidR="00C76508" w:rsidRDefault="007E7D9C">
      <w:r>
        <w:lastRenderedPageBreak/>
        <w:fldChar w:fldCharType="end"/>
      </w:r>
    </w:p>
    <w:sectPr w:rsidR="00C765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38D" w:rsidRDefault="00E4038D" w:rsidP="00E4038D">
      <w:pPr>
        <w:spacing w:after="0" w:line="240" w:lineRule="auto"/>
      </w:pPr>
      <w:r>
        <w:separator/>
      </w:r>
    </w:p>
  </w:endnote>
  <w:endnote w:type="continuationSeparator" w:id="0">
    <w:p w:rsidR="00E4038D" w:rsidRDefault="00E4038D" w:rsidP="00E40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38D" w:rsidRDefault="00E4038D" w:rsidP="00E4038D">
      <w:pPr>
        <w:spacing w:after="0" w:line="240" w:lineRule="auto"/>
      </w:pPr>
      <w:r>
        <w:separator/>
      </w:r>
    </w:p>
  </w:footnote>
  <w:footnote w:type="continuationSeparator" w:id="0">
    <w:p w:rsidR="00E4038D" w:rsidRDefault="00E4038D" w:rsidP="00E403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564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C8E"/>
    <w:rsid w:val="00011011"/>
    <w:rsid w:val="000616EF"/>
    <w:rsid w:val="000B7E31"/>
    <w:rsid w:val="002A7935"/>
    <w:rsid w:val="002B2887"/>
    <w:rsid w:val="002B61CC"/>
    <w:rsid w:val="002D7849"/>
    <w:rsid w:val="00303D4A"/>
    <w:rsid w:val="0033165A"/>
    <w:rsid w:val="005F4C8E"/>
    <w:rsid w:val="00610B7C"/>
    <w:rsid w:val="006F1B9C"/>
    <w:rsid w:val="007E7D9C"/>
    <w:rsid w:val="007F0CAA"/>
    <w:rsid w:val="008162B8"/>
    <w:rsid w:val="008B2443"/>
    <w:rsid w:val="008B3111"/>
    <w:rsid w:val="009333A0"/>
    <w:rsid w:val="0094471B"/>
    <w:rsid w:val="009568BA"/>
    <w:rsid w:val="009832F9"/>
    <w:rsid w:val="00991CFA"/>
    <w:rsid w:val="00A07593"/>
    <w:rsid w:val="00A5389F"/>
    <w:rsid w:val="00B74872"/>
    <w:rsid w:val="00BB2849"/>
    <w:rsid w:val="00BF1045"/>
    <w:rsid w:val="00C66A53"/>
    <w:rsid w:val="00C76508"/>
    <w:rsid w:val="00CA11DD"/>
    <w:rsid w:val="00CB796A"/>
    <w:rsid w:val="00CD7E60"/>
    <w:rsid w:val="00CE2A22"/>
    <w:rsid w:val="00DE10B7"/>
    <w:rsid w:val="00E4038D"/>
    <w:rsid w:val="00E5350D"/>
    <w:rsid w:val="00E82C13"/>
    <w:rsid w:val="00EA55E4"/>
    <w:rsid w:val="00EC0771"/>
    <w:rsid w:val="00EF3B15"/>
    <w:rsid w:val="00F8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FDBB83-085F-4493-B6EE-1479C1444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74872"/>
    <w:pPr>
      <w:spacing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E4038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038D"/>
    <w:rPr>
      <w:sz w:val="20"/>
      <w:szCs w:val="20"/>
    </w:rPr>
  </w:style>
  <w:style w:type="character" w:styleId="EndnoteReference">
    <w:name w:val="endnote reference"/>
    <w:basedOn w:val="DefaultParagraphFont"/>
    <w:uiPriority w:val="99"/>
    <w:semiHidden/>
    <w:unhideWhenUsed/>
    <w:rsid w:val="00E4038D"/>
    <w:rPr>
      <w:vertAlign w:val="superscript"/>
    </w:rPr>
  </w:style>
  <w:style w:type="paragraph" w:styleId="Bibliography">
    <w:name w:val="Bibliography"/>
    <w:basedOn w:val="Normal"/>
    <w:next w:val="Normal"/>
    <w:uiPriority w:val="37"/>
    <w:unhideWhenUsed/>
    <w:rsid w:val="00C76508"/>
    <w:pPr>
      <w:spacing w:after="0" w:line="240" w:lineRule="auto"/>
      <w:ind w:left="720" w:hanging="720"/>
    </w:pPr>
  </w:style>
  <w:style w:type="paragraph" w:styleId="FootnoteText">
    <w:name w:val="footnote text"/>
    <w:basedOn w:val="Normal"/>
    <w:link w:val="FootnoteTextChar"/>
    <w:uiPriority w:val="99"/>
    <w:semiHidden/>
    <w:unhideWhenUsed/>
    <w:rsid w:val="00C66A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6A53"/>
    <w:rPr>
      <w:sz w:val="20"/>
      <w:szCs w:val="20"/>
    </w:rPr>
  </w:style>
  <w:style w:type="character" w:styleId="FootnoteReference">
    <w:name w:val="footnote reference"/>
    <w:basedOn w:val="DefaultParagraphFont"/>
    <w:uiPriority w:val="99"/>
    <w:semiHidden/>
    <w:unhideWhenUsed/>
    <w:rsid w:val="00C66A53"/>
    <w:rPr>
      <w:vertAlign w:val="superscript"/>
    </w:rPr>
  </w:style>
  <w:style w:type="paragraph" w:styleId="ListParagraph">
    <w:name w:val="List Paragraph"/>
    <w:basedOn w:val="Normal"/>
    <w:uiPriority w:val="34"/>
    <w:qFormat/>
    <w:rsid w:val="00CA1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93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2383</Words>
  <Characters>13584</Characters>
  <Application>Microsoft Office Word</Application>
  <DocSecurity>4</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McMillan</dc:creator>
  <cp:lastModifiedBy>Hodson, Elke</cp:lastModifiedBy>
  <cp:revision>2</cp:revision>
  <dcterms:created xsi:type="dcterms:W3CDTF">2016-06-17T20:18:00Z</dcterms:created>
  <dcterms:modified xsi:type="dcterms:W3CDTF">2016-06-17T20:18:00Z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zotero-version="4.0.27"&gt;&lt;session id="zliBRsU3"/&gt;&lt;style id="http://www.zotero.org/styles/chicago-author-date" hasBibliography="1" bibliographyStyleHasBeenSet="1"/&gt;&lt;prefs&gt;&lt;pref name="fieldType" value="Field"/&gt;&lt;pref name="storeReferenc</vt:lpwstr>
  </property>
  <property fmtid="{D5CDD505-2E9C-101B-9397-08002B2CF9AE}" pid="3" name="ZOTERO_PREF_2">
    <vt:lpwstr>es" value="true"/&gt;&lt;pref name="automaticJournalAbbreviations" value="true"/&gt;&lt;pref name="noteType" value=""/&gt;&lt;/prefs&gt;&lt;/data&gt;</vt:lpwstr>
  </property>
</Properties>
</file>