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F197E">
      <w:pPr>
        <w:pStyle w:val="16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4"/>
          <w:right w:val="none" w:color="auto" w:sz="0" w:space="0"/>
          <w:between w:val="none" w:color="auto" w:sz="0" w:space="0"/>
        </w:pBdr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auto"/>
          <w:sz w:val="36"/>
          <w:szCs w:val="36"/>
          <w:u w:val="none"/>
        </w:rPr>
      </w:pPr>
      <w:r>
        <w:rPr>
          <w:rFonts w:hint="default" w:ascii="Times New Roman" w:hAnsi="Times New Roman" w:eastAsia="宋体" w:cs="Times New Roman"/>
          <w:color w:val="auto"/>
          <w:sz w:val="36"/>
          <w:szCs w:val="36"/>
          <w:u w:val="none"/>
        </w:rPr>
        <w:t>MiniPay 需求与架构设计说明书</w:t>
      </w:r>
    </w:p>
    <w:p w14:paraId="50F70DE4">
      <w:pPr>
        <w:pStyle w:val="2"/>
        <w:bidi w:val="0"/>
        <w:spacing w:line="360" w:lineRule="auto"/>
        <w:rPr>
          <w:rFonts w:hint="eastAsia"/>
          <w:color w:val="auto"/>
          <w:sz w:val="30"/>
          <w:szCs w:val="30"/>
        </w:rPr>
      </w:pPr>
      <w:r>
        <w:rPr>
          <w:rFonts w:hint="eastAsia"/>
          <w:color w:val="auto"/>
          <w:sz w:val="30"/>
          <w:szCs w:val="30"/>
        </w:rPr>
        <w:t>项目背景与系统范围</w:t>
      </w:r>
    </w:p>
    <w:p w14:paraId="7439698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  <w:t>项目背景</w:t>
      </w:r>
    </w:p>
    <w:p w14:paraId="3D971FC7">
      <w:pPr>
        <w:keepNext w:val="0"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MiniPay 是面向中小商户和平台运营方的轻量支付产品原型，目标是提供订单创建、支付发起、支付确认、订单状态更新和支付结果查询等基础能力。它不是银行清结算系统，也不直接处理真实资金划拨，而是围绕支付产品中最核心的交易</w:t>
      </w:r>
      <w:r>
        <w:commentReference w:id="0"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链路建立清晰的业务边界和服务结构。</w:t>
      </w:r>
    </w:p>
    <w:p w14:paraId="7124D2C4">
      <w:pPr>
        <w:keepNext w:val="0"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目前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MiniPay 需要解决两个问题</w:t>
      </w:r>
      <w:r>
        <w:commentReference w:id="1"/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：一是让商户能够稳定地创建订单并跟踪支付状态；二是让用户能够完成一次可追踪、可查询、可防重复的支付流程。系统需要具备继续演进为商户通知、风控校验、对账和运营管理能力的空间，但当前文档只展开支撑核心闭环的最小范围。</w:t>
      </w:r>
    </w:p>
    <w:p w14:paraId="286AD5F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  <w:t>项目目标</w:t>
      </w:r>
      <w:r>
        <w:commentReference w:id="2"/>
      </w:r>
    </w:p>
    <w:p w14:paraId="2936CB7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建立订单、支付、商户、网关等核心服务边界，使业务状态归属清晰。</w:t>
      </w:r>
    </w:p>
    <w:p w14:paraId="39AB30F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完成“商户创建订单 </w:t>
      </w:r>
      <w:r>
        <w:rPr>
          <w:rFonts w:hint="default" w:ascii="Consolas" w:hAnsi="Consolas" w:eastAsia="宋体" w:cs="Consolas"/>
          <w:color w:val="auto"/>
          <w:sz w:val="24"/>
          <w:szCs w:val="24"/>
        </w:rPr>
        <w:t>-&gt;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 用户发起支付 </w:t>
      </w:r>
      <w:r>
        <w:rPr>
          <w:rFonts w:hint="default" w:ascii="Consolas" w:hAnsi="Consolas" w:eastAsia="宋体" w:cs="Consolas"/>
          <w:color w:val="auto"/>
          <w:sz w:val="24"/>
          <w:szCs w:val="24"/>
        </w:rPr>
        <w:t>-&gt;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 支付确认 </w:t>
      </w:r>
      <w:r>
        <w:rPr>
          <w:rFonts w:hint="default" w:ascii="Consolas" w:hAnsi="Consolas" w:eastAsia="宋体" w:cs="Consolas"/>
          <w:color w:val="auto"/>
          <w:sz w:val="24"/>
          <w:szCs w:val="24"/>
        </w:rPr>
        <w:t>-&gt;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 订单状态更新 </w:t>
      </w:r>
      <w:r>
        <w:rPr>
          <w:rFonts w:hint="default" w:ascii="Consolas" w:hAnsi="Consolas" w:eastAsia="宋体" w:cs="Consolas"/>
          <w:color w:val="auto"/>
          <w:sz w:val="24"/>
          <w:szCs w:val="24"/>
        </w:rPr>
        <w:t>-&gt;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 商户查询结果”的主流程设计。</w:t>
      </w:r>
    </w:p>
    <w:p w14:paraId="2C65C3D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支持订单状态快速查询、支付幂等、支付结果事件通知等产品化基础能力。</w:t>
      </w:r>
    </w:p>
    <w:p w14:paraId="41AA8B0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  <w:t>目标角色</w:t>
      </w:r>
    </w:p>
    <w:p w14:paraId="4A90020E">
      <w:pPr>
        <w:pStyle w:val="11"/>
        <w:keepNext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表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instrText xml:space="preserve"> SEQ 表 \* ARABIC </w:instrTex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 xml:space="preserve"> MiniPay 核心角色说明</w:t>
      </w:r>
    </w:p>
    <w:tbl>
      <w:tblPr>
        <w:tblStyle w:val="17"/>
        <w:tblW w:w="5000" w:type="pct"/>
        <w:jc w:val="center"/>
        <w:tblBorders>
          <w:top w:val="single" w:color="B7C9D6" w:sz="6" w:space="0"/>
          <w:left w:val="single" w:color="B7C9D6" w:sz="6" w:space="0"/>
          <w:bottom w:val="single" w:color="B7C9D6" w:sz="6" w:space="0"/>
          <w:right w:val="single" w:color="B7C9D6" w:sz="6" w:space="0"/>
          <w:insideH w:val="single" w:color="B7C9D6" w:sz="6" w:space="0"/>
          <w:insideV w:val="single" w:color="B7C9D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 w14:paraId="44992C7A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66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14:paraId="5611B8F7">
            <w:pPr>
              <w:spacing w:after="0" w:line="36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角色</w:t>
            </w:r>
          </w:p>
        </w:tc>
        <w:tc>
          <w:tcPr>
            <w:tcW w:w="1666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14:paraId="0A702C30">
            <w:pPr>
              <w:spacing w:after="0" w:line="36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主要诉求</w:t>
            </w:r>
          </w:p>
        </w:tc>
        <w:tc>
          <w:tcPr>
            <w:tcW w:w="1666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14:paraId="238CABB0">
            <w:pPr>
              <w:spacing w:after="0" w:line="36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典型操作</w:t>
            </w:r>
          </w:p>
        </w:tc>
      </w:tr>
      <w:tr w14:paraId="5E910ADC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14:paraId="22DE8293">
            <w:pPr>
              <w:spacing w:after="0" w:line="36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用户</w:t>
            </w:r>
          </w:p>
        </w:tc>
        <w:tc>
          <w:tcPr>
            <w:tcW w:w="1666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14:paraId="24E63319">
            <w:pPr>
              <w:spacing w:after="0" w:line="36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确认订单信息并完成支付，能够及时看到支付结果。</w:t>
            </w:r>
          </w:p>
        </w:tc>
        <w:tc>
          <w:tcPr>
            <w:tcW w:w="1666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14:paraId="5A4AD33E">
            <w:pPr>
              <w:spacing w:after="0" w:line="36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打开支付页、确认金额、提交支付、查看支付结果。</w:t>
            </w:r>
          </w:p>
        </w:tc>
      </w:tr>
      <w:tr w14:paraId="6040C85B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14:paraId="24B34274">
            <w:pPr>
              <w:spacing w:after="0" w:line="36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商户</w:t>
            </w:r>
          </w:p>
        </w:tc>
        <w:tc>
          <w:tcPr>
            <w:tcW w:w="1666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14:paraId="066C2125">
            <w:pPr>
              <w:spacing w:after="0" w:line="36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创建支付订单，查询订单状态，接收支付结果。</w:t>
            </w:r>
          </w:p>
        </w:tc>
        <w:tc>
          <w:tcPr>
            <w:tcW w:w="1666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14:paraId="10404CF2">
            <w:pPr>
              <w:spacing w:after="0" w:line="36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创建订单、查询订单列表、查看支付流水、接收支付通知。</w:t>
            </w:r>
          </w:p>
        </w:tc>
      </w:tr>
      <w:tr w14:paraId="3D2F3341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14:paraId="5F7DD6AE">
            <w:pPr>
              <w:spacing w:after="0" w:line="36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平台运营人员</w:t>
            </w:r>
          </w:p>
        </w:tc>
        <w:tc>
          <w:tcPr>
            <w:tcW w:w="1666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14:paraId="4E59706B">
            <w:pPr>
              <w:spacing w:after="0" w:line="36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查看平台交易情况并处理异常订单。</w:t>
            </w:r>
          </w:p>
        </w:tc>
        <w:tc>
          <w:tcPr>
            <w:tcW w:w="1666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14:paraId="31CF3DBC">
            <w:pPr>
              <w:spacing w:after="0" w:line="36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查询订单、查询支付流水、查看商户信息、排查异常。</w:t>
            </w:r>
          </w:p>
        </w:tc>
      </w:tr>
      <w:tr w14:paraId="58EF6863">
        <w:tblPrEx>
          <w:tblBorders>
            <w:top w:val="single" w:color="B7C9D6" w:sz="6" w:space="0"/>
            <w:left w:val="single" w:color="B7C9D6" w:sz="6" w:space="0"/>
            <w:bottom w:val="single" w:color="B7C9D6" w:sz="6" w:space="0"/>
            <w:right w:val="single" w:color="B7C9D6" w:sz="6" w:space="0"/>
            <w:insideH w:val="single" w:color="B7C9D6" w:sz="6" w:space="0"/>
            <w:insideV w:val="single" w:color="B7C9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14:paraId="698611D2">
            <w:pPr>
              <w:spacing w:after="0" w:line="36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系统服务</w:t>
            </w:r>
          </w:p>
        </w:tc>
        <w:tc>
          <w:tcPr>
            <w:tcW w:w="1666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14:paraId="633FB7DF">
            <w:pPr>
              <w:spacing w:after="0" w:line="36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在服务之间可靠传递订单、支付和通知事件。</w:t>
            </w:r>
          </w:p>
        </w:tc>
        <w:tc>
          <w:tcPr>
            <w:tcW w:w="1666" w:type="pc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14:paraId="5B098B00">
            <w:pPr>
              <w:spacing w:after="0" w:line="36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订单校验、支付确认、状态更新、缓存刷新、消息投递。</w:t>
            </w:r>
          </w:p>
        </w:tc>
      </w:tr>
    </w:tbl>
    <w:p w14:paraId="0816C65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  <w:t>系统边界</w:t>
      </w:r>
      <w:r>
        <w:commentReference w:id="3"/>
      </w:r>
    </w:p>
    <w:p w14:paraId="4A96440F">
      <w:pPr>
        <w:keepNext w:val="0"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系统当前包含：商户基础信息、支付订单创建、模拟支付确认、支付流水记录、订单状态更新、订单与支付结果查询、基础后台查询、订单状态缓存、支付结果事件和基础通知记录。</w:t>
      </w:r>
    </w:p>
    <w:p w14:paraId="1128276D">
      <w:pPr>
        <w:keepNext w:val="0"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系统当前不包含：真实银行通道接入、真实资金账户和余额、跨机构清分清算、复杂风控审批、退款仲裁、争议处理、真实财务对账、支付牌照合规认证和跨境结算。上述能力可作为后续产品演进方向，但不纳入本次最小设计范围。</w:t>
      </w:r>
    </w:p>
    <w:p w14:paraId="706AF551">
      <w:pPr>
        <w:pStyle w:val="2"/>
        <w:bidi w:val="0"/>
        <w:spacing w:line="360" w:lineRule="auto"/>
        <w:rPr>
          <w:rFonts w:hint="eastAsia"/>
          <w:color w:val="auto"/>
          <w:sz w:val="30"/>
          <w:szCs w:val="30"/>
        </w:rPr>
      </w:pPr>
      <w:r>
        <w:rPr>
          <w:rFonts w:hint="eastAsia"/>
          <w:color w:val="auto"/>
          <w:sz w:val="30"/>
          <w:szCs w:val="30"/>
        </w:rPr>
        <w:t>核心业务流程与主要需求</w:t>
      </w:r>
    </w:p>
    <w:p w14:paraId="6D4985DB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  <w:t>核心业务流程</w:t>
      </w:r>
    </w:p>
    <w:p w14:paraId="0479A63A">
      <w:pPr>
        <w:keepNext w:val="0"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MiniPay 的核心流程围绕订单和支付流水展开。商户先创建订单，系统生成唯一订单号并进入待支付状态；用户打开支付页面并发起支付；支付服务进行订单存在性、金额、状态和幂等校验；支付确认成功后记录支付流水并发布支付结果事件；订单服务消费支付成功事件并更新订单状态；商户与用户查询订单时优先读取缓存，缓存未命中再回源数据库。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核心业务流程如图1所示。</w:t>
      </w:r>
    </w:p>
    <w:p w14:paraId="06419861">
      <w:pPr>
        <w:keepNext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color w:val="auto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eastAsia="zh-CN"/>
        </w:rPr>
        <w:drawing>
          <wp:inline distT="0" distB="0" distL="114300" distR="114300">
            <wp:extent cx="5740400" cy="1098550"/>
            <wp:effectExtent l="0" t="0" r="12700" b="6350"/>
            <wp:docPr id="4" name="图片 4" descr="MiniPay核心支付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iniPay核心支付流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E9A9">
      <w:pPr>
        <w:pStyle w:val="11"/>
        <w:spacing w:line="360" w:lineRule="auto"/>
        <w:jc w:val="center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图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instrText xml:space="preserve"> SEQ 图 \* ARABIC </w:instrTex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 xml:space="preserve"> MiniPay 核心业务流程图</w:t>
      </w:r>
    </w:p>
    <w:p w14:paraId="2683F96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  <w:t>主要功能需求</w:t>
      </w:r>
      <w:r>
        <w:commentReference w:id="4"/>
      </w:r>
    </w:p>
    <w:p w14:paraId="356A5CA1">
      <w:pPr>
        <w:pStyle w:val="11"/>
        <w:keepNext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表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instrText xml:space="preserve"> SEQ 表 \* ARABIC </w:instrTex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end"/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 xml:space="preserve"> 功能需求</w:t>
      </w:r>
    </w:p>
    <w:tbl>
      <w:tblPr>
        <w:tblStyle w:val="18"/>
        <w:tblW w:w="4999" w:type="pct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"/>
        <w:gridCol w:w="5393"/>
        <w:gridCol w:w="2996"/>
      </w:tblGrid>
      <w:tr w14:paraId="44293D0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D98B9A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290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5E9ADB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需求说明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645FF4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验收要点</w:t>
            </w:r>
          </w:p>
        </w:tc>
      </w:tr>
      <w:tr w14:paraId="2F8E3C1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700CBE1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FR-01</w:t>
            </w:r>
          </w:p>
        </w:tc>
        <w:tc>
          <w:tcPr>
            <w:tcW w:w="290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155C325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商户可以创建支付订单，字段包含商户号、商户订单号、商品描述、订单金额和回调地址。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96FB628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生成唯一平台订单号，订单状态为待支付。</w:t>
            </w:r>
          </w:p>
        </w:tc>
      </w:tr>
      <w:tr w14:paraId="0E1E29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9C2CCA2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FR-02</w:t>
            </w:r>
          </w:p>
        </w:tc>
        <w:tc>
          <w:tcPr>
            <w:tcW w:w="290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C685A29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用户可以根据平台订单号打开支付页，查看订单金额、商品信息和有效状态。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B442A0F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异常订单禁止支付，并给出明确提示。</w:t>
            </w:r>
          </w:p>
        </w:tc>
      </w:tr>
      <w:tr w14:paraId="485072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5E54221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FR-03</w:t>
            </w:r>
          </w:p>
        </w:tc>
        <w:tc>
          <w:tcPr>
            <w:tcW w:w="290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C1BBEB0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支付服务应在支付前校验订单是否存在、金额是否一致、状态是否支付。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8ACD828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校验失败时返回统一错误码。</w:t>
            </w:r>
          </w:p>
        </w:tc>
      </w:tr>
      <w:tr w14:paraId="040C67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2F16F55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FR-04</w:t>
            </w:r>
          </w:p>
        </w:tc>
        <w:tc>
          <w:tcPr>
            <w:tcW w:w="290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13FA959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系统应支持支付幂等，避免重复点击或网络重试产生多笔成功支付。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048446F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同一请求返回既有结果或明确拒绝。</w:t>
            </w:r>
          </w:p>
        </w:tc>
      </w:tr>
      <w:tr w14:paraId="2B9D9B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9F896DE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FR-05</w:t>
            </w:r>
          </w:p>
        </w:tc>
        <w:tc>
          <w:tcPr>
            <w:tcW w:w="290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F538DD2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支付成功后记录支付流水，并通过支付结果事件驱动订单状态更新。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E7DF7C7">
            <w:pPr>
              <w:widowControl w:val="0"/>
              <w:spacing w:after="0"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流水号唯一</w:t>
            </w:r>
            <w:r>
              <w:rPr>
                <w:rFonts w:hint="eastAsia" w:ascii="Times New Roman" w:hAnsi="Times New Roman" w:cs="Times New Roman"/>
                <w:b w:val="0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75E2C9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E9A6350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FR-06</w:t>
            </w:r>
          </w:p>
        </w:tc>
        <w:tc>
          <w:tcPr>
            <w:tcW w:w="290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DA15E8A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商户可以查询订单列表、订单状态和支付流水。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8A7B10C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支持订单号、商户号、状态和时间范围筛选。</w:t>
            </w:r>
          </w:p>
        </w:tc>
      </w:tr>
      <w:tr w14:paraId="0C46D7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38E289D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FR-07</w:t>
            </w:r>
          </w:p>
        </w:tc>
        <w:tc>
          <w:tcPr>
            <w:tcW w:w="290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618B797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通知服务记录商户通知结果，并支持失败重试。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ECC73AC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通知失败不影响支付流水落库。</w:t>
            </w:r>
          </w:p>
        </w:tc>
      </w:tr>
      <w:tr w14:paraId="6E3DFA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928FA12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FR-08</w:t>
            </w:r>
          </w:p>
        </w:tc>
        <w:tc>
          <w:tcPr>
            <w:tcW w:w="290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74E7D83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平台运营人员可以查询订单、支付流水、事件和通知记录。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1CD2A88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用于异常排查，不承载交易写入链路。</w:t>
            </w:r>
          </w:p>
        </w:tc>
      </w:tr>
    </w:tbl>
    <w:p w14:paraId="3036A911">
      <w:pPr>
        <w:spacing w:line="360" w:lineRule="auto"/>
        <w:rPr>
          <w:rFonts w:hint="default"/>
          <w:color w:val="auto"/>
        </w:rPr>
      </w:pPr>
    </w:p>
    <w:p w14:paraId="6F31C72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  <w:t>非功能需求</w:t>
      </w:r>
      <w:r>
        <w:rPr>
          <w:rFonts w:hint="eastAsia" w:ascii="Times New Roman" w:hAnsi="Times New Roman" w:cs="Times New Roman"/>
          <w:b/>
          <w:bCs w:val="0"/>
          <w:color w:val="auto"/>
          <w:sz w:val="28"/>
          <w:szCs w:val="28"/>
          <w:lang w:val="en-US" w:eastAsia="zh-CN"/>
        </w:rPr>
        <w:t xml:space="preserve"> </w:t>
      </w:r>
    </w:p>
    <w:p w14:paraId="31FE62B6">
      <w:pPr>
        <w:pStyle w:val="11"/>
        <w:keepNext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表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instrText xml:space="preserve"> SEQ 表 \* ARABIC </w:instrTex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3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end"/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 xml:space="preserve"> 非功能需求</w:t>
      </w:r>
    </w:p>
    <w:tbl>
      <w:tblPr>
        <w:tblStyle w:val="18"/>
        <w:tblW w:w="4997" w:type="pct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7962"/>
      </w:tblGrid>
      <w:tr w14:paraId="1C80CC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57A7C4C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4288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AF3CE38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需求说明</w:t>
            </w:r>
          </w:p>
        </w:tc>
      </w:tr>
      <w:tr w14:paraId="185DC3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19B49C9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N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FR-01</w:t>
            </w:r>
          </w:p>
        </w:tc>
        <w:tc>
          <w:tcPr>
            <w:tcW w:w="4288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ABBCB2B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可用性。订单创建、支付确认和支付结果查询应具备明确错误返回；下游通知异常、缓存异常不应影响核心支付流水落库。</w:t>
            </w:r>
          </w:p>
        </w:tc>
      </w:tr>
      <w:tr w14:paraId="051455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45E6456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N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FR-02</w:t>
            </w:r>
          </w:p>
        </w:tc>
        <w:tc>
          <w:tcPr>
            <w:tcW w:w="4288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4CAEF4A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可维护性。订单、支付、商户、通知等职责边界清晰，核心表结构和状态流转需要沉淀为设计文档。</w:t>
            </w:r>
          </w:p>
        </w:tc>
      </w:tr>
      <w:tr w14:paraId="10DF02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1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530186A">
            <w:pPr>
              <w:widowControl w:val="0"/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N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FR-03</w:t>
            </w:r>
          </w:p>
        </w:tc>
        <w:tc>
          <w:tcPr>
            <w:tcW w:w="4288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23FA8F4">
            <w:pPr>
              <w:keepNext w:val="0"/>
              <w:keepLines w:val="0"/>
              <w:pageBreakBefore w:val="0"/>
              <w:widowControl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可部署性。系统应支持容器化部署，数据库、缓存和消息队列等依赖通过统一编排启动，但数据库结构迁移应在应用启动前独立完成。</w:t>
            </w:r>
          </w:p>
        </w:tc>
      </w:tr>
    </w:tbl>
    <w:p w14:paraId="5DF1A98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  <w:t>关键场景与验收标准</w:t>
      </w:r>
    </w:p>
    <w:p w14:paraId="708E6E9F">
      <w:pPr>
        <w:pStyle w:val="11"/>
        <w:keepNext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表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instrText xml:space="preserve"> SEQ 表 \* ARABIC </w:instrTex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4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end"/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 xml:space="preserve"> 关键场景与验收标准</w:t>
      </w:r>
    </w:p>
    <w:tbl>
      <w:tblPr>
        <w:tblStyle w:val="17"/>
        <w:tblW w:w="5000" w:type="pct"/>
        <w:jc w:val="center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 w14:paraId="5571DEF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40583E4">
            <w:pPr>
              <w:spacing w:after="0" w:line="360" w:lineRule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场景</w:t>
            </w:r>
          </w:p>
        </w:tc>
        <w:tc>
          <w:tcPr>
            <w:tcW w:w="166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ED59E3D">
            <w:pPr>
              <w:spacing w:after="0" w:line="360" w:lineRule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前置条件</w:t>
            </w:r>
          </w:p>
        </w:tc>
        <w:tc>
          <w:tcPr>
            <w:tcW w:w="166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56581CD">
            <w:pPr>
              <w:spacing w:after="0" w:line="360" w:lineRule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验收标准</w:t>
            </w:r>
          </w:p>
        </w:tc>
      </w:tr>
      <w:tr w14:paraId="056F8C3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09D68C7">
            <w:pPr>
              <w:spacing w:after="0" w:line="360" w:lineRule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商户创建订单</w:t>
            </w:r>
          </w:p>
        </w:tc>
        <w:tc>
          <w:tcPr>
            <w:tcW w:w="166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8454712">
            <w:pPr>
              <w:spacing w:after="0" w:line="360" w:lineRule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商户信息有效，订单金额合法。</w:t>
            </w:r>
          </w:p>
        </w:tc>
        <w:tc>
          <w:tcPr>
            <w:tcW w:w="166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0BF980D">
            <w:pPr>
              <w:spacing w:after="0" w:line="360" w:lineRule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系统生成唯一平台订单号，订单状态为待支付，并可通过订单号查询。</w:t>
            </w:r>
          </w:p>
        </w:tc>
      </w:tr>
      <w:tr w14:paraId="010CE8E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D1008D2">
            <w:pPr>
              <w:spacing w:after="0" w:line="360" w:lineRule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用户完成支付</w:t>
            </w:r>
          </w:p>
        </w:tc>
        <w:tc>
          <w:tcPr>
            <w:tcW w:w="166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01B2338">
            <w:pPr>
              <w:spacing w:after="0" w:line="360" w:lineRule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订单存在、未支付、金额一致。</w:t>
            </w:r>
          </w:p>
        </w:tc>
        <w:tc>
          <w:tcPr>
            <w:tcW w:w="166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D5C6BA1">
            <w:pPr>
              <w:spacing w:after="0" w:line="360" w:lineRule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支付服务生成成功支付流水，订单状态最终变为已支付，查询结果一致。</w:t>
            </w:r>
          </w:p>
        </w:tc>
      </w:tr>
      <w:tr w14:paraId="6E928AF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8563FDD">
            <w:pPr>
              <w:spacing w:after="0" w:line="360" w:lineRule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重复支付拦截</w:t>
            </w:r>
          </w:p>
        </w:tc>
        <w:tc>
          <w:tcPr>
            <w:tcW w:w="166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D1322D9">
            <w:pPr>
              <w:spacing w:after="0" w:line="360" w:lineRule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订单已支付，且存在同一请求重复提交。</w:t>
            </w:r>
          </w:p>
        </w:tc>
        <w:tc>
          <w:tcPr>
            <w:tcW w:w="166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1CFBDA3">
            <w:pPr>
              <w:spacing w:after="0" w:line="360" w:lineRule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系统返回已有支付结果，重复成功支付请求被拒绝，不新增第二笔成功流水。</w:t>
            </w:r>
          </w:p>
        </w:tc>
      </w:tr>
      <w:tr w14:paraId="2E1FCA2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DECB50D">
            <w:pPr>
              <w:spacing w:after="0" w:line="360" w:lineRule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支付结果查询</w:t>
            </w:r>
          </w:p>
        </w:tc>
        <w:tc>
          <w:tcPr>
            <w:tcW w:w="166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7C78825">
            <w:pPr>
              <w:spacing w:after="0" w:line="360" w:lineRule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订单已创建，状态为待支付、支付处理中、已支付。</w:t>
            </w:r>
          </w:p>
        </w:tc>
        <w:tc>
          <w:tcPr>
            <w:tcW w:w="1666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4D1F71F">
            <w:pPr>
              <w:spacing w:after="0" w:line="360" w:lineRule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  <w:szCs w:val="21"/>
              </w:rPr>
              <w:t>系统优先返回缓存中的近期订单状态，缓存未命中时回源数据库并刷新缓存。</w:t>
            </w:r>
          </w:p>
        </w:tc>
      </w:tr>
    </w:tbl>
    <w:p w14:paraId="0E73EB77">
      <w:pPr>
        <w:pStyle w:val="2"/>
        <w:bidi w:val="0"/>
        <w:spacing w:line="360" w:lineRule="auto"/>
        <w:rPr>
          <w:rFonts w:hint="eastAsia"/>
          <w:color w:val="auto"/>
          <w:sz w:val="30"/>
          <w:szCs w:val="30"/>
        </w:rPr>
      </w:pPr>
      <w:r>
        <w:rPr>
          <w:rFonts w:hint="eastAsia"/>
          <w:color w:val="auto"/>
          <w:sz w:val="30"/>
          <w:szCs w:val="30"/>
        </w:rPr>
        <w:t>系统结构与模块划分</w:t>
      </w:r>
    </w:p>
    <w:p w14:paraId="21D405B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  <w:t>架构选择</w:t>
      </w:r>
      <w:r>
        <w:commentReference w:id="5"/>
      </w:r>
    </w:p>
    <w:p w14:paraId="69CD55B1">
      <w:pPr>
        <w:keepNext w:val="0"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本项目采用轻量微服务架构。因为订单、支付、商户和通知的状态归属不同，拆分后可以降低职责混杂带来的维护成本。MVP 阶段保留必要服务边界，后续可以根据访问量和功能复杂度逐步扩展风控、对账和运营分析能力。</w:t>
      </w:r>
    </w:p>
    <w:p w14:paraId="243695B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  <w:t>系统结构</w:t>
      </w:r>
    </w:p>
    <w:p w14:paraId="6E3BEFD7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Consolas" w:hAnsi="Consolas" w:eastAsia="宋体"/>
          <w:color w:val="auto"/>
          <w:sz w:val="21"/>
          <w:szCs w:val="21"/>
          <w:lang w:eastAsia="zh-CN"/>
        </w:rPr>
      </w:pPr>
      <w:r>
        <w:rPr>
          <w:rFonts w:hint="eastAsia" w:ascii="Consolas" w:hAnsi="Consolas" w:eastAsia="宋体"/>
          <w:color w:val="auto"/>
          <w:sz w:val="21"/>
          <w:szCs w:val="21"/>
          <w:lang w:eastAsia="zh-CN"/>
        </w:rPr>
        <w:drawing>
          <wp:inline distT="0" distB="0" distL="114300" distR="114300">
            <wp:extent cx="5687695" cy="3143885"/>
            <wp:effectExtent l="0" t="0" r="8255" b="18415"/>
            <wp:docPr id="2" name="图片 2" descr="Untitled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ntitled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483D">
      <w:pPr>
        <w:pStyle w:val="11"/>
        <w:spacing w:line="360" w:lineRule="auto"/>
        <w:jc w:val="center"/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图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instrText xml:space="preserve"> SEQ 图 \* ARABIC </w:instrTex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end"/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 xml:space="preserve"> MiniPay 系统结构图</w:t>
      </w:r>
    </w:p>
    <w:p w14:paraId="0F629A4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  <w:t>服务职责</w:t>
      </w:r>
    </w:p>
    <w:p w14:paraId="797B473D">
      <w:pPr>
        <w:pStyle w:val="11"/>
        <w:keepNext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表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instrText xml:space="preserve"> SEQ 表 \* ARABIC </w:instrTex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fldChar w:fldCharType="end"/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 xml:space="preserve"> 服务职责划分</w:t>
      </w:r>
    </w:p>
    <w:tbl>
      <w:tblPr>
        <w:tblStyle w:val="17"/>
        <w:tblW w:w="4996" w:type="pct"/>
        <w:jc w:val="center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9"/>
        <w:gridCol w:w="6752"/>
      </w:tblGrid>
      <w:tr w14:paraId="5941F15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CADD102">
            <w:pPr>
              <w:spacing w:after="0" w:line="360" w:lineRule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服务/模块</w:t>
            </w:r>
          </w:p>
        </w:tc>
        <w:tc>
          <w:tcPr>
            <w:tcW w:w="3637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EABA474">
            <w:pPr>
              <w:spacing w:after="0" w:line="360" w:lineRule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  <w:t>核心职责</w:t>
            </w:r>
          </w:p>
        </w:tc>
      </w:tr>
      <w:tr w14:paraId="041255E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714D9B2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gateway-service</w:t>
            </w:r>
          </w:p>
        </w:tc>
        <w:tc>
          <w:tcPr>
            <w:tcW w:w="3637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96C1814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统一 API 入口、路由、基础鉴权扩展、统一错误返回。</w:t>
            </w:r>
          </w:p>
        </w:tc>
      </w:tr>
      <w:tr w14:paraId="27BACEC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20F4444">
            <w:pPr>
              <w:spacing w:after="0" w:line="360" w:lineRule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auth-service</w:t>
            </w:r>
          </w:p>
        </w:tc>
        <w:tc>
          <w:tcPr>
            <w:tcW w:w="3637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643A5A3">
            <w:pPr>
              <w:spacing w:after="0" w:line="360" w:lineRule="auto"/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登录、注册、密码校验、Token 签发/刷新、角色权限管理、商户/运营端身份体系</w:t>
            </w:r>
          </w:p>
        </w:tc>
      </w:tr>
      <w:tr w14:paraId="57B3721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473B1DF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order-service</w:t>
            </w:r>
          </w:p>
        </w:tc>
        <w:tc>
          <w:tcPr>
            <w:tcW w:w="3637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D5CD7BD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订单创建、订单状态机、订单查询、订单状态缓存刷新。</w:t>
            </w:r>
          </w:p>
        </w:tc>
      </w:tr>
      <w:tr w14:paraId="16B4CCE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2EAC297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payment-service</w:t>
            </w:r>
          </w:p>
        </w:tc>
        <w:tc>
          <w:tcPr>
            <w:tcW w:w="3637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9D11379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支付前校验、支付流水记录、幂等控制、支付结果事件发布。</w:t>
            </w:r>
          </w:p>
        </w:tc>
      </w:tr>
      <w:tr w14:paraId="599F8A3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7E918BD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merchant-service</w:t>
            </w:r>
          </w:p>
        </w:tc>
        <w:tc>
          <w:tcPr>
            <w:tcW w:w="3637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43A31DB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商户资料、商户订单视图、商户支付结果查询。</w:t>
            </w:r>
          </w:p>
        </w:tc>
      </w:tr>
      <w:tr w14:paraId="0A25EDA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A539BC9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notify-service</w:t>
            </w:r>
          </w:p>
        </w:tc>
        <w:tc>
          <w:tcPr>
            <w:tcW w:w="3637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16873F1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商户通知、通知重试和通知记录。</w:t>
            </w:r>
          </w:p>
        </w:tc>
      </w:tr>
      <w:tr w14:paraId="33C4367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2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0A33926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admin-service</w:t>
            </w:r>
          </w:p>
        </w:tc>
        <w:tc>
          <w:tcPr>
            <w:tcW w:w="3637" w:type="pc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8D0A36A">
            <w:pPr>
              <w:spacing w:after="0" w:line="36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运营后台查询、异常排查和基础统计。</w:t>
            </w:r>
          </w:p>
        </w:tc>
      </w:tr>
    </w:tbl>
    <w:p w14:paraId="794B3C2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  <w:t>关键调用关系</w:t>
      </w:r>
    </w:p>
    <w:p w14:paraId="4114003B">
      <w:pPr>
        <w:keepNext w:val="0"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创建订单链路：客户端 </w:t>
      </w:r>
      <w:r>
        <w:rPr>
          <w:rFonts w:hint="default" w:ascii="Consolas" w:hAnsi="Consolas" w:cs="Consolas"/>
          <w:color w:val="auto"/>
          <w:sz w:val="24"/>
          <w:szCs w:val="24"/>
          <w:lang w:val="en-US" w:eastAsia="zh-CN"/>
        </w:rPr>
        <w:t>-&gt;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 gateway-service </w:t>
      </w:r>
      <w:r>
        <w:rPr>
          <w:rFonts w:hint="default" w:ascii="Consolas" w:hAnsi="Consolas" w:cs="Consolas"/>
          <w:color w:val="auto"/>
          <w:sz w:val="24"/>
          <w:szCs w:val="24"/>
          <w:lang w:val="en-US" w:eastAsia="zh-CN"/>
        </w:rPr>
        <w:t>-&gt;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 order-service </w:t>
      </w:r>
      <w:r>
        <w:rPr>
          <w:rFonts w:hint="default" w:ascii="Consolas" w:hAnsi="Consolas" w:cs="Consolas"/>
          <w:color w:val="auto"/>
          <w:sz w:val="24"/>
          <w:szCs w:val="24"/>
          <w:lang w:val="en-US" w:eastAsia="zh-CN"/>
        </w:rPr>
        <w:t>-&gt;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数据库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。该链路以订单服务为订单状态的权威来源。</w:t>
      </w:r>
      <w:bookmarkStart w:id="0" w:name="_GoBack"/>
      <w:bookmarkEnd w:id="0"/>
    </w:p>
    <w:p w14:paraId="5C573D9F">
      <w:pPr>
        <w:keepNext w:val="0"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发起支付链路：客户端 </w:t>
      </w:r>
      <w:r>
        <w:rPr>
          <w:rFonts w:hint="default" w:ascii="Consolas" w:hAnsi="Consolas" w:cs="Consolas"/>
          <w:color w:val="auto"/>
          <w:sz w:val="24"/>
          <w:szCs w:val="24"/>
          <w:lang w:val="en-US" w:eastAsia="zh-CN"/>
        </w:rPr>
        <w:t>-&gt;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 gateway-service </w:t>
      </w:r>
      <w:r>
        <w:rPr>
          <w:rFonts w:hint="default" w:ascii="Consolas" w:hAnsi="Consolas" w:cs="Consolas"/>
          <w:color w:val="auto"/>
          <w:sz w:val="24"/>
          <w:szCs w:val="24"/>
          <w:lang w:val="en-US" w:eastAsia="zh-CN"/>
        </w:rPr>
        <w:t>-&gt;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 payment-service </w:t>
      </w:r>
      <w:r>
        <w:rPr>
          <w:rFonts w:hint="default" w:ascii="Consolas" w:hAnsi="Consolas" w:cs="Consolas"/>
          <w:color w:val="auto"/>
          <w:sz w:val="24"/>
          <w:szCs w:val="24"/>
          <w:lang w:val="en-US" w:eastAsia="zh-CN"/>
        </w:rPr>
        <w:t>-&gt;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 order-service。支付服务先同步校验订单和金额，再写入支付流水。</w:t>
      </w:r>
    </w:p>
    <w:p w14:paraId="5B4E4B57">
      <w:pPr>
        <w:keepNext w:val="0"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支付结果链路：payment-service </w:t>
      </w:r>
      <w:r>
        <w:rPr>
          <w:rFonts w:hint="default" w:ascii="Consolas" w:hAnsi="Consolas" w:cs="Consolas"/>
          <w:color w:val="auto"/>
          <w:sz w:val="24"/>
          <w:szCs w:val="24"/>
          <w:lang w:val="en-US" w:eastAsia="zh-CN"/>
        </w:rPr>
        <w:t>-&gt;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 Message Queue </w:t>
      </w:r>
      <w:r>
        <w:rPr>
          <w:rFonts w:hint="default" w:ascii="Consolas" w:hAnsi="Consolas" w:cs="Consolas"/>
          <w:color w:val="auto"/>
          <w:sz w:val="24"/>
          <w:szCs w:val="24"/>
          <w:lang w:val="en-US" w:eastAsia="zh-CN"/>
        </w:rPr>
        <w:t>-&gt;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 order-service/notify-service。支付成功后通过事件驱动订单状态更新和商户通知，使支付请求不被通知、缓存刷新等后置动作阻塞。</w:t>
      </w:r>
    </w:p>
    <w:p w14:paraId="7EE96218">
      <w:pPr>
        <w:keepNext w:val="0"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查询链路：客户端、商户 </w:t>
      </w:r>
      <w:r>
        <w:rPr>
          <w:rFonts w:hint="default" w:ascii="Consolas" w:hAnsi="Consolas" w:cs="Consolas"/>
          <w:color w:val="auto"/>
          <w:sz w:val="24"/>
          <w:szCs w:val="24"/>
          <w:lang w:val="en-US" w:eastAsia="zh-CN"/>
        </w:rPr>
        <w:t>-&gt;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 gateway-service </w:t>
      </w:r>
      <w:r>
        <w:rPr>
          <w:rFonts w:hint="default" w:ascii="Consolas" w:hAnsi="Consolas" w:cs="Consolas"/>
          <w:color w:val="auto"/>
          <w:sz w:val="24"/>
          <w:szCs w:val="24"/>
          <w:lang w:val="en-US" w:eastAsia="zh-CN"/>
        </w:rPr>
        <w:t>-&gt;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 merchant-service 与 order-service</w:t>
      </w:r>
      <w:r>
        <w:rPr>
          <w:rFonts w:hint="default" w:ascii="Consolas" w:hAnsi="Consolas" w:cs="Consolas"/>
          <w:color w:val="auto"/>
          <w:sz w:val="24"/>
          <w:szCs w:val="24"/>
          <w:lang w:val="en-US" w:eastAsia="zh-CN"/>
        </w:rPr>
        <w:t xml:space="preserve"> -&gt;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数据库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。</w:t>
      </w:r>
    </w:p>
    <w:p w14:paraId="0D73880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60" w:lineRule="auto"/>
        <w:ind w:left="573" w:hanging="573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8"/>
          <w:szCs w:val="28"/>
        </w:rPr>
        <w:t>架构权衡</w:t>
      </w:r>
    </w:p>
    <w:p w14:paraId="590099ED">
      <w:pPr>
        <w:keepNext w:val="0"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单体应用实现成本低，但订单、支付和商户逻辑容易耦合，后续加入幂等、通知和查询缓存时维护成本会上升。轻量微服务增加了服务通信和部署复杂度，但更适合支付产品中状态归属清晰、服务可独立演进的要求。</w:t>
      </w:r>
    </w:p>
    <w:p w14:paraId="418902DE">
      <w:pPr>
        <w:keepNext w:val="0"/>
        <w:keepLines w:val="0"/>
        <w:pageBreakBefore w:val="0"/>
        <w:widowControl/>
        <w:kinsoku/>
        <w:wordWrap w:val="0"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同步调用适合支付前的强校验，例如订单是否存在、金额是否一致；消息队列适合支付后的结果通知、订单状态异步更新和商户通知。两者不是替代关系，而是分别服务于“立即得到结果”和“后置动作解耦”。</w:t>
      </w:r>
    </w:p>
    <w:sectPr>
      <w:footerReference r:id="rId7" w:type="default"/>
      <w:pgSz w:w="11906" w:h="16838"/>
      <w:pgMar w:top="1247" w:right="1417" w:bottom="1247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694666901" w:date="2026-04-27T21:49:51Z" w:initials="">
    <w:p w14:paraId="0655E4D4">
      <w:pPr>
        <w:pStyle w:val="1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订单和支付流水</w:t>
      </w:r>
    </w:p>
  </w:comment>
  <w:comment w:id="1" w:author="WPS_1694666901" w:date="2026-04-27T21:50:44Z" w:initials="">
    <w:p w14:paraId="107CD4B5">
      <w:pPr>
        <w:pStyle w:val="1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面向对象：商户、用户、管理员</w:t>
      </w:r>
    </w:p>
  </w:comment>
  <w:comment w:id="2" w:author="WPS_1694666901" w:date="2026-04-27T21:53:34Z" w:initials="">
    <w:p w14:paraId="29431AB0">
      <w:pPr>
        <w:pStyle w:val="1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围绕订单的生命周期展开</w:t>
      </w:r>
    </w:p>
  </w:comment>
  <w:comment w:id="3" w:author="WPS_1694666901" w:date="2026-04-27T21:58:12Z" w:initials="">
    <w:p w14:paraId="74057D15">
      <w:pPr>
        <w:pStyle w:val="1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系统边界明确定义了系统负责什么、不负责什么以及和外界的交互。有利于系统整体复杂度的把控，防止开发时“滚泥球”</w:t>
      </w:r>
    </w:p>
    <w:p w14:paraId="69EF0C8D">
      <w:pPr>
        <w:pStyle w:val="12"/>
        <w:rPr>
          <w:rFonts w:hint="eastAsia"/>
        </w:rPr>
      </w:pPr>
      <w:r>
        <w:rPr>
          <w:rFonts w:hint="eastAsia"/>
        </w:rPr>
        <w:t>可以说，没有清晰的边界，就不存在真正的系统设计。</w:t>
      </w:r>
    </w:p>
    <w:p w14:paraId="0D50FAB8">
      <w:pPr>
        <w:pStyle w:val="1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围绕核心的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订单和支付流水</w:t>
      </w:r>
      <w:r>
        <w:rPr>
          <w:rFonts w:hint="eastAsia"/>
          <w:lang w:val="en-US" w:eastAsia="zh-CN"/>
        </w:rPr>
        <w:t>，你可以自主规定系统边界，但不要过于复杂和庞大；</w:t>
      </w:r>
    </w:p>
  </w:comment>
  <w:comment w:id="4" w:author="WPS_1694666901" w:date="2026-04-27T22:05:34Z" w:initials="">
    <w:p w14:paraId="304EFD16">
      <w:pPr>
        <w:pStyle w:val="12"/>
        <w:rPr>
          <w:rFonts w:hint="eastAsia"/>
        </w:rPr>
      </w:pPr>
      <w:r>
        <w:rPr>
          <w:rFonts w:hint="eastAsia"/>
        </w:rPr>
        <w:t>功能需求和非功能需求是软件需求的一体两面，共同定义了“要构建一个什么样的系统”</w:t>
      </w:r>
    </w:p>
    <w:p w14:paraId="2E7815A7">
      <w:pPr>
        <w:pStyle w:val="1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以建造桥梁为例</w:t>
      </w:r>
    </w:p>
    <w:p w14:paraId="11CB2FA5">
      <w:pPr>
        <w:pStyle w:val="12"/>
        <w:rPr>
          <w:rFonts w:hint="eastAsia"/>
        </w:rPr>
      </w:pPr>
      <w:r>
        <w:rPr>
          <w:rFonts w:hint="eastAsia"/>
        </w:rPr>
        <w:t>功能需求定义了桥的核心用途：桥能让人和车从A点到达B点、桥面有多宽、能承载多少车道、是否有人行道。</w:t>
      </w:r>
    </w:p>
    <w:p w14:paraId="71DCC333">
      <w:pPr>
        <w:pStyle w:val="12"/>
        <w:rPr>
          <w:rFonts w:hint="eastAsia"/>
        </w:rPr>
      </w:pPr>
      <w:r>
        <w:rPr>
          <w:rFonts w:hint="eastAsia"/>
        </w:rPr>
        <w:t>非功能需求定义了桥的质量属性：桥能抗几级地震、设计使用寿命是50年还是100年、雨雪天是否防滑、维护成本多高。</w:t>
      </w:r>
    </w:p>
  </w:comment>
  <w:comment w:id="5" w:author="WPS_1694666901" w:date="2026-04-27T22:10:42Z" w:initials="">
    <w:p w14:paraId="79BF37BE">
      <w:pPr>
        <w:pStyle w:val="12"/>
        <w:rPr>
          <w:rFonts w:hint="eastAsia"/>
        </w:rPr>
      </w:pPr>
      <w:r>
        <w:rPr>
          <w:rFonts w:hint="eastAsia"/>
        </w:rPr>
        <w:t>项目的架构选择，是一个将业务诉求、技术演进、团队能力、成本约束进行综合权衡的决策过程。</w:t>
      </w:r>
    </w:p>
    <w:p w14:paraId="65EF8E8D">
      <w:pPr>
        <w:pStyle w:val="12"/>
        <w:rPr>
          <w:rFonts w:hint="eastAsia"/>
        </w:rPr>
      </w:pPr>
      <w:r>
        <w:rPr>
          <w:rFonts w:hint="eastAsia"/>
        </w:rPr>
        <w:t>它没有绝对的“最优解”，只有在当前上下文下的“最合适解”</w:t>
      </w:r>
    </w:p>
    <w:p w14:paraId="1D65D55C">
      <w:pPr>
        <w:pStyle w:val="12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明确核心决策因子：业务复杂度、用户规模与并发、数据一致性要求-是否容忍短暂的不一致</w:t>
      </w:r>
    </w:p>
    <w:p w14:paraId="6E43C22D">
      <w:pPr>
        <w:pStyle w:val="12"/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评估常见的架构模式</w:t>
      </w:r>
      <w:r>
        <w:rPr>
          <w:rFonts w:hint="eastAsia"/>
          <w:lang w:val="en-US" w:eastAsia="zh-CN"/>
        </w:rPr>
        <w:t>：</w:t>
      </w:r>
    </w:p>
    <w:p w14:paraId="2B68C0E7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单体架构</w:t>
      </w:r>
    </w:p>
    <w:p w14:paraId="06A337EF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特点：所有功能（订单、用户、商品）在一个代码库、一个部署单元中。</w:t>
      </w:r>
    </w:p>
    <w:p w14:paraId="1C0AAEF0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适用：初创项目、内部工具、团队规模小（&lt;10人）、业务相对简单、并发量低。</w:t>
      </w:r>
    </w:p>
    <w:p w14:paraId="6B75DCBF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优点：开发测试简单、调试方便、部署单一、事务性好。</w:t>
      </w:r>
    </w:p>
    <w:p w14:paraId="3EA52B42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痛点：随着规模扩大，代码耦合严重、构建慢、扩展难（只能整体扩容）、技术栈固定。</w:t>
      </w:r>
    </w:p>
    <w:p w14:paraId="6012EE0A">
      <w:pPr>
        <w:pStyle w:val="12"/>
        <w:numPr>
          <w:numId w:val="0"/>
        </w:numPr>
        <w:rPr>
          <w:rFonts w:hint="default"/>
          <w:lang w:val="en-US" w:eastAsia="zh-CN"/>
        </w:rPr>
      </w:pPr>
    </w:p>
    <w:p w14:paraId="2A4FBE2D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垂直分层架构</w:t>
      </w:r>
    </w:p>
    <w:p w14:paraId="2B53F42F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特点：在单体基础上，按职责（如展示层、业务层、数据层）或业务领域（如订单模块、用户模块）进行物理或逻辑分层。</w:t>
      </w:r>
    </w:p>
    <w:p w14:paraId="6969E38A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适用：业务有一定复杂度，但团队仍是小型到中型，需要一定可维护性的项目。</w:t>
      </w:r>
    </w:p>
    <w:p w14:paraId="11A50D8D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痛点：跨层调用链长，模块间仍有耦合。</w:t>
      </w:r>
    </w:p>
    <w:p w14:paraId="254AFA12">
      <w:pPr>
        <w:pStyle w:val="12"/>
        <w:numPr>
          <w:numId w:val="0"/>
        </w:numPr>
        <w:rPr>
          <w:rFonts w:hint="default"/>
          <w:lang w:val="en-US" w:eastAsia="zh-CN"/>
        </w:rPr>
      </w:pPr>
    </w:p>
    <w:p w14:paraId="3F4B9722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微服务架构</w:t>
      </w:r>
    </w:p>
    <w:p w14:paraId="2A3AF4FF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特点：将单个应用拆分为一组小型的、独立的服务。每个服务围绕业务能力构建，可独立开发、部署、扩展。</w:t>
      </w:r>
    </w:p>
    <w:p w14:paraId="4337B716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适用：大型项目、团队规模大（&gt;50人）、业务复杂、需要高并发和弹性伸缩、组织采用敏捷或DevOps文化。</w:t>
      </w:r>
    </w:p>
    <w:p w14:paraId="4078F512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优点：技术异构、独立扩展、故障隔离、团队自主。</w:t>
      </w:r>
    </w:p>
    <w:p w14:paraId="091D690B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挑战：分布式系统复杂度高（服务发现、配置管理、分布式事务、链路追踪、API网关……），运维成本陡增。</w:t>
      </w:r>
    </w:p>
    <w:p w14:paraId="7525E31A">
      <w:pPr>
        <w:pStyle w:val="12"/>
        <w:numPr>
          <w:numId w:val="0"/>
        </w:numPr>
        <w:rPr>
          <w:rFonts w:hint="default"/>
          <w:lang w:val="en-US" w:eastAsia="zh-CN"/>
        </w:rPr>
      </w:pPr>
    </w:p>
    <w:p w14:paraId="2320732E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事件驱动架构（EDA）</w:t>
      </w:r>
    </w:p>
    <w:p w14:paraId="18F78923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特点：系统组件通过异步事件（如消息队列、Kafka）进行通信。发布者不关心谁消费，消费也不关心谁发布。</w:t>
      </w:r>
    </w:p>
    <w:p w14:paraId="2D70A4AD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适用：需要高吞吐、松耦合、实时响应的场景，如物联网数据流、订单状态流转通知、日志/审计处理。</w:t>
      </w:r>
    </w:p>
    <w:p w14:paraId="1C3EF13B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优点：高度解耦、可伸缩、响应快。</w:t>
      </w:r>
    </w:p>
    <w:p w14:paraId="4F268893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挑战：数据一致性难保障（最终一致性）、调试和测试更复杂。</w:t>
      </w:r>
    </w:p>
    <w:p w14:paraId="32D9FB74">
      <w:pPr>
        <w:pStyle w:val="12"/>
        <w:numPr>
          <w:numId w:val="0"/>
        </w:numPr>
        <w:rPr>
          <w:rFonts w:hint="default"/>
          <w:lang w:val="en-US" w:eastAsia="zh-CN"/>
        </w:rPr>
      </w:pPr>
    </w:p>
    <w:p w14:paraId="39A86B2C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服务网格（Service Mesh）</w:t>
      </w:r>
    </w:p>
    <w:p w14:paraId="3EF6B988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特点：在微服务架构之上，将服务间通信（如重试、超时、熔断、监控）下沉到基础设施层（Sidecar代理），对应用代码透明。</w:t>
      </w:r>
    </w:p>
    <w:p w14:paraId="3E0FB3E9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适用：已有大量微服务，希望统一管理服务通信、安全、可观测性的大型组织。</w:t>
      </w:r>
    </w:p>
    <w:p w14:paraId="45B444CF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优点：业务代码简化、强大运维能力。</w:t>
      </w:r>
    </w:p>
    <w:p w14:paraId="4066144E">
      <w:pPr>
        <w:pStyle w:val="12"/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挑战：引入额外复杂度和资源消耗，学习曲线陡峭。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655E4D4" w15:done="0"/>
  <w15:commentEx w15:paraId="107CD4B5" w15:done="0"/>
  <w15:commentEx w15:paraId="29431AB0" w15:done="0"/>
  <w15:commentEx w15:paraId="0D50FAB8" w15:done="0"/>
  <w15:commentEx w15:paraId="71DCC333" w15:done="0"/>
  <w15:commentEx w15:paraId="4066144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B8469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60EF19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60EF19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F9B07D"/>
    <w:multiLevelType w:val="singleLevel"/>
    <w:tmpl w:val="BCF9B0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F7D02FE"/>
    <w:multiLevelType w:val="multilevel"/>
    <w:tmpl w:val="EF7D02FE"/>
    <w:lvl w:ilvl="0" w:tentative="0">
      <w:start w:val="1"/>
      <w:numFmt w:val="chineseCounting"/>
      <w:pStyle w:val="2"/>
      <w:suff w:val="nothing"/>
      <w:lvlText w:val="%1、 "/>
      <w:lvlJc w:val="left"/>
      <w:pPr>
        <w:ind w:left="432" w:hanging="432"/>
      </w:pPr>
      <w:rPr>
        <w:rFonts w:hint="eastAsia"/>
        <w:sz w:val="30"/>
        <w:szCs w:val="30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default"/>
        <w:b/>
        <w:bCs/>
        <w:sz w:val="28"/>
        <w:szCs w:val="28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2">
    <w:nsid w:val="74DAD2CE"/>
    <w:multiLevelType w:val="singleLevel"/>
    <w:tmpl w:val="74DAD2CE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  <w:sz w:val="15"/>
        <w:szCs w:val="15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94666901">
    <w15:presenceInfo w15:providerId="WPS Office" w15:userId="75362763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F75A6"/>
    <w:rsid w:val="035A36CB"/>
    <w:rsid w:val="044C50BA"/>
    <w:rsid w:val="04670C6B"/>
    <w:rsid w:val="057E232C"/>
    <w:rsid w:val="06007F0A"/>
    <w:rsid w:val="068B1EC9"/>
    <w:rsid w:val="078A03D3"/>
    <w:rsid w:val="07F95559"/>
    <w:rsid w:val="09597657"/>
    <w:rsid w:val="09C314F3"/>
    <w:rsid w:val="0B61144B"/>
    <w:rsid w:val="0BB53AD2"/>
    <w:rsid w:val="0C7B44A2"/>
    <w:rsid w:val="0C896BC8"/>
    <w:rsid w:val="0CAD6E25"/>
    <w:rsid w:val="0CD84B3D"/>
    <w:rsid w:val="0CD8573D"/>
    <w:rsid w:val="0D3F6730"/>
    <w:rsid w:val="10D0112F"/>
    <w:rsid w:val="11252F1A"/>
    <w:rsid w:val="11AD1ABA"/>
    <w:rsid w:val="12B739C4"/>
    <w:rsid w:val="12D15108"/>
    <w:rsid w:val="138A175B"/>
    <w:rsid w:val="14887CB9"/>
    <w:rsid w:val="149208C7"/>
    <w:rsid w:val="172B02E9"/>
    <w:rsid w:val="178A6B78"/>
    <w:rsid w:val="1BB618CD"/>
    <w:rsid w:val="1C010224"/>
    <w:rsid w:val="1C0275F7"/>
    <w:rsid w:val="1F79680A"/>
    <w:rsid w:val="20084133"/>
    <w:rsid w:val="205E01F7"/>
    <w:rsid w:val="219537A4"/>
    <w:rsid w:val="221E1E10"/>
    <w:rsid w:val="23045086"/>
    <w:rsid w:val="230712B4"/>
    <w:rsid w:val="270B0DEA"/>
    <w:rsid w:val="27D15AD4"/>
    <w:rsid w:val="27FC632B"/>
    <w:rsid w:val="28230A0D"/>
    <w:rsid w:val="28AB7964"/>
    <w:rsid w:val="29A95544"/>
    <w:rsid w:val="29F32A64"/>
    <w:rsid w:val="2A5A558B"/>
    <w:rsid w:val="2A703001"/>
    <w:rsid w:val="2AF14141"/>
    <w:rsid w:val="2CE90696"/>
    <w:rsid w:val="2DB651CE"/>
    <w:rsid w:val="2DFB7085"/>
    <w:rsid w:val="2E305B04"/>
    <w:rsid w:val="2E493941"/>
    <w:rsid w:val="2E7A4101"/>
    <w:rsid w:val="2F810DC1"/>
    <w:rsid w:val="30307BF4"/>
    <w:rsid w:val="30E74DBD"/>
    <w:rsid w:val="31844B16"/>
    <w:rsid w:val="33027866"/>
    <w:rsid w:val="337637BB"/>
    <w:rsid w:val="340D7AFF"/>
    <w:rsid w:val="34E1639F"/>
    <w:rsid w:val="37BC7885"/>
    <w:rsid w:val="38EF5A38"/>
    <w:rsid w:val="392B4462"/>
    <w:rsid w:val="395704C2"/>
    <w:rsid w:val="3A127C30"/>
    <w:rsid w:val="3A79380C"/>
    <w:rsid w:val="3C2E3D3C"/>
    <w:rsid w:val="3C774D4A"/>
    <w:rsid w:val="3D6E1F06"/>
    <w:rsid w:val="3DE30E4A"/>
    <w:rsid w:val="3E7F6A62"/>
    <w:rsid w:val="3EAB0654"/>
    <w:rsid w:val="3F6A694D"/>
    <w:rsid w:val="3F8F587F"/>
    <w:rsid w:val="3FA7706D"/>
    <w:rsid w:val="419001E6"/>
    <w:rsid w:val="41D869DB"/>
    <w:rsid w:val="42BD1F51"/>
    <w:rsid w:val="4315267D"/>
    <w:rsid w:val="446948F1"/>
    <w:rsid w:val="458A2D71"/>
    <w:rsid w:val="474176F1"/>
    <w:rsid w:val="474677B9"/>
    <w:rsid w:val="484E277B"/>
    <w:rsid w:val="48792A01"/>
    <w:rsid w:val="48A26B2E"/>
    <w:rsid w:val="493F3E72"/>
    <w:rsid w:val="4A8520D4"/>
    <w:rsid w:val="4D9C7AE5"/>
    <w:rsid w:val="4DA52617"/>
    <w:rsid w:val="4E846F94"/>
    <w:rsid w:val="50634725"/>
    <w:rsid w:val="515F3303"/>
    <w:rsid w:val="51DC746E"/>
    <w:rsid w:val="52302EF2"/>
    <w:rsid w:val="5251742F"/>
    <w:rsid w:val="52815D19"/>
    <w:rsid w:val="52A57572"/>
    <w:rsid w:val="54A942C9"/>
    <w:rsid w:val="54CD1014"/>
    <w:rsid w:val="552E25A8"/>
    <w:rsid w:val="57222D48"/>
    <w:rsid w:val="57E521BA"/>
    <w:rsid w:val="5984713B"/>
    <w:rsid w:val="5A990ED3"/>
    <w:rsid w:val="5B885B4D"/>
    <w:rsid w:val="5C0D5002"/>
    <w:rsid w:val="5F8426C2"/>
    <w:rsid w:val="62C27B96"/>
    <w:rsid w:val="62F13785"/>
    <w:rsid w:val="647548B5"/>
    <w:rsid w:val="66CA0DC7"/>
    <w:rsid w:val="67E10ABE"/>
    <w:rsid w:val="681C5653"/>
    <w:rsid w:val="68E6495E"/>
    <w:rsid w:val="699A681B"/>
    <w:rsid w:val="6B2C02A3"/>
    <w:rsid w:val="6C353187"/>
    <w:rsid w:val="6C4909E0"/>
    <w:rsid w:val="6D140FEE"/>
    <w:rsid w:val="6D8E0B99"/>
    <w:rsid w:val="6F12155D"/>
    <w:rsid w:val="714A3FD1"/>
    <w:rsid w:val="71CE6D52"/>
    <w:rsid w:val="72190E55"/>
    <w:rsid w:val="75790588"/>
    <w:rsid w:val="75FE45EA"/>
    <w:rsid w:val="791B64F2"/>
    <w:rsid w:val="794C5FB4"/>
    <w:rsid w:val="796C5D0E"/>
    <w:rsid w:val="79B973BC"/>
    <w:rsid w:val="7B2C6F4C"/>
    <w:rsid w:val="7B8C4F47"/>
    <w:rsid w:val="7CA97DBF"/>
    <w:rsid w:val="7CED4497"/>
    <w:rsid w:val="7DA12F86"/>
    <w:rsid w:val="7F921008"/>
    <w:rsid w:val="7FB6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  <w:tab w:val="left" w:pos="420"/>
      </w:tabs>
      <w:spacing w:before="480" w:after="0"/>
      <w:ind w:left="432" w:hanging="432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宋体" w:hAnsi="宋体" w:eastAsia="宋体"/>
      <w:b/>
      <w:sz w:val="26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ascii="宋体" w:hAnsi="宋体" w:eastAsia="宋体"/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uiPriority w:val="0"/>
    <w:pPr>
      <w:jc w:val="left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Normal (Web)"/>
    <w:basedOn w:val="1"/>
    <w:uiPriority w:val="0"/>
    <w:rPr>
      <w:sz w:val="24"/>
    </w:rPr>
  </w:style>
  <w:style w:type="paragraph" w:styleId="16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Ascii" w:hAnsiTheme="majorAscii" w:eastAsiaTheme="majorEastAsia" w:cstheme="majorBidi"/>
      <w:b/>
      <w:color w:val="333F50" w:themeColor="text2" w:themeShade="BF"/>
      <w:spacing w:val="5"/>
      <w:kern w:val="28"/>
      <w:sz w:val="44"/>
      <w:szCs w:val="52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2452</Words>
  <Characters>2813</Characters>
  <Lines>0</Lines>
  <Paragraphs>0</Paragraphs>
  <TotalTime>16</TotalTime>
  <ScaleCrop>false</ScaleCrop>
  <LinksUpToDate>false</LinksUpToDate>
  <CharactersWithSpaces>2872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2026-04-22T01:16:00Z</dcterms:created>
  <dc:creator>123</dc:creator>
  <dc:description>确定版：技术选型不使用“或”表达。</dc:description>
  <cp:lastModifiedBy>WPS_1694666901</cp:lastModifiedBy>
  <dcterms:modified xsi:type="dcterms:W3CDTF">2026-04-27T14:19:05Z</dcterms:modified>
  <dc:title>MiniPay 需求与架构设计说明书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eyJoZGlkIjoiMGQ1ZDVjYmUzNzhmMTYwOTg4MmI3ZDUzNzdkYmJiNWUiLCJ1c2VySWQiOiIxNTMxODIwODU1In0=</vt:lpwstr>
  </property>
  <property fmtid="{D5CDD505-2E9C-101B-9397-08002B2CF9AE}" pid="4" name="ICV">
    <vt:lpwstr>BE6DB2C38A1D42399903A3767A1CE118_12</vt:lpwstr>
  </property>
</Properties>
</file>