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9C34F">
      <w:pPr>
        <w:pStyle w:val="15"/>
        <w:pageBreakBefore w:val="0"/>
        <w:widowControl/>
        <w:pBdr>
          <w:top w:val="none" w:color="auto" w:sz="0" w:space="0"/>
          <w:left w:val="none" w:color="auto" w:sz="0" w:space="0"/>
          <w:bottom w:val="none" w:color="4874CB" w:themeColor="accent1" w:sz="0" w:space="4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Times New Roman" w:hAnsi="Times New Roman" w:eastAsia="宋体"/>
          <w:color w:val="auto"/>
          <w:u w:val="none"/>
        </w:rPr>
      </w:pPr>
      <w:r>
        <w:rPr>
          <w:rFonts w:ascii="Times New Roman" w:hAnsi="Times New Roman" w:eastAsia="宋体"/>
          <w:b/>
          <w:color w:val="auto"/>
          <w:sz w:val="36"/>
          <w:szCs w:val="36"/>
          <w:u w:val="none"/>
        </w:rPr>
        <w:t>MiniPay 技术选型与容器化方案报告</w:t>
      </w:r>
    </w:p>
    <w:p w14:paraId="210A5E5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31" w:hanging="431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核心技术栈分阶段规划</w:t>
      </w:r>
    </w:p>
    <w:p w14:paraId="7F9E7B0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选型目标</w:t>
      </w:r>
    </w:p>
    <w:p w14:paraId="5B063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MiniPay 的技术选型以产品雏形为目标。方案需要支撑订单创建、支付确认、订单快速查询、支付结果可靠流转、环境可复现和后续持续交付。为控制复杂度，关键技术分为初始阶段引入和后续阶段引入。</w:t>
      </w:r>
    </w:p>
    <w:p w14:paraId="01C7AEE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初始阶段技术栈</w:t>
      </w:r>
    </w:p>
    <w:p w14:paraId="1D13055A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 xml:space="preserve">表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lang w:eastAsia="zh-CN"/>
        </w:rPr>
        <w:t xml:space="preserve"> 初始阶段关键技术栈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13A9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1316E31B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  <w:t>技术/组件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31E24A0A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  <w:t>在项目中的作用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1BF22451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  <w:t>选择理由</w:t>
            </w:r>
          </w:p>
        </w:tc>
      </w:tr>
      <w:tr w14:paraId="066C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1E6A8104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Spring Boot 3 + JDK 21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1E517A5B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构建订单、支付、商户、通知等后端服务。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08ED35AA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生态成熟，适合快速开发 REST服务，JDK 21 与 Spring Boot 3 匹配。</w:t>
            </w:r>
          </w:p>
        </w:tc>
      </w:tr>
      <w:tr w14:paraId="30AAC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45B3B462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Spring Cloud Gateway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7081DA0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统一 API 入口，承载路由、鉴权扩展、统一错误返回。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064E5819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避免前端直接访问内部服务，为后续限流和认证预留入口。</w:t>
            </w:r>
          </w:p>
        </w:tc>
      </w:tr>
      <w:tr w14:paraId="306D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50D5D2E1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Spring Security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B9BA874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实现用户认证、接口鉴权和角色权限控制。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4EF986AD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支付、商户后台和运营后台涉及敏感操作，需要统一安全边界。</w:t>
            </w:r>
          </w:p>
        </w:tc>
      </w:tr>
      <w:tr w14:paraId="1E47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6F3C3955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Spring Interface Clients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07816D0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支付前订单校验、商户校验等同步服务调用。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88969A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声明式 HTTP 接口清晰，适合需要立即返回结果的内部调用。</w:t>
            </w:r>
          </w:p>
        </w:tc>
      </w:tr>
      <w:tr w14:paraId="7D1F4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7A504C27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MyBatis-Plus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3BFCCE01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提供基础 CRUD、分页查询、条件构造能力。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38D9017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减少重复代码，复杂 SQL 保留手写 Mapper，并使用 PostgreSQL 方言。</w:t>
            </w:r>
          </w:p>
        </w:tc>
      </w:tr>
      <w:tr w14:paraId="3346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1BBED584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PostgreSQL 1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2EA749AA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订单、支付流水、商户、通知记录等权威数据存储。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7D083A83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事务、约束、索引、JSONB 和复杂查询能力适合交易原型演进。</w:t>
            </w:r>
          </w:p>
        </w:tc>
      </w:tr>
      <w:tr w14:paraId="4D2D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30E9810B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Redis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EFAD6B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订单状态缓存、支付结果快速查询、幂等 token、短期锁。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4E0DB04C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降低数据库读取压力，但不替代 PostgreSQL。</w:t>
            </w:r>
          </w:p>
        </w:tc>
      </w:tr>
      <w:tr w14:paraId="1076D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43417125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RabbitMQ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C92BBE5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支付结果事件、订单状态更新、商户通知异步化。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671E55EF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支付后动作不应全部阻塞主请求，消息队列能降低服务耦合。</w:t>
            </w:r>
          </w:p>
        </w:tc>
      </w:tr>
      <w:tr w14:paraId="4556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383CA67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Vue 3 + Vite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1D801704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构建支付页、商户后台和运营后台页面。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71A10842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适合表单、表格、状态展示，便于原型迭代。</w:t>
            </w:r>
          </w:p>
        </w:tc>
      </w:tr>
      <w:tr w14:paraId="4629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18C522C7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Nginx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C43759F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前端静态资源托管、反向代理、HTTPS 入口。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153BB2AA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区分 Web 入口和业务网关，产品入口更清晰。</w:t>
            </w:r>
          </w:p>
        </w:tc>
      </w:tr>
      <w:tr w14:paraId="0D83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04AE5F33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Docker Compose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315D077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本地和测试环境统一编排应用及依赖。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AF850B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统一 PostgreSQL、Redis、RabbitMQ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Nginx 和应用服务的运行环境。</w:t>
            </w:r>
          </w:p>
        </w:tc>
      </w:tr>
      <w:tr w14:paraId="710B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0FBF3F66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Flyway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0F006FB2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数据库版本管理和差量 SQL 迁移。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0A5CF5DC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数据库结构应部署前准备，不依赖应用首次启动自动建表。</w:t>
            </w:r>
          </w:p>
        </w:tc>
      </w:tr>
      <w:tr w14:paraId="50E0F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auto"/>
            <w:vAlign w:val="center"/>
          </w:tcPr>
          <w:p w14:paraId="3636DBD3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GitHub Actions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60DC2299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执行构建、测试和镜像检查。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63BB3F2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从初始阶段建立基本交付质量门槛。</w:t>
            </w:r>
          </w:p>
        </w:tc>
      </w:tr>
    </w:tbl>
    <w:p w14:paraId="6B88459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后续阶段技术栈</w:t>
      </w:r>
      <w:r>
        <w:commentReference w:id="0"/>
      </w:r>
    </w:p>
    <w:p w14:paraId="342DD73C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 xml:space="preserve">表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eastAsia" w:ascii="Times New Roman" w:hAnsi="Times New Roman" w:eastAsia="宋体" w:cs="Times New Roman"/>
          <w:lang w:eastAsia="zh-CN"/>
        </w:rPr>
        <w:t xml:space="preserve"> 后续阶段技术栈规划</w:t>
      </w:r>
    </w:p>
    <w:tbl>
      <w:tblPr>
        <w:tblStyle w:val="1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0A2F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auto"/>
            <w:vAlign w:val="center"/>
          </w:tcPr>
          <w:p w14:paraId="050FE07D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  <w:t>技术/组件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6DB37251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  <w:t>引入时机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2100287F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  <w:t>作用</w:t>
            </w:r>
          </w:p>
        </w:tc>
      </w:tr>
      <w:tr w14:paraId="4F2A1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8A9E8CC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Nacos</w:t>
            </w:r>
          </w:p>
        </w:tc>
        <w:tc>
          <w:tcPr>
            <w:tcW w:w="3024" w:type="dxa"/>
            <w:vAlign w:val="center"/>
          </w:tcPr>
          <w:p w14:paraId="14037065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服务数量增加、多环境配置复杂时。</w:t>
            </w:r>
          </w:p>
        </w:tc>
        <w:tc>
          <w:tcPr>
            <w:tcW w:w="3024" w:type="dxa"/>
            <w:vAlign w:val="center"/>
          </w:tcPr>
          <w:p w14:paraId="7F9CEF12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服务注册发现、配置中心、动态配置管理。</w:t>
            </w:r>
          </w:p>
        </w:tc>
      </w:tr>
      <w:tr w14:paraId="44545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07BEC6E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Sentinel</w:t>
            </w:r>
          </w:p>
        </w:tc>
        <w:tc>
          <w:tcPr>
            <w:tcW w:w="3024" w:type="dxa"/>
            <w:vAlign w:val="center"/>
          </w:tcPr>
          <w:p w14:paraId="198B95A2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接口流量上升并需要故障隔离时。</w:t>
            </w:r>
          </w:p>
        </w:tc>
        <w:tc>
          <w:tcPr>
            <w:tcW w:w="3024" w:type="dxa"/>
            <w:vAlign w:val="center"/>
          </w:tcPr>
          <w:p w14:paraId="708C2EDF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限流、熔断、降级，保护核心支付链路。</w:t>
            </w:r>
          </w:p>
        </w:tc>
      </w:tr>
      <w:tr w14:paraId="21D18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7BAE898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commentReference w:id="1"/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Prometheus + Grafana</w:t>
            </w:r>
            <w:r>
              <w:commentReference w:id="2"/>
            </w:r>
          </w:p>
        </w:tc>
        <w:tc>
          <w:tcPr>
            <w:tcW w:w="3024" w:type="dxa"/>
            <w:vAlign w:val="center"/>
          </w:tcPr>
          <w:p w14:paraId="0DFF87DE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进入测试阶段与准生产阶段。</w:t>
            </w:r>
          </w:p>
        </w:tc>
        <w:tc>
          <w:tcPr>
            <w:tcW w:w="3024" w:type="dxa"/>
            <w:vAlign w:val="center"/>
          </w:tcPr>
          <w:p w14:paraId="36C6A2A7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采集服务指标，展示接口耗时、错误率和资源使用。</w:t>
            </w:r>
          </w:p>
        </w:tc>
      </w:tr>
      <w:tr w14:paraId="2DAB6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4F47D1B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Loki</w:t>
            </w:r>
            <w:r>
              <w:commentReference w:id="3"/>
            </w:r>
          </w:p>
        </w:tc>
        <w:tc>
          <w:tcPr>
            <w:tcW w:w="3024" w:type="dxa"/>
            <w:vAlign w:val="center"/>
          </w:tcPr>
          <w:p w14:paraId="7FC76705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日志量增长、排查成本升高时。</w:t>
            </w:r>
          </w:p>
        </w:tc>
        <w:tc>
          <w:tcPr>
            <w:tcW w:w="3024" w:type="dxa"/>
            <w:vAlign w:val="center"/>
          </w:tcPr>
          <w:p w14:paraId="5D534328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集中日志检索，定位订单和支付异常。</w:t>
            </w:r>
          </w:p>
        </w:tc>
      </w:tr>
      <w:tr w14:paraId="50850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0034CF31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bookmarkStart w:id="0" w:name="_GoBack"/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SkyWalking</w:t>
            </w:r>
            <w:bookmarkEnd w:id="0"/>
          </w:p>
        </w:tc>
        <w:tc>
          <w:tcPr>
            <w:tcW w:w="3024" w:type="dxa"/>
            <w:vAlign w:val="center"/>
          </w:tcPr>
          <w:p w14:paraId="40DE0C70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微服务调用链变复杂时。</w:t>
            </w:r>
          </w:p>
        </w:tc>
        <w:tc>
          <w:tcPr>
            <w:tcW w:w="3024" w:type="dxa"/>
            <w:vAlign w:val="center"/>
          </w:tcPr>
          <w:p w14:paraId="4EA3B381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链路追踪，定位跨服务耗时和失败点。</w:t>
            </w:r>
          </w:p>
        </w:tc>
      </w:tr>
      <w:tr w14:paraId="77766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46B5690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Kubernetes</w:t>
            </w:r>
          </w:p>
        </w:tc>
        <w:tc>
          <w:tcPr>
            <w:tcW w:w="3024" w:type="dxa"/>
            <w:vAlign w:val="center"/>
          </w:tcPr>
          <w:p w14:paraId="1154B7DC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服务实例增多、需要弹性伸缩和滚动发布时。</w:t>
            </w:r>
          </w:p>
        </w:tc>
        <w:tc>
          <w:tcPr>
            <w:tcW w:w="3024" w:type="dxa"/>
            <w:vAlign w:val="center"/>
          </w:tcPr>
          <w:p w14:paraId="043D7FB0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替代单机 Compose，支持生产级容器编排。</w:t>
            </w:r>
          </w:p>
        </w:tc>
      </w:tr>
      <w:tr w14:paraId="0A530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790BA1E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MinIO</w:t>
            </w:r>
          </w:p>
        </w:tc>
        <w:tc>
          <w:tcPr>
            <w:tcW w:w="3024" w:type="dxa"/>
            <w:vAlign w:val="center"/>
          </w:tcPr>
          <w:p w14:paraId="2DF6591E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出现对账文件、导出报表、凭证存储时。</w:t>
            </w:r>
          </w:p>
        </w:tc>
        <w:tc>
          <w:tcPr>
            <w:tcW w:w="3024" w:type="dxa"/>
            <w:vAlign w:val="center"/>
          </w:tcPr>
          <w:p w14:paraId="4C3703DE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保存文件类数据，不占用业务数据库。</w:t>
            </w:r>
          </w:p>
        </w:tc>
      </w:tr>
    </w:tbl>
    <w:p w14:paraId="12FC699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31" w:hanging="431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关键技术对比与取舍</w:t>
      </w:r>
    </w:p>
    <w:p w14:paraId="7C0C4AE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核心决策说明</w:t>
      </w:r>
    </w:p>
    <w:p w14:paraId="62AEEEB9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 xml:space="preserve">表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eastAsia" w:ascii="Times New Roman" w:hAnsi="Times New Roman" w:eastAsia="宋体" w:cs="Times New Roman"/>
          <w:lang w:eastAsia="zh-CN"/>
        </w:rPr>
        <w:t xml:space="preserve"> 关键技术取舍</w:t>
      </w:r>
    </w:p>
    <w:tbl>
      <w:tblPr>
        <w:tblStyle w:val="1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D1A2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auto"/>
            <w:vAlign w:val="center"/>
          </w:tcPr>
          <w:p w14:paraId="4549E2E1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  <w:t>决策点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65D6155C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  <w:t>比较方案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2A24F2B2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shd w:val="clear" w:color="auto" w:fill="auto"/>
              </w:rPr>
              <w:t>取舍结论</w:t>
            </w:r>
          </w:p>
        </w:tc>
      </w:tr>
      <w:tr w14:paraId="006CC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43DD165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架构形态</w:t>
            </w:r>
          </w:p>
        </w:tc>
        <w:tc>
          <w:tcPr>
            <w:tcW w:w="3024" w:type="dxa"/>
            <w:vAlign w:val="center"/>
          </w:tcPr>
          <w:p w14:paraId="17EBD459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微服务 vs 单体应用</w:t>
            </w:r>
          </w:p>
        </w:tc>
        <w:tc>
          <w:tcPr>
            <w:tcW w:w="3024" w:type="dxa"/>
            <w:vAlign w:val="center"/>
          </w:tcPr>
          <w:p w14:paraId="794600C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选择微服务。订单、支付、通知和查询缓存状态归属不同，拆分后职责更清晰。</w:t>
            </w:r>
          </w:p>
        </w:tc>
      </w:tr>
      <w:tr w14:paraId="21407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0F9BD6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数据存储</w:t>
            </w:r>
          </w:p>
        </w:tc>
        <w:tc>
          <w:tcPr>
            <w:tcW w:w="3024" w:type="dxa"/>
            <w:vAlign w:val="center"/>
          </w:tcPr>
          <w:p w14:paraId="1049062D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PostgreSQL vs MySQL</w:t>
            </w:r>
          </w:p>
        </w:tc>
        <w:tc>
          <w:tcPr>
            <w:tcW w:w="3024" w:type="dxa"/>
            <w:vAlign w:val="center"/>
          </w:tcPr>
          <w:p w14:paraId="19736AFE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选择 PostgreSQL。两者都能支撑交易数据，PostgreSQL 在约束、JSONB、复杂查询和后续运营分析上更有扩展空间。</w:t>
            </w:r>
          </w:p>
        </w:tc>
      </w:tr>
      <w:tr w14:paraId="1BBE9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7D92766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缓存</w:t>
            </w:r>
          </w:p>
        </w:tc>
        <w:tc>
          <w:tcPr>
            <w:tcW w:w="3024" w:type="dxa"/>
            <w:vAlign w:val="center"/>
          </w:tcPr>
          <w:p w14:paraId="3D8976F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PostgreSQL 直查 vs Redis 缓存</w:t>
            </w:r>
          </w:p>
        </w:tc>
        <w:tc>
          <w:tcPr>
            <w:tcW w:w="3024" w:type="dxa"/>
            <w:vAlign w:val="center"/>
          </w:tcPr>
          <w:p w14:paraId="1FF9A937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近期订单查询和支付结果轮询使用 Redis 缓存，PostgreSQL 仍作为权威数据源。</w:t>
            </w:r>
          </w:p>
        </w:tc>
      </w:tr>
      <w:tr w14:paraId="02370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DB28D6B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服务通信</w:t>
            </w:r>
          </w:p>
        </w:tc>
        <w:tc>
          <w:tcPr>
            <w:tcW w:w="3024" w:type="dxa"/>
            <w:vAlign w:val="center"/>
          </w:tcPr>
          <w:p w14:paraId="58237F0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Spring Interface Clients vs 消息队列</w:t>
            </w:r>
          </w:p>
        </w:tc>
        <w:tc>
          <w:tcPr>
            <w:tcW w:w="3024" w:type="dxa"/>
            <w:vAlign w:val="center"/>
          </w:tcPr>
          <w:p w14:paraId="74E5CBCA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两者不互斥。Spring Interface Clients 用于支付前同步校验；消息队列用于支付后订单状态更新、商户通知和审计日志。</w:t>
            </w:r>
          </w:p>
        </w:tc>
      </w:tr>
      <w:tr w14:paraId="1916E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7A42FC1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Web 入口</w:t>
            </w:r>
          </w:p>
        </w:tc>
        <w:tc>
          <w:tcPr>
            <w:tcW w:w="3024" w:type="dxa"/>
            <w:vAlign w:val="center"/>
          </w:tcPr>
          <w:p w14:paraId="08F27DD5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Nginx vs 直接暴露前端服务</w:t>
            </w:r>
          </w:p>
        </w:tc>
        <w:tc>
          <w:tcPr>
            <w:tcW w:w="3024" w:type="dxa"/>
            <w:vAlign w:val="center"/>
          </w:tcPr>
          <w:p w14:paraId="409027AD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产品环境不依赖 Vite 开发服务，Nginx 托管静态资源并反向代理 /api 到 Gateway。</w:t>
            </w:r>
          </w:p>
        </w:tc>
      </w:tr>
      <w:tr w14:paraId="1D8F5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3C8FBB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数据库变更</w:t>
            </w:r>
          </w:p>
        </w:tc>
        <w:tc>
          <w:tcPr>
            <w:tcW w:w="3024" w:type="dxa"/>
            <w:vAlign w:val="center"/>
          </w:tcPr>
          <w:p w14:paraId="741AD8FA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应用启动自动建表 vs Flyway</w:t>
            </w:r>
          </w:p>
        </w:tc>
        <w:tc>
          <w:tcPr>
            <w:tcW w:w="3024" w:type="dxa"/>
            <w:vAlign w:val="center"/>
          </w:tcPr>
          <w:p w14:paraId="493D269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正式方案采用 Flyway 版本化SQL 在部署前执行，避免容器启动时执行大差量 SQL。</w:t>
            </w:r>
          </w:p>
        </w:tc>
      </w:tr>
    </w:tbl>
    <w:p w14:paraId="53E215B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取舍结论</w:t>
      </w:r>
    </w:p>
    <w:p w14:paraId="5D7A8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本项目初始阶段选择 Spring Boot、Spring Cloud Gateway、Spring Security、Spring Interface Clients、MyBatis-Plus、PostgreSQL、Redis、RabbitMQ、Vue 3、Nginx、Docker Compose 和 Flyway。该组合能够支撑产品核心链路、订单快速查询、支付结果异步流转和环境一致性。</w:t>
      </w:r>
    </w:p>
    <w:p w14:paraId="2D18C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Nacos、Sentinel、链路追踪、集中日志和 Kubernetes 作为后续治理能力，在服务数量和部署复杂度增加后逐步引入。</w:t>
      </w:r>
    </w:p>
    <w:p w14:paraId="462A8CC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31" w:hanging="431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容器化方案设计</w:t>
      </w:r>
    </w:p>
    <w:p w14:paraId="4F3638A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容器化目标</w:t>
      </w:r>
    </w:p>
    <w:p w14:paraId="71961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容器化方案以“本地和测试环境可复现”为目标。Docker Compose 负责统一启动应用、PostgreSQL、Redis、RabbitMQ 和 Nginx；数据库结构由 Flyway 迁移流程提前准备，应用容器启动时只连接已经准备好的数据库。</w:t>
      </w:r>
    </w:p>
    <w:p w14:paraId="61EAE2A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运行拓扑</w:t>
      </w:r>
    </w:p>
    <w:p w14:paraId="51518192">
      <w:pPr>
        <w:pStyle w:val="1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center"/>
        <w:textAlignment w:val="auto"/>
        <w:rPr>
          <w:rFonts w:ascii="Times New Roman" w:hAnsi="Times New Roman" w:eastAsia="宋体"/>
          <w:color w:val="auto"/>
          <w:sz w:val="21"/>
        </w:rPr>
      </w:pPr>
      <w:r>
        <w:rPr>
          <w:rFonts w:ascii="Times New Roman" w:hAnsi="Times New Roman" w:eastAsia="宋体"/>
          <w:color w:val="auto"/>
          <w:sz w:val="21"/>
        </w:rPr>
        <w:drawing>
          <wp:inline distT="0" distB="0" distL="114300" distR="114300">
            <wp:extent cx="5738495" cy="2874010"/>
            <wp:effectExtent l="0" t="0" r="14605" b="2540"/>
            <wp:docPr id="1" name="图片 1" descr="MiniPay运行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iniPay运行拓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A6EE">
      <w:pPr>
        <w:pStyle w:val="11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 xml:space="preserve">图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/>
          <w:color w:val="auto"/>
          <w:sz w:val="21"/>
        </w:rPr>
        <w:t xml:space="preserve">MiniPay </w:t>
      </w:r>
      <w:r>
        <w:rPr>
          <w:rFonts w:hint="eastAsia"/>
          <w:color w:val="auto"/>
          <w:sz w:val="21"/>
          <w:lang w:val="en-US" w:eastAsia="zh-CN"/>
        </w:rPr>
        <w:t>主要</w:t>
      </w:r>
      <w:r>
        <w:rPr>
          <w:rFonts w:hint="default" w:ascii="Times New Roman" w:hAnsi="Times New Roman" w:eastAsia="宋体" w:cs="Times New Roman"/>
          <w:lang w:eastAsia="zh-CN"/>
        </w:rPr>
        <w:t>容器运行拓扑</w:t>
      </w:r>
    </w:p>
    <w:p w14:paraId="59E8C8D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镜像构建思路</w:t>
      </w:r>
    </w:p>
    <w:p w14:paraId="287C2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 w:eastAsia="宋体"/>
          <w:sz w:val="24"/>
          <w:szCs w:val="24"/>
        </w:rPr>
        <w:t>后端服务使用多阶段构建：第一阶段使用 Maven + JDK 21 编译项目，第二阶段使用 JRE 21 运行服务 jar。前端应用使用 Node 构建静态资源，再由 Nginx 镜像托管 dist 目录。所有运行参数通过环境变量和 .env 注入，不把数据库密码、MQ 地址和商户密钥写死在镜像中。</w:t>
      </w:r>
    </w:p>
    <w:p w14:paraId="283D0E9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依赖服务编排</w:t>
      </w:r>
    </w:p>
    <w:p w14:paraId="5090ECD4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 xml:space="preserve">表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eastAsia" w:ascii="Times New Roman" w:hAnsi="Times New Roman" w:eastAsia="宋体" w:cs="Times New Roman"/>
          <w:lang w:eastAsia="zh-CN"/>
        </w:rPr>
        <w:t xml:space="preserve"> 容器编排说明</w:t>
      </w:r>
    </w:p>
    <w:tbl>
      <w:tblPr>
        <w:tblStyle w:val="1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B3E0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auto"/>
            <w:vAlign w:val="center"/>
          </w:tcPr>
          <w:p w14:paraId="5CA20D82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容器/服务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06F1194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是否初始引入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5D5E6C7D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说明</w:t>
            </w:r>
          </w:p>
        </w:tc>
      </w:tr>
      <w:tr w14:paraId="422AA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499270D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eastAsia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color w:val="auto"/>
                <w:sz w:val="21"/>
                <w:szCs w:val="21"/>
                <w:lang w:val="en-US" w:eastAsia="zh-CN"/>
              </w:rPr>
              <w:t>p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ostgres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1"/>
                <w:szCs w:val="21"/>
                <w:lang w:val="en-US" w:eastAsia="zh-CN"/>
              </w:rPr>
              <w:t>ql</w:t>
            </w:r>
          </w:p>
        </w:tc>
        <w:tc>
          <w:tcPr>
            <w:tcW w:w="3024" w:type="dxa"/>
            <w:vAlign w:val="center"/>
          </w:tcPr>
          <w:p w14:paraId="07416577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是</w:t>
            </w:r>
          </w:p>
        </w:tc>
        <w:tc>
          <w:tcPr>
            <w:tcW w:w="3024" w:type="dxa"/>
            <w:vAlign w:val="center"/>
          </w:tcPr>
          <w:p w14:paraId="5AC618C3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存储订单、支付流水、商户和通知记录；表结构由 Flyway 迁移任务提前创建。</w:t>
            </w:r>
          </w:p>
        </w:tc>
      </w:tr>
      <w:tr w14:paraId="724E8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D82CD79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redis</w:t>
            </w:r>
          </w:p>
        </w:tc>
        <w:tc>
          <w:tcPr>
            <w:tcW w:w="3024" w:type="dxa"/>
            <w:vAlign w:val="center"/>
          </w:tcPr>
          <w:p w14:paraId="10B6CF0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是</w:t>
            </w:r>
          </w:p>
        </w:tc>
        <w:tc>
          <w:tcPr>
            <w:tcW w:w="3024" w:type="dxa"/>
            <w:vAlign w:val="center"/>
          </w:tcPr>
          <w:p w14:paraId="58EE4054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缓存近期订单状态、支付结果和幂等 token。</w:t>
            </w:r>
          </w:p>
        </w:tc>
      </w:tr>
      <w:tr w14:paraId="1900C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0B69F0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rabbitmq</w:t>
            </w:r>
          </w:p>
        </w:tc>
        <w:tc>
          <w:tcPr>
            <w:tcW w:w="3024" w:type="dxa"/>
            <w:vAlign w:val="center"/>
          </w:tcPr>
          <w:p w14:paraId="605ACEA6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是</w:t>
            </w:r>
          </w:p>
        </w:tc>
        <w:tc>
          <w:tcPr>
            <w:tcW w:w="3024" w:type="dxa"/>
            <w:vAlign w:val="center"/>
          </w:tcPr>
          <w:p w14:paraId="61FBE3AA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承载支付成功事件、订单状态更新事件和商户通知事件。</w:t>
            </w:r>
          </w:p>
        </w:tc>
      </w:tr>
      <w:tr w14:paraId="004FD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A515080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gateway-service</w:t>
            </w:r>
          </w:p>
        </w:tc>
        <w:tc>
          <w:tcPr>
            <w:tcW w:w="3024" w:type="dxa"/>
            <w:vAlign w:val="center"/>
          </w:tcPr>
          <w:p w14:paraId="1822CC2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是</w:t>
            </w:r>
          </w:p>
        </w:tc>
        <w:tc>
          <w:tcPr>
            <w:tcW w:w="3024" w:type="dxa"/>
            <w:vAlign w:val="center"/>
          </w:tcPr>
          <w:p w14:paraId="0EC1B07F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统一 API 入口，只暴露给 Nginx，业务服务位于内部网络。</w:t>
            </w:r>
          </w:p>
        </w:tc>
      </w:tr>
      <w:tr w14:paraId="375F5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08951E7E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order/payment/merchant/notify/auth/admin</w:t>
            </w:r>
          </w:p>
        </w:tc>
        <w:tc>
          <w:tcPr>
            <w:tcW w:w="3024" w:type="dxa"/>
            <w:vAlign w:val="center"/>
          </w:tcPr>
          <w:p w14:paraId="31CD9887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是</w:t>
            </w:r>
          </w:p>
        </w:tc>
        <w:tc>
          <w:tcPr>
            <w:tcW w:w="3024" w:type="dxa"/>
            <w:vAlign w:val="center"/>
          </w:tcPr>
          <w:p w14:paraId="58620922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核心业务服务，使用内部网络和服务名通信。</w:t>
            </w:r>
          </w:p>
        </w:tc>
      </w:tr>
      <w:tr w14:paraId="62631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5BF17F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nginx</w:t>
            </w:r>
          </w:p>
        </w:tc>
        <w:tc>
          <w:tcPr>
            <w:tcW w:w="3024" w:type="dxa"/>
            <w:vAlign w:val="center"/>
          </w:tcPr>
          <w:p w14:paraId="2685C48F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是</w:t>
            </w:r>
          </w:p>
        </w:tc>
        <w:tc>
          <w:tcPr>
            <w:tcW w:w="3024" w:type="dxa"/>
            <w:vAlign w:val="center"/>
          </w:tcPr>
          <w:p w14:paraId="4CA75ACD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对外暴露 80/443，托管前端并代理 /api。</w:t>
            </w:r>
          </w:p>
        </w:tc>
      </w:tr>
      <w:tr w14:paraId="7DAE7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755B2AD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nacos</w:t>
            </w:r>
          </w:p>
        </w:tc>
        <w:tc>
          <w:tcPr>
            <w:tcW w:w="3024" w:type="dxa"/>
            <w:vAlign w:val="center"/>
          </w:tcPr>
          <w:p w14:paraId="3F09BA1D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后续</w:t>
            </w:r>
          </w:p>
        </w:tc>
        <w:tc>
          <w:tcPr>
            <w:tcW w:w="3024" w:type="dxa"/>
            <w:vAlign w:val="center"/>
          </w:tcPr>
          <w:p w14:paraId="4DDBF6C8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多实例和多环境后作为服务发现与配置中心引入。</w:t>
            </w:r>
          </w:p>
        </w:tc>
      </w:tr>
    </w:tbl>
    <w:p w14:paraId="679ECD6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数据库与配置管理</w:t>
      </w:r>
    </w:p>
    <w:p w14:paraId="3DA0873A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 xml:space="preserve">表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eastAsia" w:ascii="Times New Roman" w:hAnsi="Times New Roman" w:eastAsia="宋体" w:cs="Times New Roman"/>
          <w:lang w:eastAsia="zh-CN"/>
        </w:rPr>
        <w:t xml:space="preserve"> 数据库与配置管理方案</w:t>
      </w:r>
    </w:p>
    <w:tbl>
      <w:tblPr>
        <w:tblStyle w:val="1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1157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auto"/>
            <w:vAlign w:val="center"/>
          </w:tcPr>
          <w:p w14:paraId="1E55A6A2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事项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35409A0D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处理方式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41ACA5F5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理由</w:t>
            </w:r>
          </w:p>
        </w:tc>
      </w:tr>
      <w:tr w14:paraId="69E05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284ED05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数据库初始化</w:t>
            </w:r>
          </w:p>
        </w:tc>
        <w:tc>
          <w:tcPr>
            <w:tcW w:w="3024" w:type="dxa"/>
            <w:vAlign w:val="center"/>
          </w:tcPr>
          <w:p w14:paraId="215E5B13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部署前执行 Flyway 版本化 SQL。</w:t>
            </w:r>
          </w:p>
        </w:tc>
        <w:tc>
          <w:tcPr>
            <w:tcW w:w="3024" w:type="dxa"/>
            <w:vAlign w:val="center"/>
          </w:tcPr>
          <w:p w14:paraId="4F5A677F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差量 SQL 耗时和锁表风险不可控，不适合绑定应用首次加载。</w:t>
            </w:r>
          </w:p>
        </w:tc>
      </w:tr>
      <w:tr w14:paraId="64910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6068712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开发空库</w:t>
            </w:r>
          </w:p>
        </w:tc>
        <w:tc>
          <w:tcPr>
            <w:tcW w:w="3024" w:type="dxa"/>
            <w:vAlign w:val="center"/>
          </w:tcPr>
          <w:p w14:paraId="1D6A7042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可提供单独 init-dev.sql 手动执行。</w:t>
            </w:r>
          </w:p>
        </w:tc>
        <w:tc>
          <w:tcPr>
            <w:tcW w:w="3024" w:type="dxa"/>
            <w:vAlign w:val="center"/>
          </w:tcPr>
          <w:p w14:paraId="43C9CC5C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仅服务本地开发，不作为正式部署机制。</w:t>
            </w:r>
          </w:p>
        </w:tc>
      </w:tr>
      <w:tr w14:paraId="5D9A13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823CAC9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配置注入</w:t>
            </w:r>
          </w:p>
        </w:tc>
        <w:tc>
          <w:tcPr>
            <w:tcW w:w="3024" w:type="dxa"/>
            <w:vAlign w:val="center"/>
          </w:tcPr>
          <w:p w14:paraId="6E0EFC70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通过环境变量和 .env，后续接入 Nacos。</w:t>
            </w:r>
          </w:p>
        </w:tc>
        <w:tc>
          <w:tcPr>
            <w:tcW w:w="3024" w:type="dxa"/>
            <w:vAlign w:val="center"/>
          </w:tcPr>
          <w:p w14:paraId="0BE1D351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区分开发、测试和生产环境，避免重新打包。</w:t>
            </w:r>
          </w:p>
        </w:tc>
      </w:tr>
      <w:tr w14:paraId="1613C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7217370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敏感信息</w:t>
            </w:r>
          </w:p>
        </w:tc>
        <w:tc>
          <w:tcPr>
            <w:tcW w:w="3024" w:type="dxa"/>
            <w:vAlign w:val="center"/>
          </w:tcPr>
          <w:p w14:paraId="61982FDC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不提交真实密码和商户密钥。</w:t>
            </w:r>
          </w:p>
        </w:tc>
        <w:tc>
          <w:tcPr>
            <w:tcW w:w="3024" w:type="dxa"/>
            <w:vAlign w:val="center"/>
          </w:tcPr>
          <w:p w14:paraId="370CCEC3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降低配置泄漏风险。</w:t>
            </w:r>
          </w:p>
        </w:tc>
      </w:tr>
      <w:tr w14:paraId="1F582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081B3516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服务地址</w:t>
            </w:r>
          </w:p>
        </w:tc>
        <w:tc>
          <w:tcPr>
            <w:tcW w:w="3024" w:type="dxa"/>
            <w:vAlign w:val="center"/>
          </w:tcPr>
          <w:p w14:paraId="57AB0638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Compose 阶段使用服务名，后续使用服务发现。</w:t>
            </w:r>
          </w:p>
        </w:tc>
        <w:tc>
          <w:tcPr>
            <w:tcW w:w="3024" w:type="dxa"/>
            <w:vAlign w:val="center"/>
          </w:tcPr>
          <w:p w14:paraId="7301E7FB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避免容器内使用 localhost 导致调用失败。</w:t>
            </w:r>
          </w:p>
        </w:tc>
      </w:tr>
    </w:tbl>
    <w:p w14:paraId="3D49714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31" w:hanging="431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落地建议与风险控制</w:t>
      </w:r>
    </w:p>
    <w:p w14:paraId="58D962F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落地顺序</w:t>
      </w:r>
    </w:p>
    <w:p w14:paraId="00BC8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第一步，确定核心服务边界和 PostgreSQL 数据库迁移脚本，先完成订单表、支付流水表、商户表和通知记录表的版本化设计。</w:t>
      </w:r>
    </w:p>
    <w:p w14:paraId="01876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第二步，完成 order-service 与 payment-service 的最小链路，打通创建订单和支付成功。</w:t>
      </w:r>
    </w:p>
    <w:p w14:paraId="56705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第三步，接入 RabbitMQ 事件、事件外盒表和订单状态异步更新。</w:t>
      </w:r>
    </w:p>
    <w:p w14:paraId="245DB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第四步，补齐商户查询、通知记录和运营后台查询页面。</w:t>
      </w:r>
    </w:p>
    <w:p w14:paraId="1E3A9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第五步，编写 Dockerfile、docker-compose.yml、.env 和 GitHub Actions。</w:t>
      </w:r>
    </w:p>
    <w:p w14:paraId="77653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第六步，在服务数量增加后引入 Nacos、Sentinel、集中日志和链路追踪。</w:t>
      </w:r>
    </w:p>
    <w:p w14:paraId="3A697DA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主要风险与应对</w:t>
      </w:r>
    </w:p>
    <w:p w14:paraId="11E55AE3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 xml:space="preserve">表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eastAsia" w:ascii="Times New Roman" w:hAnsi="Times New Roman" w:eastAsia="宋体" w:cs="Times New Roman"/>
          <w:lang w:eastAsia="zh-CN"/>
        </w:rPr>
        <w:t xml:space="preserve"> 风险与应对措施</w:t>
      </w:r>
    </w:p>
    <w:tbl>
      <w:tblPr>
        <w:tblStyle w:val="17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0646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auto"/>
            <w:vAlign w:val="center"/>
          </w:tcPr>
          <w:p w14:paraId="350042A5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风险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072EB2D7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表现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6579DB99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应对措施</w:t>
            </w:r>
          </w:p>
        </w:tc>
      </w:tr>
      <w:tr w14:paraId="451E2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auto"/>
            <w:vAlign w:val="center"/>
          </w:tcPr>
          <w:p w14:paraId="72A3AFEC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缓存一致性问题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096682C3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订单状态更新后查询仍看到旧状态。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5792778C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订单状态变更后删除缓存，查询未命中回源 PostgreSQL。</w:t>
            </w:r>
          </w:p>
        </w:tc>
      </w:tr>
      <w:tr w14:paraId="5E0F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auto"/>
            <w:vAlign w:val="center"/>
          </w:tcPr>
          <w:p w14:paraId="6480180B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消息重复消费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39D4CA9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订单状态被重复更新或重复通知商户。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4DC1A863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消费端基于 eventId、paymentNo 做幂等处理。</w:t>
            </w:r>
          </w:p>
        </w:tc>
      </w:tr>
      <w:tr w14:paraId="06C1B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auto"/>
            <w:vAlign w:val="center"/>
          </w:tcPr>
          <w:p w14:paraId="1D4EB1EA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RabbitMQ 不可用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0677EC6B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支付后事件无法投递。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33EF943E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支付流水先落库，事件投递失败进入补偿任务与重试队列。</w:t>
            </w:r>
          </w:p>
        </w:tc>
      </w:tr>
      <w:tr w14:paraId="12DB9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auto"/>
            <w:vAlign w:val="center"/>
          </w:tcPr>
          <w:p w14:paraId="334FD87A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数据库迁移风险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5DD81A23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差量 SQL 执行慢并影响核心表。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0F96C00D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迁移脚本提前评审，在发布窗口执行，并准备回滚方案。</w:t>
            </w:r>
          </w:p>
        </w:tc>
      </w:tr>
      <w:tr w14:paraId="4D70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auto"/>
            <w:vAlign w:val="center"/>
          </w:tcPr>
          <w:p w14:paraId="20B8C367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配置泄露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4FC387A7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密码和密钥出现在仓库、镜像中。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54A7BAA9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使用 .env和密钥管理，真实配置不提交。</w:t>
            </w:r>
          </w:p>
        </w:tc>
      </w:tr>
      <w:tr w14:paraId="1E7CC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shd w:val="clear" w:color="auto" w:fill="auto"/>
            <w:vAlign w:val="center"/>
          </w:tcPr>
          <w:p w14:paraId="03AC8E12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服务治理过早复杂化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4F083F0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引入过多组件导致初始阶段无法落地。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02BF00DE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按初始阶段和后续阶段分层引入，先保证核心链路可用。</w:t>
            </w:r>
          </w:p>
        </w:tc>
      </w:tr>
    </w:tbl>
    <w:p w14:paraId="3E3D243D">
      <w:pPr>
        <w:pStyle w:val="1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both"/>
        <w:textAlignment w:val="auto"/>
        <w:rPr>
          <w:rFonts w:ascii="Times New Roman" w:hAnsi="Times New Roman" w:eastAsia="宋体"/>
          <w:color w:val="auto"/>
          <w:sz w:val="21"/>
        </w:rPr>
      </w:pPr>
    </w:p>
    <w:sectPr>
      <w:footerReference r:id="rId7" w:type="default"/>
      <w:pgSz w:w="11906" w:h="16838"/>
      <w:pgMar w:top="1247" w:right="1417" w:bottom="1247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94666901" w:date="2026-04-27T19:49:24Z" w:initials="">
    <w:p w14:paraId="5162F545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参考Spring Cloud Alibaba微服务全景，那里有解决微服务问题全套解决方法；</w:t>
      </w:r>
    </w:p>
    <w:p w14:paraId="465AE4F9">
      <w:pPr>
        <w:pStyle w:val="12"/>
        <w:rPr>
          <w:rFonts w:hint="eastAsia"/>
          <w:lang w:val="en-US" w:eastAsia="zh-CN"/>
        </w:rPr>
      </w:pPr>
    </w:p>
    <w:p w14:paraId="7F50A1FB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新技术的引入意味着一项解决方法，同时也意味着一项新的技术债，在遇到真正工程项目时除了需要考虑技术本身的成熟度和生态环境，也需要考虑团队能力与学习成本、业务价值与必要性以及成本与风险等</w:t>
      </w:r>
    </w:p>
    <w:p w14:paraId="0E9EA8E1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1.有无清晰、最新的文档和活跃的社区；</w:t>
      </w:r>
    </w:p>
    <w:p w14:paraId="2A73751D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2.学习曲线是否陡峭、团队需要多久才能掌握、这期间的生产力下降是否可接受、是否有能力长期维护和排查错误；</w:t>
      </w:r>
    </w:p>
    <w:p w14:paraId="7FF054C1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3.技术本身并没有价值，技术之上时业务、业务之上是需求，只有能解决具体问题、满足市场需求才是有价值的，避免为了“技术时髦”而引入</w:t>
      </w:r>
    </w:p>
    <w:p w14:paraId="6B2D8FF7"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新技术的依赖链条中是否包含已知漏洞、团队是否了解其安全配置和最佳实践、如果三个月后发现不合适，项目能否快速回退（退出策略）、能否通过门面、桥接模式将新技术的应用范围隔离起来，以便能随时替换</w:t>
      </w:r>
    </w:p>
  </w:comment>
  <w:comment w:id="1" w:author="WPS_1694666901" w:date="2026-04-27T20:39:12Z" w:initials="">
    <w:p w14:paraId="1DD72BC0">
      <w:pPr>
        <w:pStyle w:val="12"/>
        <w:rPr>
          <w:rFonts w:hint="eastAsia" w:eastAsia="宋体"/>
          <w:lang w:eastAsia="zh-CN"/>
        </w:rPr>
      </w:pPr>
      <w:r>
        <w:rPr>
          <w:rFonts w:hint="eastAsia"/>
        </w:rPr>
        <w:t>系统监控和警报工具包</w:t>
      </w:r>
      <w:r>
        <w:rPr>
          <w:rFonts w:hint="eastAsia"/>
          <w:lang w:eastAsia="zh-CN"/>
        </w:rPr>
        <w:t>、</w:t>
      </w:r>
    </w:p>
  </w:comment>
  <w:comment w:id="2" w:author="WPS_1694666901" w:date="2026-04-27T20:39:24Z" w:initials="">
    <w:p w14:paraId="0DAE97D6">
      <w:pPr>
        <w:pStyle w:val="12"/>
      </w:pPr>
      <w:r>
        <w:rPr>
          <w:rFonts w:hint="eastAsia"/>
        </w:rPr>
        <w:t>可视化展示、探索分析</w:t>
      </w:r>
    </w:p>
  </w:comment>
  <w:comment w:id="3" w:author="WPS_1694666901" w:date="2026-04-27T21:04:45Z" w:initials="">
    <w:p w14:paraId="2E498037">
      <w:pPr>
        <w:pStyle w:val="12"/>
      </w:pPr>
      <w:r>
        <w:rPr>
          <w:rFonts w:hint="eastAsia"/>
        </w:rPr>
        <w:t>日志存储与索引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2D8FF7" w15:done="0"/>
  <w15:commentEx w15:paraId="1DD72BC0" w15:done="0"/>
  <w15:commentEx w15:paraId="0DAE97D6" w15:done="0"/>
  <w15:commentEx w15:paraId="2E49803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B8469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60EF19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60EF19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7A321F"/>
    <w:multiLevelType w:val="multilevel"/>
    <w:tmpl w:val="3E7A321F"/>
    <w:lvl w:ilvl="0" w:tentative="0">
      <w:start w:val="1"/>
      <w:numFmt w:val="chineseCounting"/>
      <w:pStyle w:val="2"/>
      <w:suff w:val="nothing"/>
      <w:lvlText w:val="%1、 "/>
      <w:lvlJc w:val="left"/>
      <w:pPr>
        <w:ind w:left="432" w:hanging="432"/>
      </w:pPr>
      <w:rPr>
        <w:rFonts w:hint="eastAsia"/>
        <w:sz w:val="32"/>
        <w:szCs w:val="32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default"/>
        <w:b/>
        <w:bCs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94666901">
    <w15:presenceInfo w15:providerId="WPS Office" w15:userId="75362763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5CE7"/>
    <w:rsid w:val="03B210EB"/>
    <w:rsid w:val="03DA3DAB"/>
    <w:rsid w:val="04971ACF"/>
    <w:rsid w:val="05C30E47"/>
    <w:rsid w:val="06007F0A"/>
    <w:rsid w:val="06654211"/>
    <w:rsid w:val="070E5F93"/>
    <w:rsid w:val="078F7797"/>
    <w:rsid w:val="07BE007D"/>
    <w:rsid w:val="07F95559"/>
    <w:rsid w:val="083251D0"/>
    <w:rsid w:val="085D6318"/>
    <w:rsid w:val="0912552D"/>
    <w:rsid w:val="09CD18FD"/>
    <w:rsid w:val="0A6C4D29"/>
    <w:rsid w:val="0B381EF4"/>
    <w:rsid w:val="0B61144B"/>
    <w:rsid w:val="0BB53AD2"/>
    <w:rsid w:val="0C4D19CF"/>
    <w:rsid w:val="0C7B44A2"/>
    <w:rsid w:val="0E2D1B2C"/>
    <w:rsid w:val="0ED85EC8"/>
    <w:rsid w:val="0F483732"/>
    <w:rsid w:val="1018293F"/>
    <w:rsid w:val="12411FD6"/>
    <w:rsid w:val="12D15108"/>
    <w:rsid w:val="138A175B"/>
    <w:rsid w:val="1419582F"/>
    <w:rsid w:val="14553B17"/>
    <w:rsid w:val="149208C7"/>
    <w:rsid w:val="15BC073A"/>
    <w:rsid w:val="161F262E"/>
    <w:rsid w:val="178A6B78"/>
    <w:rsid w:val="17E51656"/>
    <w:rsid w:val="18B10430"/>
    <w:rsid w:val="1A693E78"/>
    <w:rsid w:val="1A71658A"/>
    <w:rsid w:val="1AD92DF0"/>
    <w:rsid w:val="1AFA0F74"/>
    <w:rsid w:val="1B8B6C1C"/>
    <w:rsid w:val="1D0B4105"/>
    <w:rsid w:val="1E1E4F79"/>
    <w:rsid w:val="1EBF050A"/>
    <w:rsid w:val="204F6CA8"/>
    <w:rsid w:val="21863561"/>
    <w:rsid w:val="222521E6"/>
    <w:rsid w:val="22CA7798"/>
    <w:rsid w:val="23021720"/>
    <w:rsid w:val="23045086"/>
    <w:rsid w:val="24132DE1"/>
    <w:rsid w:val="241C052D"/>
    <w:rsid w:val="259E4449"/>
    <w:rsid w:val="25DF7264"/>
    <w:rsid w:val="26E825C8"/>
    <w:rsid w:val="27D15AD4"/>
    <w:rsid w:val="29661E1E"/>
    <w:rsid w:val="29F32A64"/>
    <w:rsid w:val="2A5A558B"/>
    <w:rsid w:val="2A703001"/>
    <w:rsid w:val="2AD90D23"/>
    <w:rsid w:val="2B0A1D6D"/>
    <w:rsid w:val="2BDD46C6"/>
    <w:rsid w:val="2CE90696"/>
    <w:rsid w:val="2D76357D"/>
    <w:rsid w:val="2E1B5161"/>
    <w:rsid w:val="2E305B04"/>
    <w:rsid w:val="2E7A4101"/>
    <w:rsid w:val="2EF37D5C"/>
    <w:rsid w:val="30275401"/>
    <w:rsid w:val="30D37E45"/>
    <w:rsid w:val="33676E1A"/>
    <w:rsid w:val="340D7AFF"/>
    <w:rsid w:val="34963664"/>
    <w:rsid w:val="352513F0"/>
    <w:rsid w:val="37BC7885"/>
    <w:rsid w:val="37E42938"/>
    <w:rsid w:val="38686BC5"/>
    <w:rsid w:val="38EF5A38"/>
    <w:rsid w:val="3A43428E"/>
    <w:rsid w:val="3AF749DF"/>
    <w:rsid w:val="3C447E49"/>
    <w:rsid w:val="3CBB3E33"/>
    <w:rsid w:val="3DE85405"/>
    <w:rsid w:val="3E7F6A62"/>
    <w:rsid w:val="3EA3067E"/>
    <w:rsid w:val="3F8F587F"/>
    <w:rsid w:val="3FA7706D"/>
    <w:rsid w:val="409B6D58"/>
    <w:rsid w:val="40B624C0"/>
    <w:rsid w:val="419001E6"/>
    <w:rsid w:val="42411939"/>
    <w:rsid w:val="42BD1F51"/>
    <w:rsid w:val="44FB69A3"/>
    <w:rsid w:val="474176F1"/>
    <w:rsid w:val="49F904C5"/>
    <w:rsid w:val="4AC66650"/>
    <w:rsid w:val="4B8C414A"/>
    <w:rsid w:val="4C6C6C38"/>
    <w:rsid w:val="4CAE1A3B"/>
    <w:rsid w:val="4D484BE6"/>
    <w:rsid w:val="4E086F29"/>
    <w:rsid w:val="4F7423AB"/>
    <w:rsid w:val="50331EDB"/>
    <w:rsid w:val="5251742F"/>
    <w:rsid w:val="52815D19"/>
    <w:rsid w:val="52A57572"/>
    <w:rsid w:val="53ED7B58"/>
    <w:rsid w:val="54F14BBA"/>
    <w:rsid w:val="552E25A8"/>
    <w:rsid w:val="57222D48"/>
    <w:rsid w:val="58775B45"/>
    <w:rsid w:val="5943175D"/>
    <w:rsid w:val="5984713B"/>
    <w:rsid w:val="5A82711F"/>
    <w:rsid w:val="5A957753"/>
    <w:rsid w:val="5B5F0153"/>
    <w:rsid w:val="5C0D5002"/>
    <w:rsid w:val="5E285908"/>
    <w:rsid w:val="5E2B1CA6"/>
    <w:rsid w:val="5ED839F9"/>
    <w:rsid w:val="5F3333FF"/>
    <w:rsid w:val="5F41673E"/>
    <w:rsid w:val="5F4A33E1"/>
    <w:rsid w:val="5F775CBC"/>
    <w:rsid w:val="6223212B"/>
    <w:rsid w:val="62F95CB5"/>
    <w:rsid w:val="637644DD"/>
    <w:rsid w:val="63780D97"/>
    <w:rsid w:val="63CE2A65"/>
    <w:rsid w:val="645C63D8"/>
    <w:rsid w:val="64AD48AA"/>
    <w:rsid w:val="66342969"/>
    <w:rsid w:val="66F57C3E"/>
    <w:rsid w:val="67AB5EFE"/>
    <w:rsid w:val="67C131D4"/>
    <w:rsid w:val="68EA39A3"/>
    <w:rsid w:val="699A681B"/>
    <w:rsid w:val="6B285378"/>
    <w:rsid w:val="6BEC40AE"/>
    <w:rsid w:val="6C353187"/>
    <w:rsid w:val="6D183E71"/>
    <w:rsid w:val="6D7955B3"/>
    <w:rsid w:val="6D8A5E74"/>
    <w:rsid w:val="6E8403F6"/>
    <w:rsid w:val="6F12155D"/>
    <w:rsid w:val="6F7915DC"/>
    <w:rsid w:val="71CE6D52"/>
    <w:rsid w:val="72F90BB3"/>
    <w:rsid w:val="74B310ED"/>
    <w:rsid w:val="754461E9"/>
    <w:rsid w:val="75FE45EA"/>
    <w:rsid w:val="760C2423"/>
    <w:rsid w:val="766D5220"/>
    <w:rsid w:val="77A402FB"/>
    <w:rsid w:val="783764D9"/>
    <w:rsid w:val="793425DB"/>
    <w:rsid w:val="79B973BC"/>
    <w:rsid w:val="7ADE7FBC"/>
    <w:rsid w:val="7B8C4F47"/>
    <w:rsid w:val="7CA97DBF"/>
    <w:rsid w:val="7CD97B5E"/>
    <w:rsid w:val="7E437985"/>
    <w:rsid w:val="7E54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  <w:tab w:val="left" w:pos="420"/>
      </w:tabs>
      <w:spacing w:before="480" w:after="0"/>
      <w:ind w:left="432" w:hanging="432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宋体" w:hAnsi="宋体" w:eastAsia="宋体"/>
      <w:b/>
      <w:sz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宋体" w:hAnsi="宋体" w:eastAsia="宋体"/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Times New Roman" w:hAnsi="Times New Roman"/>
      <w:sz w:val="21"/>
      <w:szCs w:val="21"/>
    </w:rPr>
  </w:style>
  <w:style w:type="paragraph" w:styleId="12">
    <w:name w:val="annotation text"/>
    <w:basedOn w:val="1"/>
    <w:uiPriority w:val="0"/>
    <w:pPr>
      <w:jc w:val="left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Ascii" w:hAnsiTheme="majorAscii" w:eastAsiaTheme="majorEastAsia" w:cstheme="majorBidi"/>
      <w:b/>
      <w:color w:val="333F50" w:themeColor="text2" w:themeShade="BF"/>
      <w:spacing w:val="5"/>
      <w:kern w:val="28"/>
      <w:sz w:val="44"/>
      <w:szCs w:val="52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2423</Words>
  <Characters>3314</Characters>
  <Lines>0</Lines>
  <Paragraphs>0</Paragraphs>
  <TotalTime>252</TotalTime>
  <ScaleCrop>false</ScaleCrop>
  <LinksUpToDate>false</LinksUpToDate>
  <CharactersWithSpaces>3488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2026-04-22T01:16:00Z</dcterms:created>
  <dc:creator>MiniPay 项目组</dc:creator>
  <dc:description>确定版：技术选型不使用“或”表达。</dc:description>
  <cp:lastModifiedBy>WPS_1694666901</cp:lastModifiedBy>
  <dcterms:modified xsi:type="dcterms:W3CDTF">2026-04-27T13:34:15Z</dcterms:modified>
  <dc:subject>作业二 学生版</dc:subject>
  <dc:title>MiniPay 技术选型与容器化方案报告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eyJoZGlkIjoiMGQ1ZDVjYmUzNzhmMTYwOTg4MmI3ZDUzNzdkYmJiNWUiLCJ1c2VySWQiOiIxNTMxODIwODU1In0=</vt:lpwstr>
  </property>
  <property fmtid="{D5CDD505-2E9C-101B-9397-08002B2CF9AE}" pid="4" name="ICV">
    <vt:lpwstr>BE6DB2C38A1D42399903A3767A1CE118_12</vt:lpwstr>
  </property>
</Properties>
</file>