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FCB82">
      <w:pPr>
        <w:jc w:val="center"/>
      </w:pPr>
      <w:r>
        <w:rPr>
          <w:rFonts w:ascii="黑体" w:hAnsi="黑体" w:eastAsia="黑体"/>
          <w:b/>
          <w:sz w:val="40"/>
        </w:rPr>
        <w:t>期末工程综合考核说明</w:t>
      </w:r>
    </w:p>
    <w:p w14:paraId="393E53F1"/>
    <w:p w14:paraId="7B80F1A2">
      <w:r>
        <w:rPr>
          <w:rFonts w:ascii="黑体" w:hAnsi="黑体" w:eastAsia="黑体"/>
          <w:b/>
          <w:sz w:val="26"/>
        </w:rPr>
        <w:t>一、考核目标</w:t>
      </w:r>
    </w:p>
    <w:p w14:paraId="5803B3C3">
      <w:r>
        <w:rPr>
          <w:rFonts w:ascii="宋体" w:hAnsi="宋体" w:eastAsia="宋体"/>
          <w:b w:val="0"/>
          <w:sz w:val="22"/>
        </w:rPr>
        <w:t>1. 以小组为单位完成 MiniPay 教学支付平台的最小可演示系统。</w:t>
      </w:r>
    </w:p>
    <w:p w14:paraId="2BF22513">
      <w:r>
        <w:rPr>
          <w:rFonts w:ascii="宋体" w:hAnsi="宋体" w:eastAsia="宋体"/>
          <w:b w:val="0"/>
          <w:sz w:val="22"/>
        </w:rPr>
        <w:t>2. 整合作业与实验阶段的成果，体现需求、架构、接口、实现、容器化、质量治理之间的闭环。</w:t>
      </w:r>
    </w:p>
    <w:p w14:paraId="638D167B">
      <w:r>
        <w:rPr>
          <w:rFonts w:ascii="宋体" w:hAnsi="宋体" w:eastAsia="宋体"/>
          <w:b w:val="0"/>
          <w:sz w:val="22"/>
        </w:rPr>
        <w:t xml:space="preserve">3. </w:t>
      </w:r>
      <w:r>
        <w:rPr>
          <w:rFonts w:hint="eastAsia"/>
          <w:b w:val="0"/>
          <w:sz w:val="22"/>
          <w:lang w:val="en-US" w:eastAsia="zh-CN"/>
        </w:rPr>
        <w:t>培养</w:t>
      </w:r>
      <w:r>
        <w:rPr>
          <w:rFonts w:ascii="宋体" w:hAnsi="宋体" w:eastAsia="宋体"/>
          <w:b w:val="0"/>
          <w:sz w:val="22"/>
        </w:rPr>
        <w:t>从局部实验走向系统级集成的工程能力。</w:t>
      </w:r>
    </w:p>
    <w:p w14:paraId="4B479F7E">
      <w:r>
        <w:rPr>
          <w:rFonts w:ascii="黑体" w:hAnsi="黑体" w:eastAsia="黑体"/>
          <w:b/>
          <w:sz w:val="26"/>
        </w:rPr>
        <w:t>二、系统范围与边界</w:t>
      </w:r>
    </w:p>
    <w:p w14:paraId="44DA48C2">
      <w:r>
        <w:rPr>
          <w:rFonts w:ascii="宋体" w:hAnsi="宋体" w:eastAsia="宋体"/>
          <w:b w:val="0"/>
          <w:sz w:val="22"/>
        </w:rPr>
        <w:t>1. 系统核心范围限定为：创建订单、发起模拟支付、支付状态更新、结果查询与展示。</w:t>
      </w:r>
    </w:p>
    <w:p w14:paraId="38A99BF7">
      <w:r>
        <w:rPr>
          <w:rFonts w:ascii="宋体" w:hAnsi="宋体" w:eastAsia="宋体"/>
          <w:b w:val="0"/>
          <w:sz w:val="22"/>
        </w:rPr>
        <w:t>2. 推荐系统角色包括：Payment Page、Merchant Dashboard、Platform Admin、API Gateway、Order Service、Payment Service、Merchant Service。</w:t>
      </w:r>
    </w:p>
    <w:p w14:paraId="448FABFD">
      <w:r>
        <w:rPr>
          <w:rFonts w:ascii="宋体" w:hAnsi="宋体" w:eastAsia="宋体"/>
          <w:b w:val="0"/>
          <w:sz w:val="22"/>
        </w:rPr>
        <w:t>3. 可按组内能力扩展 auth-service、消息队列、限流、监控等内容，但不是合格层的强制要求。</w:t>
      </w:r>
    </w:p>
    <w:p w14:paraId="5C2DB936">
      <w:r>
        <w:rPr>
          <w:rFonts w:ascii="黑体" w:hAnsi="黑体" w:eastAsia="黑体"/>
          <w:b/>
          <w:sz w:val="26"/>
        </w:rPr>
        <w:t>三、提交要求</w:t>
      </w:r>
    </w:p>
    <w:p w14:paraId="32E7BABF">
      <w:r>
        <w:rPr>
          <w:rFonts w:ascii="宋体" w:hAnsi="宋体" w:eastAsia="宋体"/>
          <w:b w:val="0"/>
          <w:sz w:val="22"/>
        </w:rPr>
        <w:t>1. 期末工程是唯一要求系统级实现的部分，实验与作业中的未完整实现内容应在此阶段完成整合。</w:t>
      </w:r>
    </w:p>
    <w:p w14:paraId="3A0B910E">
      <w:r>
        <w:rPr>
          <w:rFonts w:ascii="宋体" w:hAnsi="宋体" w:eastAsia="宋体"/>
          <w:b w:val="0"/>
          <w:sz w:val="22"/>
        </w:rPr>
        <w:t>2. 系统必须能够演示完整主链路，且提交材料应与实现保持一致。</w:t>
      </w:r>
    </w:p>
    <w:p w14:paraId="3DD5181D">
      <w:r>
        <w:rPr>
          <w:rFonts w:ascii="宋体" w:hAnsi="宋体" w:eastAsia="宋体"/>
          <w:b w:val="0"/>
          <w:sz w:val="22"/>
        </w:rPr>
        <w:t>3. 鼓励复用实验产物，但必须统一整理、补全缺失内容并保证最终版本可复核。</w:t>
      </w:r>
    </w:p>
    <w:p w14:paraId="08A7BE7A">
      <w:r>
        <w:rPr>
          <w:rFonts w:ascii="宋体" w:hAnsi="宋体" w:eastAsia="宋体"/>
          <w:b/>
          <w:sz w:val="22"/>
        </w:rPr>
        <w:t>必须提交的产物：</w:t>
      </w:r>
    </w:p>
    <w:p w14:paraId="340D45E2">
      <w:r>
        <w:rPr>
          <w:rFonts w:ascii="宋体" w:hAnsi="宋体" w:eastAsia="宋体"/>
          <w:b w:val="0"/>
          <w:sz w:val="22"/>
        </w:rPr>
        <w:t>• 可运行系统代码仓库 1 份，含启动说明。</w:t>
      </w:r>
    </w:p>
    <w:p w14:paraId="62C5D9C4">
      <w:r>
        <w:rPr>
          <w:rFonts w:ascii="宋体" w:hAnsi="宋体" w:eastAsia="宋体"/>
          <w:b w:val="0"/>
          <w:sz w:val="22"/>
        </w:rPr>
        <w:t>• 系统演示视频或现场演示脚本 1 份。</w:t>
      </w:r>
    </w:p>
    <w:p w14:paraId="41347A60">
      <w:r>
        <w:rPr>
          <w:rFonts w:ascii="宋体" w:hAnsi="宋体" w:eastAsia="宋体"/>
          <w:b w:val="0"/>
          <w:sz w:val="22"/>
        </w:rPr>
        <w:t>• 项目文档包 1 份，至少包含需求摘要、架构说明、接口说明、部署说明、测试或检查结果。</w:t>
      </w:r>
    </w:p>
    <w:p w14:paraId="1301DDDC">
      <w:r>
        <w:rPr>
          <w:rFonts w:ascii="宋体" w:hAnsi="宋体" w:eastAsia="宋体"/>
          <w:b w:val="0"/>
          <w:sz w:val="22"/>
        </w:rPr>
        <w:t>• 组内分工说明与成员贡献说明 1 份。</w:t>
      </w:r>
    </w:p>
    <w:p w14:paraId="4FAAD85B">
      <w:r>
        <w:rPr>
          <w:rFonts w:ascii="宋体" w:hAnsi="宋体" w:eastAsia="宋体"/>
          <w:b/>
          <w:sz w:val="22"/>
        </w:rPr>
        <w:t>组织方式说明：</w:t>
      </w:r>
    </w:p>
    <w:p w14:paraId="7A95557A">
      <w:r>
        <w:rPr>
          <w:rFonts w:ascii="宋体" w:hAnsi="宋体" w:eastAsia="宋体"/>
          <w:b w:val="0"/>
          <w:sz w:val="22"/>
        </w:rPr>
        <w:t>• 期末工程综合考核以小组为单位完成，建议每组 3 至 5 人。</w:t>
      </w:r>
    </w:p>
    <w:p w14:paraId="6F86BFCC">
      <w:r>
        <w:rPr>
          <w:rFonts w:ascii="宋体" w:hAnsi="宋体" w:eastAsia="宋体"/>
          <w:b w:val="0"/>
          <w:sz w:val="22"/>
        </w:rPr>
        <w:t>• 期末工程应整合作业与实验阶段的成果，形成一个可演示、可说明、可复核的 MiniPay 教学支付平台。</w:t>
      </w:r>
    </w:p>
    <w:p w14:paraId="0B250EDD">
      <w:r>
        <w:rPr>
          <w:rFonts w:ascii="宋体" w:hAnsi="宋体" w:eastAsia="宋体"/>
          <w:b w:val="0"/>
          <w:sz w:val="22"/>
        </w:rPr>
        <w:t>• 期末工程答辩可区分个人掌握程度，实现效果与文档质量按小组统一评分。</w:t>
      </w:r>
    </w:p>
    <w:p w14:paraId="575BF4FE">
      <w:r>
        <w:rPr>
          <w:rFonts w:ascii="黑体" w:hAnsi="黑体" w:eastAsia="黑体"/>
          <w:b/>
          <w:sz w:val="26"/>
        </w:rPr>
        <w:t>四、考核要求与完成建议</w:t>
      </w:r>
    </w:p>
    <w:p w14:paraId="1CDD9F7D">
      <w:r>
        <w:rPr>
          <w:rFonts w:ascii="宋体" w:hAnsi="宋体" w:eastAsia="宋体"/>
          <w:b/>
          <w:sz w:val="22"/>
        </w:rPr>
        <w:t>期末工程：</w:t>
      </w:r>
    </w:p>
    <w:p w14:paraId="3C1FC2B7">
      <w:r>
        <w:rPr>
          <w:rFonts w:ascii="宋体" w:hAnsi="宋体" w:eastAsia="宋体"/>
          <w:b w:val="0"/>
          <w:sz w:val="22"/>
        </w:rPr>
        <w:t>• 先完成主链路：必须优先保证“创建订单 -&gt; 发起支付 -&gt; 支付状态更新 -&gt; 结果查询”能够演示。</w:t>
      </w:r>
    </w:p>
    <w:p w14:paraId="34D799D4">
      <w:r>
        <w:rPr>
          <w:rFonts w:ascii="宋体" w:hAnsi="宋体" w:eastAsia="宋体"/>
          <w:b w:val="0"/>
          <w:sz w:val="22"/>
        </w:rPr>
        <w:t>• 再做系统集成：至少应体现网关与多个核心服务之间的协同，而不是只有单一接口页面。</w:t>
      </w:r>
    </w:p>
    <w:p w14:paraId="6357E114">
      <w:r>
        <w:rPr>
          <w:rFonts w:ascii="宋体" w:hAnsi="宋体" w:eastAsia="宋体"/>
          <w:b w:val="0"/>
          <w:sz w:val="22"/>
        </w:rPr>
        <w:t>• 补齐工程化要素：至少在容器化、一键启动、CI、测试、日志、质量检查中覆盖其中若干项。</w:t>
      </w:r>
    </w:p>
    <w:p w14:paraId="467521B3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• 统一材料表达：演示内容、提交文档、代码仓库和答辩说明必须能够相互对应。</w:t>
      </w:r>
    </w:p>
    <w:p w14:paraId="1034F607">
      <w:pPr>
        <w:rPr>
          <w:rFonts w:hint="default" w:ascii="宋体" w:hAnsi="宋体" w:eastAsia="宋体"/>
          <w:b w:val="0"/>
          <w:sz w:val="22"/>
          <w:lang w:val="en-US" w:eastAsia="zh-CN"/>
        </w:rPr>
      </w:pPr>
      <w:r>
        <w:rPr>
          <w:rFonts w:ascii="宋体" w:hAnsi="宋体" w:eastAsia="宋体"/>
          <w:b w:val="0"/>
          <w:sz w:val="22"/>
        </w:rPr>
        <w:t>•</w:t>
      </w:r>
      <w:r>
        <w:rPr>
          <w:rFonts w:hint="eastAsia"/>
          <w:b w:val="0"/>
          <w:sz w:val="22"/>
          <w:lang w:val="en-US" w:eastAsia="zh-CN"/>
        </w:rPr>
        <w:t xml:space="preserve"> 演示要求：镜像使用、系统展示、项目文档。</w:t>
      </w:r>
    </w:p>
    <w:p w14:paraId="408781AF">
      <w:r>
        <w:rPr>
          <w:rFonts w:ascii="宋体" w:hAnsi="宋体" w:eastAsia="宋体"/>
          <w:b/>
          <w:sz w:val="22"/>
        </w:rPr>
        <w:t>建议完成顺序：</w:t>
      </w:r>
    </w:p>
    <w:p w14:paraId="58B58C08">
      <w:r>
        <w:rPr>
          <w:rFonts w:ascii="宋体" w:hAnsi="宋体" w:eastAsia="宋体"/>
          <w:b w:val="0"/>
          <w:sz w:val="22"/>
        </w:rPr>
        <w:t>1. 先收束系统范围，确认本组最终要演示的核心功能，不要临近截止时继续扩功能。</w:t>
      </w:r>
    </w:p>
    <w:p w14:paraId="0B4DE52F">
      <w:r>
        <w:rPr>
          <w:rFonts w:ascii="宋体" w:hAnsi="宋体" w:eastAsia="宋体"/>
          <w:b w:val="0"/>
          <w:sz w:val="22"/>
        </w:rPr>
        <w:t>2. 把前期作业和实验成果整合为当前版本，例如统一需求摘要、架构图、接口说明、Docker 配置。</w:t>
      </w:r>
    </w:p>
    <w:p w14:paraId="6754F486">
      <w:r>
        <w:rPr>
          <w:rFonts w:ascii="宋体" w:hAnsi="宋体" w:eastAsia="宋体"/>
          <w:b w:val="0"/>
          <w:sz w:val="22"/>
        </w:rPr>
        <w:t>3. 完成系统联调，确保主链路稳定，再补充部署、测试、检查等工程化内容。</w:t>
      </w:r>
    </w:p>
    <w:p w14:paraId="1A252F39">
      <w:r>
        <w:rPr>
          <w:rFonts w:ascii="宋体" w:hAnsi="宋体" w:eastAsia="宋体"/>
          <w:b w:val="0"/>
          <w:sz w:val="22"/>
        </w:rPr>
        <w:t>4. 提前准备演示脚本和答辩分工，避免到答辩时只会演示，不会解释设计与实现。</w:t>
      </w:r>
    </w:p>
    <w:p w14:paraId="1443CC5E">
      <w:r>
        <w:rPr>
          <w:rFonts w:ascii="黑体" w:hAnsi="黑体" w:eastAsia="黑体"/>
          <w:b/>
          <w:sz w:val="26"/>
        </w:rPr>
        <w:t>五、提交内容说明</w:t>
      </w:r>
    </w:p>
    <w:p w14:paraId="4CF11FB7">
      <w:r>
        <w:rPr>
          <w:rFonts w:ascii="宋体" w:hAnsi="宋体" w:eastAsia="宋体"/>
          <w:b/>
          <w:sz w:val="22"/>
        </w:rPr>
        <w:t>1. 代码仓库</w:t>
      </w:r>
    </w:p>
    <w:p w14:paraId="0415C43F">
      <w:r>
        <w:rPr>
          <w:rFonts w:ascii="宋体" w:hAnsi="宋体" w:eastAsia="宋体"/>
          <w:b w:val="0"/>
          <w:sz w:val="22"/>
        </w:rPr>
        <w:t>• 仓库应包含清晰的目录结构、启动方式和必要的环境说明。</w:t>
      </w:r>
    </w:p>
    <w:p w14:paraId="75E4F183">
      <w:r>
        <w:rPr>
          <w:rFonts w:ascii="宋体" w:hAnsi="宋体" w:eastAsia="宋体"/>
          <w:b w:val="0"/>
          <w:sz w:val="22"/>
        </w:rPr>
        <w:t>• 如果系统依赖数据库或多个服务，应说明启动顺序或提供一键启动方案。</w:t>
      </w:r>
    </w:p>
    <w:p w14:paraId="4581911E">
      <w:r>
        <w:rPr>
          <w:rFonts w:ascii="宋体" w:hAnsi="宋体" w:eastAsia="宋体"/>
          <w:b/>
          <w:sz w:val="22"/>
        </w:rPr>
        <w:t>2. 演示材料</w:t>
      </w:r>
    </w:p>
    <w:p w14:paraId="67B09B10">
      <w:r>
        <w:rPr>
          <w:rFonts w:ascii="宋体" w:hAnsi="宋体" w:eastAsia="宋体"/>
          <w:b w:val="0"/>
          <w:sz w:val="22"/>
        </w:rPr>
        <w:t>• 如果使用视频，应覆盖完整主链路，不建议只录零散页面切换。</w:t>
      </w:r>
    </w:p>
    <w:p w14:paraId="38B6DF3D">
      <w:r>
        <w:rPr>
          <w:rFonts w:ascii="宋体" w:hAnsi="宋体" w:eastAsia="宋体"/>
          <w:b w:val="0"/>
          <w:sz w:val="22"/>
        </w:rPr>
        <w:t>• 如果现场演示，应提前准备演示脚本，明确每一步要展示什么。</w:t>
      </w:r>
    </w:p>
    <w:p w14:paraId="6791F792">
      <w:r>
        <w:rPr>
          <w:rFonts w:ascii="宋体" w:hAnsi="宋体" w:eastAsia="宋体"/>
          <w:b/>
          <w:sz w:val="22"/>
        </w:rPr>
        <w:t>3. 项目文档包</w:t>
      </w:r>
    </w:p>
    <w:p w14:paraId="2FF83689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2"/>
        </w:rPr>
        <w:t>• 只需保留最能支撑理解的关键内容，</w:t>
      </w:r>
      <w:r>
        <w:rPr>
          <w:rFonts w:hint="eastAsia"/>
          <w:b w:val="0"/>
          <w:sz w:val="22"/>
          <w:lang w:val="en-US" w:eastAsia="zh-CN"/>
        </w:rPr>
        <w:t>包括</w:t>
      </w:r>
      <w:r>
        <w:rPr>
          <w:rFonts w:ascii="宋体" w:hAnsi="宋体" w:eastAsia="宋体"/>
          <w:b w:val="0"/>
          <w:sz w:val="22"/>
        </w:rPr>
        <w:t>需求</w:t>
      </w:r>
      <w:r>
        <w:rPr>
          <w:rFonts w:hint="eastAsia"/>
          <w:b w:val="0"/>
          <w:sz w:val="22"/>
          <w:lang w:val="en-US" w:eastAsia="zh-CN"/>
        </w:rPr>
        <w:t>背景</w:t>
      </w:r>
      <w:r>
        <w:rPr>
          <w:rFonts w:ascii="宋体" w:hAnsi="宋体" w:eastAsia="宋体"/>
          <w:b w:val="0"/>
          <w:sz w:val="22"/>
        </w:rPr>
        <w:t>、架构</w:t>
      </w:r>
      <w:r>
        <w:rPr>
          <w:rFonts w:hint="eastAsia"/>
          <w:b w:val="0"/>
          <w:sz w:val="22"/>
          <w:lang w:val="en-US" w:eastAsia="zh-CN"/>
        </w:rPr>
        <w:t>设计</w:t>
      </w:r>
      <w:r>
        <w:rPr>
          <w:rFonts w:ascii="宋体" w:hAnsi="宋体" w:eastAsia="宋体"/>
          <w:b w:val="0"/>
          <w:sz w:val="22"/>
        </w:rPr>
        <w:t>、接口</w:t>
      </w:r>
      <w:r>
        <w:rPr>
          <w:rFonts w:hint="eastAsia"/>
          <w:b w:val="0"/>
          <w:sz w:val="22"/>
          <w:lang w:val="en-US" w:eastAsia="zh-CN"/>
        </w:rPr>
        <w:t>设计</w:t>
      </w:r>
      <w:r>
        <w:rPr>
          <w:rFonts w:ascii="宋体" w:hAnsi="宋体" w:eastAsia="宋体"/>
          <w:b w:val="0"/>
          <w:sz w:val="22"/>
        </w:rPr>
        <w:t>、部署</w:t>
      </w:r>
      <w:r>
        <w:rPr>
          <w:rFonts w:hint="eastAsia"/>
          <w:b w:val="0"/>
          <w:sz w:val="22"/>
          <w:lang w:val="en-US" w:eastAsia="zh-CN"/>
        </w:rPr>
        <w:t>说明</w:t>
      </w:r>
      <w:r>
        <w:rPr>
          <w:rFonts w:ascii="宋体" w:hAnsi="宋体" w:eastAsia="宋体"/>
          <w:b w:val="0"/>
          <w:sz w:val="22"/>
        </w:rPr>
        <w:t>、测试结果</w:t>
      </w:r>
      <w:r>
        <w:rPr>
          <w:rFonts w:hint="eastAsia"/>
          <w:b w:val="0"/>
          <w:sz w:val="22"/>
          <w:lang w:val="en-US" w:eastAsia="zh-CN"/>
        </w:rPr>
        <w:t>等。</w:t>
      </w:r>
      <w:bookmarkStart w:id="0" w:name="_GoBack"/>
      <w:bookmarkEnd w:id="0"/>
    </w:p>
    <w:p w14:paraId="0138D592">
      <w:r>
        <w:rPr>
          <w:rFonts w:ascii="宋体" w:hAnsi="宋体" w:eastAsia="宋体"/>
          <w:b w:val="0"/>
          <w:sz w:val="22"/>
        </w:rPr>
        <w:t>• 不要求重新写成长篇文档，但要求内容前后一致，能对应最终实现版本。</w:t>
      </w:r>
    </w:p>
    <w:p w14:paraId="1D2E5471">
      <w:r>
        <w:rPr>
          <w:rFonts w:ascii="宋体" w:hAnsi="宋体" w:eastAsia="宋体"/>
          <w:b/>
          <w:sz w:val="22"/>
        </w:rPr>
        <w:t>4. 分工说明</w:t>
      </w:r>
    </w:p>
    <w:p w14:paraId="1855908C">
      <w:r>
        <w:rPr>
          <w:rFonts w:ascii="宋体" w:hAnsi="宋体" w:eastAsia="宋体"/>
          <w:b w:val="0"/>
          <w:sz w:val="22"/>
        </w:rPr>
        <w:t>• 每位成员至少说明自己负责的模块、完成的工作和能在答辩中解释的内容。</w:t>
      </w:r>
    </w:p>
    <w:p w14:paraId="5698878C">
      <w:r>
        <w:rPr>
          <w:rFonts w:ascii="宋体" w:hAnsi="宋体" w:eastAsia="宋体"/>
          <w:b w:val="0"/>
          <w:sz w:val="22"/>
        </w:rPr>
        <w:t>• 分工说明不应只写姓名和模块名称，最好补一句具体贡献。</w:t>
      </w:r>
    </w:p>
    <w:p w14:paraId="1928CE56"/>
    <w:sectPr>
      <w:pgSz w:w="12240" w:h="15840"/>
      <w:pgMar w:top="1361" w:right="1474" w:bottom="1361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8A56CC"/>
    <w:rsid w:val="3216448E"/>
    <w:rsid w:val="6AED32D6"/>
    <w:rsid w:val="779A5F41"/>
    <w:rsid w:val="7AC5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1311</Words>
  <Characters>1438</Characters>
  <Lines>0</Lines>
  <Paragraphs>0</Paragraphs>
  <TotalTime>7</TotalTime>
  <ScaleCrop>false</ScaleCrop>
  <LinksUpToDate>false</LinksUpToDate>
  <CharactersWithSpaces>1505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.琳.</cp:lastModifiedBy>
  <dcterms:modified xsi:type="dcterms:W3CDTF">2026-06-10T12:13:55Z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eyJoZGlkIjoiMGQ1ZDVjYmUzNzhmMTYwOTg4MmI3ZDUzNzdkYmJiNWUiLCJ1c2VySWQiOiIxNTg0OTA1Nzg2In0=</vt:lpwstr>
  </property>
  <property fmtid="{D5CDD505-2E9C-101B-9397-08002B2CF9AE}" pid="3" name="KSOProductBuildVer">
    <vt:lpwstr>2052-12.1.0.26895</vt:lpwstr>
  </property>
  <property fmtid="{D5CDD505-2E9C-101B-9397-08002B2CF9AE}" pid="4" name="ICV">
    <vt:lpwstr>6EF090673269405A935ADEC7F920EFB6_12</vt:lpwstr>
  </property>
</Properties>
</file>