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FC91" w14:textId="178B503E" w:rsidR="00383111" w:rsidRPr="00C333AE" w:rsidRDefault="006A7E09">
      <w:pPr>
        <w:rPr>
          <w:rFonts w:ascii="Times New Roman" w:hAnsi="Times New Roman" w:cs="Times New Roman"/>
          <w:b/>
          <w:bCs/>
          <w:sz w:val="22"/>
          <w:szCs w:val="22"/>
        </w:rPr>
      </w:pPr>
      <w:r w:rsidRPr="00C333AE">
        <w:rPr>
          <w:rFonts w:ascii="Times New Roman" w:hAnsi="Times New Roman" w:cs="Times New Roman"/>
          <w:b/>
          <w:bCs/>
          <w:sz w:val="22"/>
          <w:szCs w:val="22"/>
        </w:rPr>
        <w:t>Introduction</w:t>
      </w:r>
    </w:p>
    <w:p w14:paraId="0D153ECB" w14:textId="0EF8D891" w:rsidR="009C464E" w:rsidRDefault="006A7E09">
      <w:pPr>
        <w:rPr>
          <w:rFonts w:ascii="Times New Roman" w:eastAsia="Times New Roman" w:hAnsi="Times New Roman" w:cs="Times New Roman"/>
          <w:color w:val="000000" w:themeColor="text1"/>
          <w:sz w:val="22"/>
          <w:szCs w:val="22"/>
          <w:lang w:eastAsia="ko-KR"/>
        </w:rPr>
      </w:pPr>
      <w:r w:rsidRPr="00C333AE">
        <w:rPr>
          <w:rFonts w:ascii="Times New Roman" w:eastAsia="Times New Roman" w:hAnsi="Times New Roman" w:cs="Times New Roman"/>
          <w:color w:val="000000" w:themeColor="text1"/>
          <w:sz w:val="22"/>
          <w:szCs w:val="22"/>
          <w:lang w:eastAsia="ko-KR"/>
        </w:rPr>
        <w:t>In humans, the cingulate cortex</w:t>
      </w:r>
      <w:r w:rsidR="00A23DA2">
        <w:rPr>
          <w:rFonts w:ascii="Times New Roman" w:eastAsia="Times New Roman" w:hAnsi="Times New Roman" w:cs="Times New Roman"/>
          <w:color w:val="000000" w:themeColor="text1"/>
          <w:sz w:val="22"/>
          <w:szCs w:val="22"/>
          <w:lang w:eastAsia="ko-KR"/>
        </w:rPr>
        <w:t xml:space="preserve"> (CC)</w:t>
      </w:r>
      <w:r w:rsidRPr="00C333AE">
        <w:rPr>
          <w:rFonts w:ascii="Times New Roman" w:eastAsia="Times New Roman" w:hAnsi="Times New Roman" w:cs="Times New Roman"/>
          <w:color w:val="000000" w:themeColor="text1"/>
          <w:sz w:val="22"/>
          <w:szCs w:val="22"/>
          <w:lang w:eastAsia="ko-KR"/>
        </w:rPr>
        <w:t xml:space="preserve"> is widely recognized as a central locus </w:t>
      </w:r>
      <w:r w:rsidR="00EE5A29">
        <w:rPr>
          <w:rFonts w:ascii="Times New Roman" w:eastAsia="Times New Roman" w:hAnsi="Times New Roman" w:cs="Times New Roman"/>
          <w:color w:val="000000" w:themeColor="text1"/>
          <w:sz w:val="22"/>
          <w:szCs w:val="22"/>
          <w:lang w:eastAsia="ko-KR"/>
        </w:rPr>
        <w:t>i</w:t>
      </w:r>
      <w:r w:rsidR="005C5A95">
        <w:rPr>
          <w:rFonts w:ascii="Times New Roman" w:eastAsia="Times New Roman" w:hAnsi="Times New Roman" w:cs="Times New Roman"/>
          <w:color w:val="000000" w:themeColor="text1"/>
          <w:sz w:val="22"/>
          <w:szCs w:val="22"/>
          <w:lang w:eastAsia="ko-KR"/>
        </w:rPr>
        <w:t>nvolv</w:t>
      </w:r>
      <w:r w:rsidR="00EE5A29">
        <w:rPr>
          <w:rFonts w:ascii="Times New Roman" w:eastAsia="Times New Roman" w:hAnsi="Times New Roman" w:cs="Times New Roman"/>
          <w:color w:val="000000" w:themeColor="text1"/>
          <w:sz w:val="22"/>
          <w:szCs w:val="22"/>
          <w:lang w:eastAsia="ko-KR"/>
        </w:rPr>
        <w:t xml:space="preserve">ed </w:t>
      </w:r>
      <w:r w:rsidR="005C5A95">
        <w:rPr>
          <w:rFonts w:ascii="Times New Roman" w:eastAsia="Times New Roman" w:hAnsi="Times New Roman" w:cs="Times New Roman"/>
          <w:color w:val="000000" w:themeColor="text1"/>
          <w:sz w:val="22"/>
          <w:szCs w:val="22"/>
          <w:lang w:eastAsia="ko-KR"/>
        </w:rPr>
        <w:t>in</w:t>
      </w:r>
      <w:r w:rsidRPr="00C333AE">
        <w:rPr>
          <w:rFonts w:ascii="Times New Roman" w:eastAsia="Times New Roman" w:hAnsi="Times New Roman" w:cs="Times New Roman"/>
          <w:color w:val="000000" w:themeColor="text1"/>
          <w:sz w:val="22"/>
          <w:szCs w:val="22"/>
          <w:lang w:eastAsia="ko-KR"/>
        </w:rPr>
        <w:t xml:space="preserve"> a br</w:t>
      </w:r>
      <w:r w:rsidR="005C5A95">
        <w:rPr>
          <w:rFonts w:ascii="Times New Roman" w:eastAsia="Times New Roman" w:hAnsi="Times New Roman" w:cs="Times New Roman"/>
          <w:color w:val="000000" w:themeColor="text1"/>
          <w:sz w:val="22"/>
          <w:szCs w:val="22"/>
          <w:lang w:eastAsia="ko-KR"/>
        </w:rPr>
        <w:t>oad range</w:t>
      </w:r>
      <w:r w:rsidRPr="00C333AE">
        <w:rPr>
          <w:rFonts w:ascii="Times New Roman" w:eastAsia="Times New Roman" w:hAnsi="Times New Roman" w:cs="Times New Roman"/>
          <w:color w:val="000000" w:themeColor="text1"/>
          <w:sz w:val="22"/>
          <w:szCs w:val="22"/>
          <w:lang w:eastAsia="ko-KR"/>
        </w:rPr>
        <w:t xml:space="preserve"> of processes.</w:t>
      </w:r>
      <w:r w:rsidR="00EE5A29">
        <w:rPr>
          <w:rFonts w:ascii="Times New Roman" w:eastAsia="Times New Roman" w:hAnsi="Times New Roman" w:cs="Times New Roman"/>
          <w:color w:val="000000" w:themeColor="text1"/>
          <w:sz w:val="22"/>
          <w:szCs w:val="22"/>
          <w:lang w:eastAsia="ko-KR"/>
        </w:rPr>
        <w:t xml:space="preserve"> </w:t>
      </w:r>
      <w:r w:rsidR="00141965">
        <w:rPr>
          <w:rFonts w:ascii="Times New Roman" w:eastAsia="Times New Roman" w:hAnsi="Times New Roman" w:cs="Times New Roman"/>
          <w:color w:val="000000" w:themeColor="text1"/>
          <w:sz w:val="22"/>
          <w:szCs w:val="22"/>
          <w:lang w:eastAsia="ko-KR"/>
        </w:rPr>
        <w:t>Forming an arch-shaped convolution directly above the corpus callosum</w:t>
      </w:r>
      <w:r w:rsidR="00A23DA2">
        <w:rPr>
          <w:rFonts w:ascii="Times New Roman" w:eastAsia="Times New Roman" w:hAnsi="Times New Roman" w:cs="Times New Roman"/>
          <w:color w:val="000000" w:themeColor="text1"/>
          <w:sz w:val="22"/>
          <w:szCs w:val="22"/>
          <w:lang w:eastAsia="ko-KR"/>
        </w:rPr>
        <w:t xml:space="preserve">, the CC </w:t>
      </w:r>
      <w:r w:rsidR="00141965">
        <w:rPr>
          <w:rFonts w:ascii="Times New Roman" w:eastAsia="Times New Roman" w:hAnsi="Times New Roman" w:cs="Times New Roman"/>
          <w:color w:val="000000" w:themeColor="text1"/>
          <w:sz w:val="22"/>
          <w:szCs w:val="22"/>
          <w:lang w:eastAsia="ko-KR"/>
        </w:rPr>
        <w:t xml:space="preserve">has historically been defined </w:t>
      </w:r>
      <w:r w:rsidR="00264DC0">
        <w:rPr>
          <w:rFonts w:ascii="Times New Roman" w:eastAsia="Times New Roman" w:hAnsi="Times New Roman" w:cs="Times New Roman"/>
          <w:color w:val="000000" w:themeColor="text1"/>
          <w:sz w:val="22"/>
          <w:szCs w:val="22"/>
          <w:lang w:eastAsia="ko-KR"/>
        </w:rPr>
        <w:t>by</w:t>
      </w:r>
      <w:r w:rsidR="00622A7C">
        <w:rPr>
          <w:rFonts w:ascii="Times New Roman" w:eastAsia="Times New Roman" w:hAnsi="Times New Roman" w:cs="Times New Roman"/>
          <w:color w:val="000000" w:themeColor="text1"/>
          <w:sz w:val="22"/>
          <w:szCs w:val="22"/>
          <w:lang w:eastAsia="ko-KR"/>
        </w:rPr>
        <w:t xml:space="preserve"> its</w:t>
      </w:r>
      <w:r w:rsidR="00264DC0">
        <w:rPr>
          <w:rFonts w:ascii="Times New Roman" w:eastAsia="Times New Roman" w:hAnsi="Times New Roman" w:cs="Times New Roman"/>
          <w:color w:val="000000" w:themeColor="text1"/>
          <w:sz w:val="22"/>
          <w:szCs w:val="22"/>
          <w:lang w:eastAsia="ko-KR"/>
        </w:rPr>
        <w:t xml:space="preserve"> functional, anatomical,</w:t>
      </w:r>
      <w:r w:rsidR="00622A7C">
        <w:rPr>
          <w:rFonts w:ascii="Times New Roman" w:eastAsia="Times New Roman" w:hAnsi="Times New Roman" w:cs="Times New Roman"/>
          <w:color w:val="000000" w:themeColor="text1"/>
          <w:sz w:val="22"/>
          <w:szCs w:val="22"/>
          <w:lang w:eastAsia="ko-KR"/>
        </w:rPr>
        <w:t xml:space="preserve"> connective,</w:t>
      </w:r>
      <w:r w:rsidR="00264DC0">
        <w:rPr>
          <w:rFonts w:ascii="Times New Roman" w:eastAsia="Times New Roman" w:hAnsi="Times New Roman" w:cs="Times New Roman"/>
          <w:color w:val="000000" w:themeColor="text1"/>
          <w:sz w:val="22"/>
          <w:szCs w:val="22"/>
          <w:lang w:eastAsia="ko-KR"/>
        </w:rPr>
        <w:t xml:space="preserve"> and cytoarchitecturally distinct </w:t>
      </w:r>
      <w:r w:rsidR="005C5A95">
        <w:rPr>
          <w:rFonts w:ascii="Times New Roman" w:eastAsia="Times New Roman" w:hAnsi="Times New Roman" w:cs="Times New Roman"/>
          <w:color w:val="000000" w:themeColor="text1"/>
          <w:sz w:val="22"/>
          <w:szCs w:val="22"/>
          <w:lang w:eastAsia="ko-KR"/>
        </w:rPr>
        <w:t>subdivisions</w:t>
      </w:r>
      <w:r w:rsidR="009C464E">
        <w:rPr>
          <w:rFonts w:ascii="Times New Roman" w:eastAsia="Times New Roman" w:hAnsi="Times New Roman" w:cs="Times New Roman"/>
          <w:color w:val="000000" w:themeColor="text1"/>
          <w:sz w:val="22"/>
          <w:szCs w:val="22"/>
          <w:lang w:eastAsia="ko-KR"/>
        </w:rPr>
        <w:t xml:space="preserve"> </w:t>
      </w:r>
      <w:r w:rsidR="009C464E">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RI9ydfMd","properties":{"formattedCitation":"({\\i{}1}\\uc0\\u8211{}{\\i{}9})","plainCitation":"(1–9)","noteIndex":0},"citationItems":[{"id":4297,"uris":["http://zotero.org/users/7023408/items/V687GN3K"],"itemData":{"id":4297,"type":"book","language":"de","number-of-pages":"350","publisher":"Barth","source":"Google Books","title":"Vergleichende Lokalisationslehre der Grosshirnrinde in ihren Prinzipien dargestellt auf Grund des Zellenbaues","author":[{"family":"Brodmann","given":"Korbinian"}],"issued":{"date-parts":[["1909"]]},"citation-key":"brodmannVergleichendeLokalisationslehreGrosshirnrinde1909"}},{"id":4286,"uris":["http://zotero.org/users/7023408/items/U7I4MQ49"],"itemData":{"id":4286,"type":"article-journal","abstract":"Introduction\nHuman cingulate cortex (CC) has been implicated in many functions, which is highly suggestive of the existence of functional subregions.\n\nMethods\nIn this study, we used resting‐state functional magnetic resonance imaging (rs‐fMRI) and diffusion tensor imaging (DTI) to parcellate the human cingulate cortex (CC) based on resting‐state functional connectivity (rsFC) patterns and anatomical connectivity (AC) patterns, to analyze the rsFC patterns and the AC patterns of different subregions, and to recognize whether the parcellation results obtained by the two different methods were consistent.\n\nResults\nThe CC was divided into six functional subregions, including the anterior cingulate cortex, dorsal anterior midcingulate cortex, ventral anterior midcingulate cortex, posterior midcingulate cortex, dorsal posterior cingulate cortex, and ventral posterior cingulate cortex. The CC was also divided into ten anatomical subregions, termed Subregion 1 (S1) to Subregion 10 (S10). Each subregion showed specific connectivity patterns, although the functional subregions and the anatomical subregions were internally consistent.\n\nConclusions\nUsing different model MRI images, we established a parcellation scheme, which is internally consistent for the human CC, which may provide an in vivo guide for subregion‐level studies and improve our understanding of this brain area at subregional levels.","container-title":"Brain and Behavior","DOI":"10.1002/brb3.1070","ISSN":"2162-3279","issue":"8","journalAbbreviation":"Brain Behav","note":"PMID: 30039643\nPMCID: PMC6085915","page":"e01070","source":"PubMed Central","title":"Functional and anatomical connectivity‐based parcellation of human cingulate cortex","volume":"8","author":[{"family":"Jin","given":"Fei"},{"family":"Zheng","given":"Pengpeng"},{"family":"Liu","given":"Huaigui"},{"family":"Guo","given":"Hui"},{"family":"Sun","given":"Zhihua"}],"issued":{"date-parts":[["2018",7,24]]},"citation-key":"jinFunctionalAnatomicalConnectivitybased2018"}},{"id":4298,"uris":["http://zotero.org/users/7023408/items/VCY7TENE"],"itemData":{"id":4298,"type":"article-journal","abstract":"The surface morphology and cytoarchitecture of human cingulate cortex was evaluated in the brains of 27 neurologically intact individuals. Variations in surface features included a single cingulate sulcus (CS) with or without segmentation or double parallel sulci with or without segmentation. The single CS was deeper (9.7 +/- 0.81 mm) than in cases with double parallel sulci (7.5 +/- 0.48 mm). There were dimples parallel to the CS in anterior cingulate cortex (ACC) and anastomoses between the CS and the superior CS. Flat maps of the medial cortical surface were made in a two-stage reconstruction process and used to plot areas. The ACC is agranular and has a prominent layer V. Areas 33 and 25 have poor laminar differentiation, and there are three parts of area 24: area 24a adjacent to area 33 and partially within the callosal sulcus has homogeneous layers II and III, area 24b on the gyral surface has the most prominent layer Va of any cingulate area and distinct layers IIIa-b and IIIc, and area 24c in the ventral bank of the CS has thin layers II-III and no differentiation of layer V. There are four caudal divisions of area 24. Areas 24a' and 24b' have a thinner layer Va and layer III is thicker and less dense than in areas 24a and 24b. Area 24c' is caudal to area 24c and has densely packed, large pyramids throughout layer V. Area 24c' g is caudal to area 24c' and has the largest layer Vb pyramidal neurons in cingulate cortex. Area 32 is a cingulofrontal transition cortex with large layer IIIc pyramidal neurons and a dysgranular layer IV. Area 32' is caudal to area 32 and has an indistinct layer IV, larger layer IIIc pyramids, and fewer neurons in layer Va. Posterior cingulate cortex has medial and lateral parts of area 29, a dysgranular area 30, and three divisions of area 23: area 23a has a thin layer IIIc and moderate-sized pyramids in layer Va, area 23b has large and prominent pyramids in layers IIIc and Va, and area 23c has the thinnest layers V and VI in cingulate cortex. Area 31 is the cinguloparietal transition area in the parasplenial lobules and has very large layer IIIc pyramids. Finally, variations in architecture between cases were assessed in neuron perikarya counts in area 23a. There was an age-related decrease in neuron density in layer IV (r = -0.63; ages 45-102), but not in other layers.(ABSTRACT TRUNCATED AT 400 WORDS)","container-title":"The Journal of Comparative Neurology","DOI":"10.1002/cne.903590310","ISSN":"0021-9967","issue":"3","journalAbbreviation":"J Comp Neurol","language":"eng","note":"PMID: 7499543","page":"490-506","source":"PubMed","title":"Human cingulate cortex: surface features, flat maps, and cytoarchitecture","title-short":"Human cingulate cortex","volume":"359","author":[{"family":"Vogt","given":"B. A."},{"family":"Nimchinsky","given":"E. A."},{"family":"Vogt","given":"L. J."},{"family":"Hof","given":"P. R."}],"issued":{"date-parts":[["1995",8,28]]},"citation-key":"vogtHumanCingulateCortex1995"}},{"id":3368,"uris":["http://zotero.org/users/7023408/items/9NJXW7ZV"],"itemData":{"id":3368,"type":"article-journal","abstract":"Summary: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Connectivity"}},{"id":4296,"uris":["http://zotero.org/users/7023408/items/BWWVV6X7"],"itemData":{"id":4296,"type":"article-journal","abstract":"Heterogeneity of the cingulate cortex is evident in multiple dimensions including anatomy, function, connectivity, and involvement in networks and diseases. Using the recently developed functional connectivity gradient approach and resting-state functional MRI data, we found three functional connectivity gradients that captured distinct dimensions of cingulate hierarchical organization. The principal gradient exhibited a radiating organization with transitions from the middle toward both anterior and posterior parts of the cingulate cortex and was related to canonical functional networks and corresponding behavioral domains. The second gradient showed an anterior–posterior axis across the cingulate cortex and had prominent geometric distance dependence. The third gradient displayed a marked differentiation of subgenual and caudal middle with other parts of the cingulate cortex and was associated with cortical morphology. Aside from providing an updated framework for understanding the multifaceted nature of cingulate heterogeneity, the observed hierarchical organization of the cingulate cortex may constitute a novel research agenda with potential applications in basic and clinical neuroscience.","container-title":"Communications Biology","DOI":"10.1038/s42003-023-05029-0","ISSN":"2399-3642","issue":"1","journalAbbreviation":"Commun Biol","language":"en","license":"2023 The Author(s)","page":"1-9","source":"www.nature.com","title":"Functional connectivity gradients of the cingulate cortex","volume":"6","author":[{"family":"Shen","given":"Yuhao"},{"family":"Cai","given":"Huanhuan"},{"family":"Mo","given":"Fan"},{"family":"Yao","given":"Shanwen"},{"family":"Yu","given":"Yongqiang"},{"family":"Zhu","given":"Jiajia"}],"issued":{"date-parts":[["2023",6,19]]},"citation-key":"shenFunctionalConnectivityGradients2023"}},{"id":4299,"uris":["http://zotero.org/users/7023408/items/MC7RTP3Z"],"itemData":{"id":4299,"type":"article-journal","abstract":"The structural and functional organization of the human cingulate cortex is an ongoing focus; however, human imaging studies continue to use the century-old Brodmann concept of a two region cingulate cortex. Recently, a four-region neurobiological model was proposed based on structural, circuitry, and functional imaging observations. It encompasses the anterior cingulate, midcingulate, posterior cingulate, and retrosplenial cortices (ACC, MCC, PCC, and RSC, respectively). For the first time, this study performs multireceptor autoradiography of 15 neurotransmitter receptor ligands and multivariate statistics on human whole brain postmortem samples covering the entire cingulate cortex. We evaluated the validity of Brodmann's duality concept and of the four-region model using a hierarchical clustering analysis of receptor binding according to the degree of similarity of each area's receptor architecture. We could not find support for Brodmann's dual cingulate concept, because the anterior part of his area 24 has significantly higher AMPA, kainate, GABA(B), benzodiazepine, and M(3) but lower NMDA and GABA(A) binding site densities than the posterior part. The hierarchical clustering analysis distinguished ACC, MCC, PCC, and RSC as independent regions. The ACC has highest AMPA, kainate, alpha(2), 5-HT(1A), and D(1) but lowest GABA(A) densities. The MCC has lowest AMPA, kainate, alpha(2), and D(1) densities. Area 25 in ACC is similar in receptor-architecture to MCC, particularly the NMDA, GABA(A), GABA(B), and M(2) receptors. The PCC and RSC differ in the higher M(1) and alpha(1) but lower M(3) densities of PCC. Thus, multireceptor autoradiography supports the four-region neurobiological model of the cingulate cortex.","container-title":"Human Brain Mapping","DOI":"10.1002/hbm.20667","ISSN":"1097-0193","issue":"8","journalAbbreviation":"Hum Brain Mapp","language":"eng","note":"PMID: 19034899\nPMCID: PMC6870973","page":"2336-2355","source":"PubMed","title":"Receptor architecture of human cingulate cortex: evaluation of the four-region neurobiological model","title-short":"Receptor architecture of human cingulate cortex","volume":"30","author":[{"family":"Palomero-Gallagher","given":"Nicola"},{"family":"Vogt","given":"Brent A."},{"family":"Schleicher","given":"Axel"},{"family":"Mayberg","given":"Helen S."},{"family":"Zilles","given":"Karl"}],"issued":{"date-parts":[["2009",8]]},"citation-key":"palomero-gallagherReceptorArchitectureHuman2009"}},{"id":4300,"uris":["http://zotero.org/users/7023408/items/T3Q73HDF"],"itemData":{"id":4300,"type":"article-journal","abstract":"The four-region model with 7 specified subregions represents a theoretical construct of functionally segregated divisions of the cingulate cortex based on integrated neurobiological assessments. Under this framework, we aimed to investigate the functional specialization of the human cingulate cortex by analyzing the resting-state functional connectivity (FC) of each subregion from a network perspective. In 20 healthy subjects we systematically investigated the FC patterns of the bilateral subgenual (sACC) and pregenual (pACC) anterior cingulate cortices, anterior (aMCC) and posterior (pMCC) midcingulate cortices, dorsal (dPCC) and ventral (vPCC) posterior cingulate cortices and retrosplenial cortices (RSC). We found that each cingulate subregion was specifically integrated in the predescribed functional networks and showed anti-correlated resting-state fluctuations. The sACC and pACC were involved in an affective network and anti-correlated with the sensorimotor and cognitive networks, while the pACC also correlated with the default-mode network and anti-correlated with the visual network. In the midcingulate cortex, however, the aMCC was correlated with the cognitive and sensorimotor networks and anti-correlated with the visual, affective and default-mode networks, whereas the pMCC only correlated with the sensorimotor network and anti-correlated with the cognitive and visual networks. The dPCC and vPCC involved in the default-mode network and anti-correlated with the sensorimotor, cognitive and visual networks, in contrast, the RSC was mainly correlated with the PCC and thalamus. Based on a strong hypothesis driven approach of anatomical partitions of the cingulate cortex, we could confirm their segregation in terms of functional neuroanatomy, as suggested earlier by task studies or exploratory multi-seed investigations.","container-title":"NeuroImage","DOI":"10.1016/j.neuroimage.2010.11.018","ISSN":"1095-9572","issue":"4","journalAbbreviation":"Neuroimage","language":"eng","note":"PMID: 21073967","page":"2571-2581","source":"PubMed","title":"Functional segregation of the human cingulate cortex is confirmed by functional connectivity based neuroanatomical parcellation","volume":"54","author":[{"family":"Yu","given":"Chunshui"},{"family":"Zhou","given":"Yuan"},{"family":"Liu","given":"Yong"},{"family":"Jiang","given":"Tianzi"},{"family":"Dong","given":"Haiwei"},{"family":"Zhang","given":"Yunting"},{"family":"Walter","given":"Martin"}],"issued":{"date-parts":[["2011",2,14]]},"citation-key":"yuFunctionalSegregationHuman2011"}},{"id":4301,"uris":["http://zotero.org/users/7023408/items/FIV6GLJB"],"itemData":{"id":4301,"type":"article-journal","abstract":"Whole-brain neuroimaging studies have demonstrated regional variations in function within human cingulate cortex. At the same time, regional variations in cingulate anatomical connections have been found in animal models. It has, however, been difficult to estimate the relationship between connectivity and function throughout the whole cingulate cortex within the human brain. In this study, magnetic resonance diffusion tractography was used to investigate cingulate probabilistic connectivity in the human brain with two approaches. First, an algorithm was used to search for regional variations in the probabilistic connectivity profiles of all cingulate cortex voxels with the whole of the rest of the brain. Nine subregions with distinctive connectivity profiles were identified. It was possible to characterize several distinct areas in the dorsal cingulate sulcal region. Several distinct regions were also found in subgenual and perigenual cortex. Second, the probabilities of connection between cingulate cortex and 11 predefined target regions of interest were calculated. Cingulate voxels with a high probability of connection with the different targets formed separate clusters within cingulate cortex. Distinct connectivity fingerprints characterized the likelihood of connections between the extracingulate target regions and the nine cingulate subregions. Last, a meta-analysis of 171 functional studies reporting cingulate activation was performed. Seven different cognitive conditions were selected and peak activation coordinates were plotted to create maps of functional localization within the cingulate cortex. Regional functional specialization was found to be related to regional differences in probabilistic anatomical connectivity.","container-title":"The Journal of Neuroscience: The Official Journal of the Society for Neuroscience","DOI":"10.1523/JNEUROSCI.3328-08.2009","ISSN":"1529-2401","issue":"4","journalAbbreviation":"J Neurosci","language":"eng","note":"PMID: 19176826\nPMCID: PMC6665147","page":"1175-1190","source":"PubMed","title":"Connectivity-based parcellation of human cingulate cortex and its relation to functional specialization","volume":"29","author":[{"family":"Beckmann","given":"Matthias"},{"family":"Johansen-Berg","given":"Heidi"},{"family":"Rushworth","given":"Matthew F. S."}],"issued":{"date-parts":[["2009",1,28]]},"citation-key":"beckmannConnectivitybasedParcellationHuman2009"}},{"id":4315,"uris":["http://zotero.org/users/7023408/items/J3PHI7FR"],"itemData":{"id":4315,"type":"article-journal","abstract":"Variation in cytoarchitecture is the basis for the histological definition of cortical areas. We used single cell transcriptomics and performed cellular characterization of the human cortex to better understand cortical areal specialization. Single-nucleus RNA-sequencing of 8 areas spanning cortical structural variation showed a highly consistent cellular makeup for 24 cell subclasses. However, proportions of excitatory neuron subclasses varied substantially, likely reflecting differences in connectivity across primary sensorimotor and association cortices. Laminar organization of astrocytes and oligodendrocytes also differed across areas. Primary visual cortex showed characteristic organization with major changes in the excitatory to inhibitory neuron ratio, expansion of layer 4 excitatory neurons, and specialized inhibitory neurons. These results lay the groundwork for a refined cellular and molecular characterization of human cortical cytoarchitecture and areal specialization. \n          ,  \n             \n              INTRODUCTION \n              The human neocortex is generally organized into six layers of neurons but the size and cellular composition of these layers varies across the cortex, and this variation is thought to underlie differences in connectivity that impart specific functional specialization to distinct cortical areas. However, the degree to which cortical areas have a canonical versus noncanonical organization has proved difficult to reliably quantify. Single-nucleus and spatial transcriptomic methods enable high-resolution characterization of the cellular structure of the human neocortex providing a means to quantitatively compare the molecular and cellular structure and specialization of distinct cortical areas. \n             \n             \n              RATIONALE \n              Eight cortical areas that are representative of major variation in cellular architecture and include primary sensory and association cortices were sampled using single-nucleus transcriptomics to generate a dataset comprised of more than 1.1 million nuclei. \n             \n             \n              RESULTS \n              Nuclei were grouped based on gene expression similarity into one of 24 cellular subclasses, which were found in all cortical areas. Layer 4 intratelencephalic excitatory neurons were present even in agranular areas that lacked a histologically distinct layer 4, suggesting a common subclass-level cellular blueprint across the cortex. However, gene expression and subclass proportions varied substantially between cortical areas, with more differences in excitatory projection neurons than inhibitory neurons. All non-neuronal subclasses were shared across cortical areas but their laminar distributions varied between areas, and astrocytes also expressed regional marker genes. Variation as a function of rostrocaudal location in the cortex was a clear organizational feature where neighboring cortical areas were most similar, in line with previous observations of gene expression similarity by topographic proximity in the cortex. At a finer cell-type level of analysis, area-enriched and area-specific cell types were apparent in multiple cortical areas, but most notably in the primary visual cortex (V1) that had many distinct excitatory neuron types and several distinct inhibitory neuron types that reflect the specialized cellular architecture of this area in humans and other primates. V1 specialized inhibitory cell types were mostly Somatostatin-expressing neurons likely originating from the medial ganglionic eminence during development. Layer 4 in V1, which is visibly enlarged and has multiple sublayers, was notably different from other areas with discrete sublaminar distributions of specialized excitatory and inhibitory neurons revealed by spatial transcriptomics. \n             \n             \n              CONCLUSION \n              A common set of cell types are found across human cortical areas that have diverse functions. Excitatory projection neurons exhibit large spatial gradients and regional differences in proportions, laminar distributions, and gene expression that are less pronounced in inhibitory neurons or non-neuronal cells. V1 is molecularly distinct from other cortical areas and several excitatory and inhibitory neuronal types are found only in V1. The ratio of excitatory to inhibitory neurons in V1 is also more than double that of other cortical areas, reflecting specialization of the human cortex for processing visual information. \n               \n                 \n                  Regional specializations of human cortical cell types. \n                   \n                    ( \n                    A \n                    ) Single nucleus RNA-sequencing data from eight areas of the human neocortex were used to generate a cross-areal taxonomy with shared and area-specific types. ( \n                    B \n                    ) The relative number of excitatory and inhibitory neurons is similar across all areas except V1. Neuronal cell-type proportions and gene expression varied systematically from the rostral (R) to caudal (C) cortex with additional regional signatures. ( \n                    C \n                    ) Some excitatory neuron types that are exclusive to V1 are in the visual input layer 4, which is expanded compared to other cortical areas.","container-title":"Science","DOI":"10.1126/science.adf6812","ISSN":"0036-8075, 1095-9203","issue":"6667","journalAbbreviation":"Science","language":"en","page":"eadf6812","source":"DOI.org (Crossref)","title":"Transcriptomic cytoarchitecture reveals principles of human neocortex organization","volume":"382","author":[{"family":"Jorstad","given":"Nikolas L."},{"family":"Close","given":"Jennie"},{"family":"Johansen","given":"Nelson"},{"family":"Yanny","given":"Anna Marie"},{"family":"Barkan","given":"Eliza R."},{"family":"Travaglini","given":"Kyle J."},{"family":"Bertagnolli","given":"Darren"},{"family":"Campos","given":"Jazmin"},{"family":"Casper","given":"Tamara"},{"family":"Crichton","given":"Kirsten"},{"family":"Dee","given":"Nick"},{"family":"Ding","given":"Song-Lin"},{"family":"Gelfand","given":"Emily"},{"family":"Goldy","given":"Jeff"},{"family":"Hirschstein","given":"Daniel"},{"family":"Kiick","given":"Katelyn"},{"family":"Kroll","given":"Matthew"},{"family":"Kunst","given":"Michael"},{"family":"Lathia","given":"Kanan"},{"family":"Long","given":"Brian"},{"family":"Martin","given":"Naomi"},{"family":"McMillen","given":"Delissa"},{"family":"Pham","given":"Trangthanh"},{"family":"Rimorin","given":"Christine"},{"family":"Ruiz","given":"Augustin"},{"family":"Shapovalova","given":"Nadiya"},{"family":"Shehata","given":"Soraya"},{"family":"Siletti","given":"Kimberly"},{"family":"Somasundaram","given":"Saroja"},{"family":"Sulc","given":"Josef"},{"family":"Tieu","given":"Michael"},{"family":"Torkelson","given":"Amy"},{"family":"Tung","given":"Herman"},{"family":"Callaway","given":"Edward M."},{"family":"Hof","given":"Patrick R."},{"family":"Keene","given":"C. Dirk"},{"family":"Levi","given":"Boaz P."},{"family":"Linnarsson","given":"Sten"},{"family":"Mitra","given":"Partha P."},{"family":"Smith","given":"Kimberly"},{"family":"Hodge","given":"Rebecca D."},{"family":"Bakken","given":"Trygve E."},{"family":"Lein","given":"Ed S"}],"issued":{"date-parts":[["2023",10,13]]},"citation-key":"jorstadTranscriptomicCytoarchitectureReveals2023"}}],"schema":"https://github.com/citation-style-language/schema/raw/master/csl-citation.json"} </w:instrText>
      </w:r>
      <w:r w:rsidR="009C464E">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1</w:t>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9</w:t>
      </w:r>
      <w:r w:rsidR="00A219C5" w:rsidRPr="00A219C5">
        <w:rPr>
          <w:rFonts w:ascii="Times New Roman" w:hAnsi="Times New Roman" w:cs="Times New Roman"/>
          <w:color w:val="000000"/>
          <w:kern w:val="0"/>
          <w:sz w:val="22"/>
        </w:rPr>
        <w:t>)</w:t>
      </w:r>
      <w:r w:rsidR="009C464E">
        <w:rPr>
          <w:rFonts w:ascii="Times New Roman" w:eastAsia="Times New Roman" w:hAnsi="Times New Roman" w:cs="Times New Roman"/>
          <w:color w:val="000000" w:themeColor="text1"/>
          <w:sz w:val="22"/>
          <w:szCs w:val="22"/>
          <w:lang w:eastAsia="ko-KR"/>
        </w:rPr>
        <w:fldChar w:fldCharType="end"/>
      </w:r>
      <w:r w:rsidR="00E64738">
        <w:rPr>
          <w:rFonts w:ascii="Times New Roman" w:eastAsia="Times New Roman" w:hAnsi="Times New Roman" w:cs="Times New Roman"/>
          <w:color w:val="000000" w:themeColor="text1"/>
          <w:sz w:val="22"/>
          <w:szCs w:val="22"/>
          <w:lang w:eastAsia="ko-KR"/>
        </w:rPr>
        <w:t>.</w:t>
      </w:r>
      <w:r w:rsidR="00264DC0">
        <w:rPr>
          <w:rFonts w:ascii="Times New Roman" w:eastAsia="Times New Roman" w:hAnsi="Times New Roman" w:cs="Times New Roman"/>
          <w:color w:val="000000" w:themeColor="text1"/>
          <w:sz w:val="22"/>
          <w:szCs w:val="22"/>
          <w:lang w:eastAsia="ko-KR"/>
        </w:rPr>
        <w:t xml:space="preserve"> </w:t>
      </w:r>
      <w:r w:rsidR="00ED7ED2">
        <w:rPr>
          <w:rFonts w:ascii="Times New Roman" w:eastAsia="Times New Roman" w:hAnsi="Times New Roman" w:cs="Times New Roman"/>
          <w:color w:val="000000" w:themeColor="text1"/>
          <w:sz w:val="22"/>
          <w:szCs w:val="22"/>
          <w:lang w:eastAsia="ko-KR"/>
        </w:rPr>
        <w:t xml:space="preserve">The most formal model of the CC groups these subdivisions into four regions: the anterior (ACC), midcingulate (MCC), posterior (PCC), and </w:t>
      </w:r>
      <w:proofErr w:type="spellStart"/>
      <w:r w:rsidR="00ED7ED2">
        <w:rPr>
          <w:rFonts w:ascii="Times New Roman" w:eastAsia="Times New Roman" w:hAnsi="Times New Roman" w:cs="Times New Roman"/>
          <w:color w:val="000000" w:themeColor="text1"/>
          <w:sz w:val="22"/>
          <w:szCs w:val="22"/>
          <w:lang w:eastAsia="ko-KR"/>
        </w:rPr>
        <w:t>retrosplenial</w:t>
      </w:r>
      <w:proofErr w:type="spellEnd"/>
      <w:r w:rsidR="00ED7ED2">
        <w:rPr>
          <w:rFonts w:ascii="Times New Roman" w:eastAsia="Times New Roman" w:hAnsi="Times New Roman" w:cs="Times New Roman"/>
          <w:color w:val="000000" w:themeColor="text1"/>
          <w:sz w:val="22"/>
          <w:szCs w:val="22"/>
          <w:lang w:eastAsia="ko-KR"/>
        </w:rPr>
        <w:t xml:space="preserve"> cortex</w:t>
      </w:r>
      <w:r w:rsidR="009C464E">
        <w:rPr>
          <w:rFonts w:ascii="Times New Roman" w:eastAsia="Times New Roman" w:hAnsi="Times New Roman" w:cs="Times New Roman"/>
          <w:color w:val="000000" w:themeColor="text1"/>
          <w:sz w:val="22"/>
          <w:szCs w:val="22"/>
          <w:lang w:eastAsia="ko-KR"/>
        </w:rPr>
        <w:t xml:space="preserve"> </w:t>
      </w:r>
      <w:r w:rsidR="009C464E">
        <w:rPr>
          <w:rFonts w:ascii="Times New Roman" w:eastAsia="Times New Roman" w:hAnsi="Times New Roman" w:cs="Times New Roman"/>
          <w:color w:val="000000" w:themeColor="text1"/>
          <w:sz w:val="22"/>
          <w:szCs w:val="22"/>
          <w:lang w:eastAsia="ko-KR"/>
        </w:rPr>
        <w:fldChar w:fldCharType="begin"/>
      </w:r>
      <w:r w:rsidR="009C464E">
        <w:rPr>
          <w:rFonts w:ascii="Times New Roman" w:eastAsia="Times New Roman" w:hAnsi="Times New Roman" w:cs="Times New Roman"/>
          <w:color w:val="000000" w:themeColor="text1"/>
          <w:sz w:val="22"/>
          <w:szCs w:val="22"/>
          <w:lang w:eastAsia="ko-KR"/>
        </w:rPr>
        <w:instrText xml:space="preserve"> ADDIN ZOTERO_ITEM CSL_CITATION {"citationID":"o4AGxBPs","properties":{"formattedCitation":"({\\i{}3}, {\\i{}6})","plainCitation":"(3, 6)","noteIndex":0},"citationItems":[{"id":4298,"uris":["http://zotero.org/users/7023408/items/VCY7TENE"],"itemData":{"id":4298,"type":"article-journal","abstract":"The surface morphology and cytoarchitecture of human cingulate cortex was evaluated in the brains of 27 neurologically intact individuals. Variations in surface features included a single cingulate sulcus (CS) with or without segmentation or double parallel sulci with or without segmentation. The single CS was deeper (9.7 +/- 0.81 mm) than in cases with double parallel sulci (7.5 +/- 0.48 mm). There were dimples parallel to the CS in anterior cingulate cortex (ACC) and anastomoses between the CS and the superior CS. Flat maps of the medial cortical surface were made in a two-stage reconstruction process and used to plot areas. The ACC is agranular and has a prominent layer V. Areas 33 and 25 have poor laminar differentiation, and there are three parts of area 24: area 24a adjacent to area 33 and partially within the callosal sulcus has homogeneous layers II and III, area 24b on the gyral surface has the most prominent layer Va of any cingulate area and distinct layers IIIa-b and IIIc, and area 24c in the ventral bank of the CS has thin layers II-III and no differentiation of layer V. There are four caudal divisions of area 24. Areas 24a' and 24b' have a thinner layer Va and layer III is thicker and less dense than in areas 24a and 24b. Area 24c' is caudal to area 24c and has densely packed, large pyramids throughout layer V. Area 24c' g is caudal to area 24c' and has the largest layer Vb pyramidal neurons in cingulate cortex. Area 32 is a cingulofrontal transition cortex with large layer IIIc pyramidal neurons and a dysgranular layer IV. Area 32' is caudal to area 32 and has an indistinct layer IV, larger layer IIIc pyramids, and fewer neurons in layer Va. Posterior cingulate cortex has medial and lateral parts of area 29, a dysgranular area 30, and three divisions of area 23: area 23a has a thin layer IIIc and moderate-sized pyramids in layer Va, area 23b has large and prominent pyramids in layers IIIc and Va, and area 23c has the thinnest layers V and VI in cingulate cortex. Area 31 is the cinguloparietal transition area in the parasplenial lobules and has very large layer IIIc pyramids. Finally, variations in architecture between cases were assessed in neuron perikarya counts in area 23a. There was an age-related decrease in neuron density in layer IV (r = -0.63; ages 45-102), but not in other layers.(ABSTRACT TRUNCATED AT 400 WORDS)","container-title":"The Journal of Comparative Neurology","DOI":"10.1002/cne.903590310","ISSN":"0021-9967","issue":"3","journalAbbreviation":"J Comp Neurol","language":"eng","note":"PMID: 7499543","page":"490-506","source":"PubMed","title":"Human cingulate cortex: surface features, flat maps, and cytoarchitecture","title-short":"Human cingulate cortex","volume":"359","author":[{"family":"Vogt","given":"B. A."},{"family":"Nimchinsky","given":"E. A."},{"family":"Vogt","given":"L. J."},{"family":"Hof","given":"P. R."}],"issued":{"date-parts":[["1995",8,28]]},"citation-key":"vogtHumanCingulateCortex1995"}},{"id":4299,"uris":["http://zotero.org/users/7023408/items/MC7RTP3Z"],"itemData":{"id":4299,"type":"article-journal","abstract":"The structural and functional organization of the human cingulate cortex is an ongoing focus; however, human imaging studies continue to use the century-old Brodmann concept of a two region cingulate cortex. Recently, a four-region neurobiological model was proposed based on structural, circuitry, and functional imaging observations. It encompasses the anterior cingulate, midcingulate, posterior cingulate, and retrosplenial cortices (ACC, MCC, PCC, and RSC, respectively). For the first time, this study performs multireceptor autoradiography of 15 neurotransmitter receptor ligands and multivariate statistics on human whole brain postmortem samples covering the entire cingulate cortex. We evaluated the validity of Brodmann's duality concept and of the four-region model using a hierarchical clustering analysis of receptor binding according to the degree of similarity of each area's receptor architecture. We could not find support for Brodmann's dual cingulate concept, because the anterior part of his area 24 has significantly higher AMPA, kainate, GABA(B), benzodiazepine, and M(3) but lower NMDA and GABA(A) binding site densities than the posterior part. The hierarchical clustering analysis distinguished ACC, MCC, PCC, and RSC as independent regions. The ACC has highest AMPA, kainate, alpha(2), 5-HT(1A), and D(1) but lowest GABA(A) densities. The MCC has lowest AMPA, kainate, alpha(2), and D(1) densities. Area 25 in ACC is similar in receptor-architecture to MCC, particularly the NMDA, GABA(A), GABA(B), and M(2) receptors. The PCC and RSC differ in the higher M(1) and alpha(1) but lower M(3) densities of PCC. Thus, multireceptor autoradiography supports the four-region neurobiological model of the cingulate cortex.","container-title":"Human Brain Mapping","DOI":"10.1002/hbm.20667","ISSN":"1097-0193","issue":"8","journalAbbreviation":"Hum Brain Mapp","language":"eng","note":"PMID: 19034899\nPMCID: PMC6870973","page":"2336-2355","source":"PubMed","title":"Receptor architecture of human cingulate cortex: evaluation of the four-region neurobiological model","title-short":"Receptor architecture of human cingulate cortex","volume":"30","author":[{"family":"Palomero-Gallagher","given":"Nicola"},{"family":"Vogt","given":"Brent A."},{"family":"Schleicher","given":"Axel"},{"family":"Mayberg","given":"Helen S."},{"family":"Zilles","given":"Karl"}],"issued":{"date-parts":[["2009",8]]},"citation-key":"palomero-gallagherReceptorArchitectureHuman2009"}}],"schema":"https://github.com/citation-style-language/schema/raw/master/csl-citation.json"} </w:instrText>
      </w:r>
      <w:r w:rsidR="009C464E">
        <w:rPr>
          <w:rFonts w:ascii="Times New Roman" w:eastAsia="Times New Roman" w:hAnsi="Times New Roman" w:cs="Times New Roman"/>
          <w:color w:val="000000" w:themeColor="text1"/>
          <w:sz w:val="22"/>
          <w:szCs w:val="22"/>
          <w:lang w:eastAsia="ko-KR"/>
        </w:rPr>
        <w:fldChar w:fldCharType="separate"/>
      </w:r>
      <w:r w:rsidR="009C464E" w:rsidRPr="009C464E">
        <w:rPr>
          <w:rFonts w:ascii="Times New Roman" w:hAnsi="Times New Roman" w:cs="Times New Roman"/>
          <w:color w:val="000000"/>
          <w:kern w:val="0"/>
          <w:sz w:val="22"/>
        </w:rPr>
        <w:t>(</w:t>
      </w:r>
      <w:r w:rsidR="009C464E" w:rsidRPr="009C464E">
        <w:rPr>
          <w:rFonts w:ascii="Times New Roman" w:hAnsi="Times New Roman" w:cs="Times New Roman"/>
          <w:i/>
          <w:iCs/>
          <w:color w:val="000000"/>
          <w:kern w:val="0"/>
          <w:sz w:val="22"/>
        </w:rPr>
        <w:t>3</w:t>
      </w:r>
      <w:r w:rsidR="009C464E" w:rsidRPr="009C464E">
        <w:rPr>
          <w:rFonts w:ascii="Times New Roman" w:hAnsi="Times New Roman" w:cs="Times New Roman"/>
          <w:color w:val="000000"/>
          <w:kern w:val="0"/>
          <w:sz w:val="22"/>
        </w:rPr>
        <w:t xml:space="preserve">, </w:t>
      </w:r>
      <w:r w:rsidR="009C464E" w:rsidRPr="009C464E">
        <w:rPr>
          <w:rFonts w:ascii="Times New Roman" w:hAnsi="Times New Roman" w:cs="Times New Roman"/>
          <w:i/>
          <w:iCs/>
          <w:color w:val="000000"/>
          <w:kern w:val="0"/>
          <w:sz w:val="22"/>
        </w:rPr>
        <w:t>6</w:t>
      </w:r>
      <w:r w:rsidR="009C464E" w:rsidRPr="009C464E">
        <w:rPr>
          <w:rFonts w:ascii="Times New Roman" w:hAnsi="Times New Roman" w:cs="Times New Roman"/>
          <w:color w:val="000000"/>
          <w:kern w:val="0"/>
          <w:sz w:val="22"/>
        </w:rPr>
        <w:t>)</w:t>
      </w:r>
      <w:r w:rsidR="009C464E">
        <w:rPr>
          <w:rFonts w:ascii="Times New Roman" w:eastAsia="Times New Roman" w:hAnsi="Times New Roman" w:cs="Times New Roman"/>
          <w:color w:val="000000" w:themeColor="text1"/>
          <w:sz w:val="22"/>
          <w:szCs w:val="22"/>
          <w:lang w:eastAsia="ko-KR"/>
        </w:rPr>
        <w:fldChar w:fldCharType="end"/>
      </w:r>
      <w:r w:rsidR="00ED7ED2">
        <w:rPr>
          <w:rFonts w:ascii="Times New Roman" w:eastAsia="Times New Roman" w:hAnsi="Times New Roman" w:cs="Times New Roman"/>
          <w:color w:val="000000" w:themeColor="text1"/>
          <w:sz w:val="22"/>
          <w:szCs w:val="22"/>
          <w:lang w:eastAsia="ko-KR"/>
        </w:rPr>
        <w:t>.</w:t>
      </w:r>
    </w:p>
    <w:p w14:paraId="40771666" w14:textId="3E0ED59C" w:rsidR="006A7E09" w:rsidRDefault="00264DC0">
      <w:pPr>
        <w:rPr>
          <w:rFonts w:ascii="Times New Roman" w:eastAsia="Times New Roman" w:hAnsi="Times New Roman" w:cs="Times New Roman"/>
          <w:color w:val="000000" w:themeColor="text1"/>
          <w:sz w:val="22"/>
          <w:szCs w:val="22"/>
          <w:lang w:eastAsia="ko-KR"/>
        </w:rPr>
      </w:pPr>
      <w:r>
        <w:rPr>
          <w:rFonts w:ascii="Times New Roman" w:eastAsia="Times New Roman" w:hAnsi="Times New Roman" w:cs="Times New Roman"/>
          <w:color w:val="000000" w:themeColor="text1"/>
          <w:sz w:val="22"/>
          <w:szCs w:val="22"/>
          <w:lang w:eastAsia="ko-KR"/>
        </w:rPr>
        <w:t xml:space="preserve">The </w:t>
      </w:r>
      <w:r w:rsidR="0032668E">
        <w:rPr>
          <w:rFonts w:ascii="Times New Roman" w:eastAsia="Times New Roman" w:hAnsi="Times New Roman" w:cs="Times New Roman"/>
          <w:color w:val="000000" w:themeColor="text1"/>
          <w:sz w:val="22"/>
          <w:szCs w:val="22"/>
          <w:lang w:eastAsia="ko-KR"/>
        </w:rPr>
        <w:t>ACC</w:t>
      </w:r>
      <w:r>
        <w:rPr>
          <w:rFonts w:ascii="Times New Roman" w:eastAsia="Times New Roman" w:hAnsi="Times New Roman" w:cs="Times New Roman"/>
          <w:color w:val="000000" w:themeColor="text1"/>
          <w:sz w:val="22"/>
          <w:szCs w:val="22"/>
          <w:lang w:eastAsia="ko-KR"/>
        </w:rPr>
        <w:t xml:space="preserve"> is one of the most widely studied </w:t>
      </w:r>
      <w:r w:rsidR="00622A7C">
        <w:rPr>
          <w:rFonts w:ascii="Times New Roman" w:eastAsia="Times New Roman" w:hAnsi="Times New Roman" w:cs="Times New Roman"/>
          <w:color w:val="000000" w:themeColor="text1"/>
          <w:sz w:val="22"/>
          <w:szCs w:val="22"/>
          <w:lang w:eastAsia="ko-KR"/>
        </w:rPr>
        <w:t xml:space="preserve">cortical </w:t>
      </w:r>
      <w:r>
        <w:rPr>
          <w:rFonts w:ascii="Times New Roman" w:eastAsia="Times New Roman" w:hAnsi="Times New Roman" w:cs="Times New Roman"/>
          <w:color w:val="000000" w:themeColor="text1"/>
          <w:sz w:val="22"/>
          <w:szCs w:val="22"/>
          <w:lang w:eastAsia="ko-KR"/>
        </w:rPr>
        <w:t>regions and is implicated in</w:t>
      </w:r>
      <w:r w:rsidR="0032668E">
        <w:rPr>
          <w:rFonts w:ascii="Times New Roman" w:eastAsia="Times New Roman" w:hAnsi="Times New Roman" w:cs="Times New Roman"/>
          <w:color w:val="000000" w:themeColor="text1"/>
          <w:sz w:val="22"/>
          <w:szCs w:val="22"/>
          <w:lang w:eastAsia="ko-KR"/>
        </w:rPr>
        <w:t xml:space="preserve"> cognitive control, </w:t>
      </w:r>
      <w:r w:rsidR="00AE2C3B">
        <w:rPr>
          <w:rFonts w:ascii="Times New Roman" w:eastAsia="Times New Roman" w:hAnsi="Times New Roman" w:cs="Times New Roman"/>
          <w:color w:val="000000" w:themeColor="text1"/>
          <w:sz w:val="22"/>
          <w:szCs w:val="22"/>
          <w:lang w:eastAsia="ko-KR"/>
        </w:rPr>
        <w:t xml:space="preserve">autonomic control, social cognition, </w:t>
      </w:r>
      <w:r w:rsidR="009D6DCF">
        <w:rPr>
          <w:rFonts w:ascii="Times New Roman" w:eastAsia="Times New Roman" w:hAnsi="Times New Roman" w:cs="Times New Roman"/>
          <w:color w:val="000000" w:themeColor="text1"/>
          <w:sz w:val="22"/>
          <w:szCs w:val="22"/>
          <w:lang w:eastAsia="ko-KR"/>
        </w:rPr>
        <w:t xml:space="preserve">decision making, </w:t>
      </w:r>
      <w:r w:rsidR="0032668E">
        <w:rPr>
          <w:rFonts w:ascii="Times New Roman" w:eastAsia="Times New Roman" w:hAnsi="Times New Roman" w:cs="Times New Roman"/>
          <w:color w:val="000000" w:themeColor="text1"/>
          <w:sz w:val="22"/>
          <w:szCs w:val="22"/>
          <w:lang w:eastAsia="ko-KR"/>
        </w:rPr>
        <w:t>prediction error,</w:t>
      </w:r>
      <w:r w:rsidR="00AE2C3B">
        <w:rPr>
          <w:rFonts w:ascii="Times New Roman" w:eastAsia="Times New Roman" w:hAnsi="Times New Roman" w:cs="Times New Roman"/>
          <w:color w:val="000000" w:themeColor="text1"/>
          <w:sz w:val="22"/>
          <w:szCs w:val="22"/>
          <w:lang w:eastAsia="ko-KR"/>
        </w:rPr>
        <w:t xml:space="preserve"> pain,</w:t>
      </w:r>
      <w:r w:rsidR="0032668E">
        <w:rPr>
          <w:rFonts w:ascii="Times New Roman" w:eastAsia="Times New Roman" w:hAnsi="Times New Roman" w:cs="Times New Roman"/>
          <w:color w:val="000000" w:themeColor="text1"/>
          <w:sz w:val="22"/>
          <w:szCs w:val="22"/>
          <w:lang w:eastAsia="ko-KR"/>
        </w:rPr>
        <w:t xml:space="preserve"> and emotion</w:t>
      </w:r>
      <w:r w:rsidR="003A0B7E">
        <w:rPr>
          <w:rFonts w:ascii="Times New Roman" w:eastAsia="Times New Roman" w:hAnsi="Times New Roman" w:cs="Times New Roman"/>
          <w:color w:val="000000" w:themeColor="text1"/>
          <w:sz w:val="22"/>
          <w:szCs w:val="22"/>
          <w:lang w:eastAsia="ko-KR"/>
        </w:rPr>
        <w:t xml:space="preserve"> </w:t>
      </w:r>
      <w:r w:rsidR="003A0B7E">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UkiaI8rm","properties":{"formattedCitation":"({\\i{}10}\\uc0\\u8211{}{\\i{}16})","plainCitation":"(10–16)","noteIndex":0},"citationItems":[{"id":3605,"uris":["http://zotero.org/users/7023408/items/GK4QUT2E"],"itemData":{"id":3605,"type":"article-journal","abstract":"The cingulate gyrus participates in pain and emotion processing. Although Brodmann identified two regions without knowledge of their functional activity, recent cytoarchitectural, connection and functional imaging studies show that the cingulate gyrus actually has four regions, with associated subregions, and that each makes a qualitatively unique contribution to brain functions. These regions and subregions are the subgenual and pregenual anterior cingulate cortex (sACC and pACC), the anterior and posterior midcingulate cortex (aMCC and pMCC), the dorsal and ventral posterior cingulate cortex (dPCC and vPCC), and the retrosplenial cortex (RSC). Pain processing is usually conceived in terms of two cognitive domains with sensory-discriminative and affective-motivational components. The ACC and MCC are thought to mediate the latter of these components. The nociceptive properties of cingulate neurons include large somatic receptive fields and a predominance of nociceptive activations, with some that even respond to an innocuous tap. These responses are predicted by the properties of midline and intralaminar thalamic neurons that project to the cingulate cortex, including the parafascicular, paraventricular and reuniens nuclei that derive their nociceptive information from the spinal cord, the subnucleus reticularis dorsalis and the parabrachial nuclei.Human functional imaging studies of activity during acute noxious stimulation of cutaneous, muscular and visceral tissues show that cutaneous activity is greatest throughout the MCC, whereas the pACC, and to a lesser extent the aMCC, are active during noxious deep tissue stimulation. In addition, electroencephalographic findings indicate that a short-latency nociceptive response can be generated by noxious and innocuous stimuli from the pMCC and dPCC. To investigate the hypothesis that the cingulate cortex mediates pain affect, we localized the simple emotions of sadness, happiness, anger and fear in the framework of cingulate subregions. Amazingly, it failed to show a simple overlap of pain affect sites and sadness as predicted. The five main outcomes of this study are as follows. First, the sACC is involved in negatively valenced memories. Second, the pACC is involved in happy emotions. Third, the aMCC is involved in fear. Fourth, the pMCC and dPCC have little or no involvement in emotion. Fifth, the vPCC is involved in emotion but not in a specific way, as it is also activated by control conditions without emotional valence.Rather than having a simple role in pain affect, the cingulate gyrus seems to have three roles in pain processing. First, the pACC is involved in unpleasant experiences and directly drives autonomic outputs. Second, the aMCC is involved in fear, prediction of negative consequences and avoidance behaviours through the rostral cingulate motor area. Third, the pMCC and dPCC are not involved in emotion but are driven by short-latency somatosensory signals that mediate orientation of the body in space through the caudal cingulate motor area. In addition to these functions, nociceptive stimuli reduce activity in the vPCC and, therefore, activity in a subregion that normally evaluates the self-relevance of incoming visual sensations. So, there is a complex interaction between pain and emotion. Moreover, hypnoanalgesia and opioid and acupuncture placebos indicate mechanisms whereby the cingulate subregions can be engaged for therapeutic intervention.","container-title":"Nature Reviews Neuroscience","DOI":"10.1038/nrn1704","ISSN":"1471-0048","issue":"7","journalAbbreviation":"Nat Rev Neurosci","language":"en","license":"2005 Springer Nature Limited","page":"533-544","source":"www.nature.com","title":"Pain and emotion interactions in subregions of the cingulate gyrus","volume":"6","author":[{"family":"Vogt","given":"Brent A."}],"issued":{"date-parts":[["2005",7]]},"citation-key":"vogtPainEmotionInteractions2005"}},{"id":4302,"uris":["http://zotero.org/users/7023408/items/C773843D"],"itemData":{"id":4302,"type":"article-journal","abstract":"Our ability to explain and predict other people's behaviour by attributing to them independent mental states, such as beliefs and desires, is known as having a 'theory of mind'. Interest in this very human ability has engendered a growing body of evidence concerning its evolution and development and the biological basis of the mechanisms underpinning it. Functional imaging has played a key role in seeking to isolate brain regions specific to this ability. Three areas are consistently activated in association with theory of mind. These are the anterior paracingulate cortex, the superior temporal sulci and the temporal poles bilaterally. This review discusses the functional significance of each of these areas within a social cognitive network.","container-title":"Trends in Cognitive Sciences","DOI":"10.1016/s1364-6613(02)00025-6","ISSN":"1879-307X","issue":"2","journalAbbreviation":"Trends Cogn Sci","language":"eng","note":"PMID: 12584026","page":"77-83","source":"PubMed","title":"Functional imaging of 'theory of mind'","volume":"7","author":[{"family":"Gallagher","given":"Helen L."},{"family":"Frith","given":"Christopher D."}],"issued":{"date-parts":[["2003",2]]},"citation-key":"gallagherFunctionalImagingTheory2003"}},{"id":4303,"uris":["http://zotero.org/users/7023408/items/IF2PLTKQ"],"itemData":{"id":4303,"type":"article-journal","abstract":"Human anterior cingulate function has been explained primarily within a cognitive framework. We used functional MRI experiments with simultaneous electrocardiography to examine regional brain activity associated with autonomic cardiovascular control during performance of cognitive and motor tasks. Using indices of heart rate variability, and high- and low-frequency power in the cardiac rhythm, we observed activity in the dorsal anterior cingulate cortex (ACC) related to sympathetic modulation of heart rate that was dissociable from cognitive and motor-related activity. The findings predict that during effortful cognitive and motor behaviour the dorsal ACC supports the generation of associated autonomic states of cardiovascular arousal. We subsequently tested this prediction by studying three patients with focal damage involving the ACC while they performed effortful cognitive and motor tests. Each showed abnormalities in autonomic cardiovascular responses with blunted autonomic arousal to mental stress when compared with 147 normal subjects tested in identical fashion. Thus, converging neuroimaging and clinical findings suggest that ACC function mediates context-driven modulation of bodily arousal states.","container-title":"Brain: A Journal of Neurology","DOI":"10.1093/brain/awg216","ISSN":"0006-8950","issue":"Pt 10","journalAbbreviation":"Brain","language":"eng","note":"PMID: 12821513","page":"2139-2152","source":"PubMed","title":"Human cingulate cortex and autonomic control: converging neuroimaging and clinical evidence","title-short":"Human cingulate cortex and autonomic control","volume":"126","author":[{"family":"Critchley","given":"Hugo D."},{"family":"Mathias","given":"Christopher J."},{"family":"Josephs","given":"Oliver"},{"family":"O'Doherty","given":"John"},{"family":"Zanini","given":"Sergio"},{"family":"Dewar","given":"Bonnie-Kate"},{"family":"Cipolotti","given":"Lisa"},{"family":"Shallice","given":"Tim"},{"family":"Dolan","given":"Raymond J."}],"issued":{"date-parts":[["2003",10]]},"citation-key":"critchleyHumanCingulateCortex2003"}},{"id":4099,"uris":["http://zotero.org/users/7023408/items/CXWS5T22"],"itemData":{"id":4099,"type":"article-journal","abstract":"The rostral cingulate cortex occupies a central position in models of emotion, pain and cognitive control. Work in these domains has strongly influenced recent models of social behaviour and psychopathology.The segregationist view: it has been argued that the rostral cingulate cortex is functionally segregated into affective and cognitive divisions. Although this view remains influential, new data suggest that it is no longer tenable.Robust links have been forged between the anterior subdivision of the midcingulate cortex (aMCC) and negative affect (as with the anticipation and delivery of pain), leading some to speculate that aMCC implements a 'domain-general' process that is integral to negative affect, pain and cognitive control.Physiological evidence: a meta-analysis of activation foci from functional imaging studies of negative affect, pain and cognitive control revealed that aMCC is consistently activated by all three domains, refuting claims that cognition and emotion are strictly segregated in the cingulate.Anatomical evidence: aMCC is characterized by substantial connections with subcortical regions involved in negative affect and pain (the spinothalamic system, periaqueductal grey, amygdala, nucleus accumbens and substantia nigra). Unlike other cortical 'hot spots' for emotion, aMCC harbours the rostral cingulate zone (RCZ) — a premotor area that is heavily interconnected with other motor centres (including the facial nucleus).Functional evidence: measures of negative affect, pain and cognitive control exhibit convergent functional properties. These measures covary with one another and are amplified in similar ways by uncertainty about responses and outcomes.The adaptive control hypothesis: the core function common to negative affect, pain and cognitive control is the need to determine an optimal course of action in the face of uncertainty — that is, to exert 'adaptive control'. We suggest that aMCC implements adaptive control by using information about punishment to bias responding in situations where the optimal course of action is uncertain or entails response competition.Further evidence: pain-responsive MCC neurons are activated by the anticipation of pain, activated during instrumental escape from pain and are sensitive to manipulations of certainty and conflict. Lesions of aMCC alter how threat modulates instrumental behaviour. aMCC activity during aversively motivated learning is predicted by computational models of control and reinforcement learning.These data encourage a broader perspective on the functional significance of cingulate activity, one that recognizes that aMCC did not evolve to optimize performance on laboratory measures of 'cold' cognition. The data that we have surveyed are consistent with the possibility that the contribution of aMCC to measures of cognitive control stems from its older role in regulating 'hot' behaviours.The adaptive control hypothesis provides a clear roadmap to the most profitable avenues for understanding the contribution of aMCC to negative affect and pain.","container-title":"Nature Reviews Neuroscience","DOI":"10.1038/nrn2994","ISSN":"1471-0048","issue":"3","journalAbbreviation":"Nat Rev Neurosci","language":"en","license":"2011 Springer Nature Limited","page":"154-167","source":"www.nature.com","title":"The integration of negative affect, pain and cognitive control in the cingulate cortex","volume":"12","author":[{"family":"Shackman","given":"Alexander J."},{"family":"Salomons","given":"Tim V."},{"family":"Slagter","given":"Heleen A."},{"family":"Fox","given":"Andrew S."},{"family":"Winter","given":"Jameel J."},{"family":"Davidson","given":"Richard J."}],"issued":{"date-parts":[["2011",3]]},"citation-key":"shackmanIntegrationNegativeAffect2011"}},{"id":4305,"uris":["http://zotero.org/users/7023408/items/ADWMGFPQ"],"itemData":{"id":4305,"type":"article-journal","abstract":"In attentional models of learning, associations between actions and subsequent rewards are stronger when outcomes are surprising, regardless of their valence. Despite the behavioral evidence that surprising outcomes drive learning, neural correlates of unsigned reward prediction errors remain elusive. Here we show that in a probabilistic choice task, trial-to-trial variations in preference track outcome surprisingness. Concordant with this behavioral pattern, responses of neurons in macaque (Macaca mulatta) dorsal anterior cingulate cortex (dACC) to both large and small rewards were enhanced when the outcome was surprising. Moreover, when, on some trials, probabilities were hidden, neuronal responses to rewards were reduced, consistent with the idea that the absence of clear expectations diminishes surprise. These patterns are inconsistent with the idea that dACC neurons track signed errors in reward prediction, as dopamine neurons do. Our results also indicate that dACC neurons do not signal conflict. In the context of other studies of dACC function, these results suggest a link between reward-related modulations in dACC activity and attention and motor control processes involved in behavioral adjustment. More speculatively, these data point to a harmonious integration between reward and learning accounts of ACC function on one hand, and attention and cognitive control accounts on the other.","container-title":"The Journal of Neuroscience","DOI":"10.1523/JNEUROSCI.4652-10.2011","ISSN":"0270-6474","issue":"11","journalAbbreviation":"J Neurosci","note":"PMID: 21411658\nPMCID: PMC3070460","page":"4178-4187","source":"PubMed Central","title":"Surprise Signals in Anterior Cingulate Cortex: Neuronal Encoding of Unsigned Reward Prediction Errors Driving Adjustment in Behavior","title-short":"Surprise Signals in Anterior Cingulate Cortex","volume":"31","author":[{"family":"Hayden","given":"Benjamin Y."},{"family":"Heilbronner","given":"Sarah R."},{"family":"Pearson","given":"John M."},{"family":"Platt","given":"Michael L."}],"issued":{"date-parts":[["2011",3,16]]},"citation-key":"haydenSurpriseSignalsAnterior2011"}},{"id":4314,"uris":["http://zotero.org/users/7023408/items/JFKKYWCF"],"itemData":{"id":4314,"type":"article-journal","abstract":"Emotion and perception are tightly intertwined, as affective experiences often arise from the appraisal of sensory information. Nonetheless, whether the brain encodes emotional instances using a sensory-specific code or in a more abstract manner is unclear. Here, we answer this question by measuring the association between emotion ratings collected during a unisensory or multisensory presentation of a full-length movie and brain activity recorded in typically developed, congenitally blind and congenitally deaf participants. Emotional instances are encoded in a vast network encompassing sensory, prefrontal, and temporal cortices. Within this network, the ventromedial prefrontal cortex stores a categorical representation of emotion independent of modality and previous sensory experience, and the posterior superior temporal cortex maps the valence dimension using an abstract code. Sensory experience more than modality affects how the brain organizes emotional information outside supramodal regions, suggesting the existence of a scaffold for the representation of emotional states where sensory inputs during development shape its functioning. \n          ,  \n            Abstract and sensory coding of emotion coexist in the brain, with perceptual experience shaping sensory-dependent representations.","container-title":"Science Advances","DOI":"10.1126/sciadv.adk6840","ISSN":"2375-2548","issue":"10","journalAbbreviation":"Sci. Adv.","language":"en","page":"eadk6840","source":"DOI.org (Crossref)","title":"Dissecting abstract, modality-specific and experience-dependent coding of affect in the human brain","volume":"10","author":[{"family":"Lettieri","given":"Giada"},{"family":"Handjaras","given":"Giacomo"},{"family":"Cappello","given":"Elisa M."},{"family":"Setti","given":"Francesca"},{"family":"Bottari","given":"Davide"},{"family":"Bruno","given":"Valentina"},{"family":"Diano","given":"Matteo"},{"family":"Leo","given":"Andrea"},{"family":"Tinti","given":"Carla"},{"family":"Garbarini","given":"Francesca"},{"family":"Pietrini","given":"Pietro"},{"family":"Ricciardi","given":"Emiliano"},{"family":"Cecchetti","given":"Luca"}],"issued":{"date-parts":[["2024",3,8]]},"citation-key":"lettieriDissectingAbstractModalityspecific2024"}},{"id":4316,"uris":["http://zotero.org/users/7023408/items/LKMTB5SQ"],"itemData":{"id":4316,"type":"article-journal","abstract":"Reasoning about someone’s thoughts and intentions—i.e., forming a “theory of mind”—is a core aspect of social cognition and relies on association areas of the brain that have expanded disproportionately in the human lineage. We recently showed that these association zones comprise parallel distributed networks that, despite occupying adjacent and interdigitated regions, serve dissociable functions. One network is selectively recruited by social cognitive processes. What circuit properties differentiate these parallel networks? Here, we show that social cognitive association areas are intrinsically and selectively connected to anterior regions of the medial temporal lobe that are implicated in emotional learning and social behaviors, including the amygdala at or near the basolateral complex and medial nucleus. The results suggest that social cognitive functions emerge through coordinated activity between internal circuits of the amygdala and a broader distributed association network, and indicate the medial nucleus may play an important role in social cognition in humans. \n          ,  \n            Social association areas are connected to amygdala nuclei involved in social behavior, including basolateral and medial nuclei.","container-title":"Science Advances","DOI":"10.1126/sciadv.adp0453","ISSN":"2375-2548","issue":"47","journalAbbreviation":"Sci. Adv.","language":"en","page":"eadp0453","source":"DOI.org (Crossref)","title":"The human social cognitive network contains multiple regions within the amygdala","volume":"10","author":[{"family":"Edmonds","given":"Donnisa"},{"family":"Salvo","given":"Joseph J."},{"family":"Anderson","given":"Nathan"},{"family":"Lakshman","given":"Maya"},{"family":"Yang","given":"Qiaohan"},{"family":"Kay","given":"Kendrick"},{"family":"Zelano","given":"Christina"},{"family":"Braga","given":"Rodrigo M."}],"issued":{"date-parts":[["2024",11,22]]},"citation-key":"edmondsHumanSocialCognitive2024"}}],"schema":"https://github.com/citation-style-language/schema/raw/master/csl-citation.json"} </w:instrText>
      </w:r>
      <w:r w:rsidR="003A0B7E">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10</w:t>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16</w:t>
      </w:r>
      <w:r w:rsidR="00A219C5" w:rsidRPr="00A219C5">
        <w:rPr>
          <w:rFonts w:ascii="Times New Roman" w:hAnsi="Times New Roman" w:cs="Times New Roman"/>
          <w:color w:val="000000"/>
          <w:kern w:val="0"/>
          <w:sz w:val="22"/>
        </w:rPr>
        <w:t>)</w:t>
      </w:r>
      <w:r w:rsidR="003A0B7E">
        <w:rPr>
          <w:rFonts w:ascii="Times New Roman" w:eastAsia="Times New Roman" w:hAnsi="Times New Roman" w:cs="Times New Roman"/>
          <w:color w:val="000000" w:themeColor="text1"/>
          <w:sz w:val="22"/>
          <w:szCs w:val="22"/>
          <w:lang w:eastAsia="ko-KR"/>
        </w:rPr>
        <w:fldChar w:fldCharType="end"/>
      </w:r>
      <w:r w:rsidR="0032668E">
        <w:rPr>
          <w:rFonts w:ascii="Times New Roman" w:eastAsia="Times New Roman" w:hAnsi="Times New Roman" w:cs="Times New Roman"/>
          <w:color w:val="000000" w:themeColor="text1"/>
          <w:sz w:val="22"/>
          <w:szCs w:val="22"/>
          <w:lang w:eastAsia="ko-KR"/>
        </w:rPr>
        <w:t xml:space="preserve">. </w:t>
      </w:r>
      <w:r w:rsidR="00F57A54">
        <w:rPr>
          <w:rFonts w:ascii="Times New Roman" w:eastAsia="Times New Roman" w:hAnsi="Times New Roman" w:cs="Times New Roman"/>
          <w:color w:val="000000" w:themeColor="text1"/>
          <w:sz w:val="22"/>
          <w:szCs w:val="22"/>
          <w:lang w:eastAsia="ko-KR"/>
        </w:rPr>
        <w:t xml:space="preserve">The ACC’s diverse functional profile affords an equally intricate repertoire of functional and structural connections. The most </w:t>
      </w:r>
      <w:r w:rsidR="000E2E8D">
        <w:rPr>
          <w:rFonts w:ascii="Times New Roman" w:eastAsia="Times New Roman" w:hAnsi="Times New Roman" w:cs="Times New Roman"/>
          <w:color w:val="000000" w:themeColor="text1"/>
          <w:sz w:val="22"/>
          <w:szCs w:val="22"/>
          <w:lang w:eastAsia="ko-KR"/>
        </w:rPr>
        <w:t>well-documented</w:t>
      </w:r>
      <w:r w:rsidR="00F57A54">
        <w:rPr>
          <w:rFonts w:ascii="Times New Roman" w:eastAsia="Times New Roman" w:hAnsi="Times New Roman" w:cs="Times New Roman"/>
          <w:color w:val="000000" w:themeColor="text1"/>
          <w:sz w:val="22"/>
          <w:szCs w:val="22"/>
          <w:lang w:eastAsia="ko-KR"/>
        </w:rPr>
        <w:t xml:space="preserve"> connections are with limbic, frontal, orbitofrontal, parietal, thalamic, cingulate, and midbrain structures </w:t>
      </w:r>
      <w:r w:rsidR="00F57A54">
        <w:rPr>
          <w:rFonts w:ascii="Times New Roman" w:eastAsia="Times New Roman" w:hAnsi="Times New Roman" w:cs="Times New Roman"/>
          <w:color w:val="000000" w:themeColor="text1"/>
          <w:sz w:val="22"/>
          <w:szCs w:val="22"/>
          <w:lang w:eastAsia="ko-KR"/>
        </w:rPr>
        <w:fldChar w:fldCharType="begin"/>
      </w:r>
      <w:r w:rsidR="00F57A54">
        <w:rPr>
          <w:rFonts w:ascii="Times New Roman" w:eastAsia="Times New Roman" w:hAnsi="Times New Roman" w:cs="Times New Roman"/>
          <w:color w:val="000000" w:themeColor="text1"/>
          <w:sz w:val="22"/>
          <w:szCs w:val="22"/>
          <w:lang w:eastAsia="ko-KR"/>
        </w:rPr>
        <w:instrText xml:space="preserve"> ADDIN ZOTERO_ITEM CSL_CITATION {"citationID":"QpAPoRWQ","properties":{"formattedCitation":"({\\i{}2}, {\\i{}4}, {\\i{}8})","plainCitation":"(2, 4, 8)","noteIndex":0},"citationItems":[{"id":4286,"uris":["http://zotero.org/users/7023408/items/U7I4MQ49"],"itemData":{"id":4286,"type":"article-journal","abstract":"Introduction\nHuman cingulate cortex (CC) has been implicated in many functions, which is highly suggestive of the existence of functional subregions.\n\nMethods\nIn this study, we used resting‐state functional magnetic resonance imaging (rs‐fMRI) and diffusion tensor imaging (DTI) to parcellate the human cingulate cortex (CC) based on resting‐state functional connectivity (rsFC) patterns and anatomical connectivity (AC) patterns, to analyze the rsFC patterns and the AC patterns of different subregions, and to recognize whether the parcellation results obtained by the two different methods were consistent.\n\nResults\nThe CC was divided into six functional subregions, including the anterior cingulate cortex, dorsal anterior midcingulate cortex, ventral anterior midcingulate cortex, posterior midcingulate cortex, dorsal posterior cingulate cortex, and ventral posterior cingulate cortex. The CC was also divided into ten anatomical subregions, termed Subregion 1 (S1) to Subregion 10 (S10). Each subregion showed specific connectivity patterns, although the functional subregions and the anatomical subregions were internally consistent.\n\nConclusions\nUsing different model MRI images, we established a parcellation scheme, which is internally consistent for the human CC, which may provide an in vivo guide for subregion‐level studies and improve our understanding of this brain area at subregional levels.","container-title":"Brain and Behavior","DOI":"10.1002/brb3.1070","ISSN":"2162-3279","issue":"8","journalAbbreviation":"Brain Behav","note":"PMID: 30039643\nPMCID: PMC6085915","page":"e01070","source":"PubMed Central","title":"Functional and anatomical connectivity‐based parcellation of human cingulate cortex","volume":"8","author":[{"family":"Jin","given":"Fei"},{"family":"Zheng","given":"Pengpeng"},{"family":"Liu","given":"Huaigui"},{"family":"Guo","given":"Hui"},{"family":"Sun","given":"Zhihua"}],"issued":{"date-parts":[["2018",7,24]]},"citation-key":"jinFunctionalAnatomicalConnectivitybased2018"}},{"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Connectivity"}},{"id":4301,"uris":["http://zotero.org/users/7023408/items/FIV6GLJB"],"itemData":{"id":4301,"type":"article-journal","abstract":"Whole-brain neuroimaging studies have demonstrated regional variations in function within human cingulate cortex. At the same time, regional variations in cingulate anatomical connections have been found in animal models. It has, however, been difficult to estimate the relationship between connectivity and function throughout the whole cingulate cortex within the human brain. In this study, magnetic resonance diffusion tractography was used to investigate cingulate probabilistic connectivity in the human brain with two approaches. First, an algorithm was used to search for regional variations in the probabilistic connectivity profiles of all cingulate cortex voxels with the whole of the rest of the brain. Nine subregions with distinctive connectivity profiles were identified. It was possible to characterize several distinct areas in the dorsal cingulate sulcal region. Several distinct regions were also found in subgenual and perigenual cortex. Second, the probabilities of connection between cingulate cortex and 11 predefined target regions of interest were calculated. Cingulate voxels with a high probability of connection with the different targets formed separate clusters within cingulate cortex. Distinct connectivity fingerprints characterized the likelihood of connections between the extracingulate target regions and the nine cingulate subregions. Last, a meta-analysis of 171 functional studies reporting cingulate activation was performed. Seven different cognitive conditions were selected and peak activation coordinates were plotted to create maps of functional localization within the cingulate cortex. Regional functional specialization was found to be related to regional differences in probabilistic anatomical connectivity.","container-title":"The Journal of Neuroscience: The Official Journal of the Society for Neuroscience","DOI":"10.1523/JNEUROSCI.3328-08.2009","ISSN":"1529-2401","issue":"4","journalAbbreviation":"J Neurosci","language":"eng","note":"PMID: 19176826\nPMCID: PMC6665147","page":"1175-1190","source":"PubMed","title":"Connectivity-based parcellation of human cingulate cortex and its relation to functional specialization","volume":"29","author":[{"family":"Beckmann","given":"Matthias"},{"family":"Johansen-Berg","given":"Heidi"},{"family":"Rushworth","given":"Matthew F. S."}],"issued":{"date-parts":[["2009",1,28]]},"citation-key":"beckmannConnectivitybasedParcellationHuman2009"}}],"schema":"https://github.com/citation-style-language/schema/raw/master/csl-citation.json"} </w:instrText>
      </w:r>
      <w:r w:rsidR="00F57A54">
        <w:rPr>
          <w:rFonts w:ascii="Times New Roman" w:eastAsia="Times New Roman" w:hAnsi="Times New Roman" w:cs="Times New Roman"/>
          <w:color w:val="000000" w:themeColor="text1"/>
          <w:sz w:val="22"/>
          <w:szCs w:val="22"/>
          <w:lang w:eastAsia="ko-KR"/>
        </w:rPr>
        <w:fldChar w:fldCharType="separate"/>
      </w:r>
      <w:r w:rsidR="00F57A54" w:rsidRPr="00F57A54">
        <w:rPr>
          <w:rFonts w:ascii="Times New Roman" w:hAnsi="Times New Roman" w:cs="Times New Roman"/>
          <w:color w:val="000000"/>
          <w:kern w:val="0"/>
          <w:sz w:val="22"/>
        </w:rPr>
        <w:t>(</w:t>
      </w:r>
      <w:r w:rsidR="00F57A54" w:rsidRPr="00F57A54">
        <w:rPr>
          <w:rFonts w:ascii="Times New Roman" w:hAnsi="Times New Roman" w:cs="Times New Roman"/>
          <w:i/>
          <w:iCs/>
          <w:color w:val="000000"/>
          <w:kern w:val="0"/>
          <w:sz w:val="22"/>
        </w:rPr>
        <w:t>2</w:t>
      </w:r>
      <w:r w:rsidR="00F57A54" w:rsidRPr="00F57A54">
        <w:rPr>
          <w:rFonts w:ascii="Times New Roman" w:hAnsi="Times New Roman" w:cs="Times New Roman"/>
          <w:color w:val="000000"/>
          <w:kern w:val="0"/>
          <w:sz w:val="22"/>
        </w:rPr>
        <w:t xml:space="preserve">, </w:t>
      </w:r>
      <w:r w:rsidR="00F57A54" w:rsidRPr="00F57A54">
        <w:rPr>
          <w:rFonts w:ascii="Times New Roman" w:hAnsi="Times New Roman" w:cs="Times New Roman"/>
          <w:i/>
          <w:iCs/>
          <w:color w:val="000000"/>
          <w:kern w:val="0"/>
          <w:sz w:val="22"/>
        </w:rPr>
        <w:t>4</w:t>
      </w:r>
      <w:r w:rsidR="00F57A54" w:rsidRPr="00F57A54">
        <w:rPr>
          <w:rFonts w:ascii="Times New Roman" w:hAnsi="Times New Roman" w:cs="Times New Roman"/>
          <w:color w:val="000000"/>
          <w:kern w:val="0"/>
          <w:sz w:val="22"/>
        </w:rPr>
        <w:t xml:space="preserve">, </w:t>
      </w:r>
      <w:r w:rsidR="00F57A54" w:rsidRPr="00F57A54">
        <w:rPr>
          <w:rFonts w:ascii="Times New Roman" w:hAnsi="Times New Roman" w:cs="Times New Roman"/>
          <w:i/>
          <w:iCs/>
          <w:color w:val="000000"/>
          <w:kern w:val="0"/>
          <w:sz w:val="22"/>
        </w:rPr>
        <w:t>8</w:t>
      </w:r>
      <w:r w:rsidR="00F57A54" w:rsidRPr="00F57A54">
        <w:rPr>
          <w:rFonts w:ascii="Times New Roman" w:hAnsi="Times New Roman" w:cs="Times New Roman"/>
          <w:color w:val="000000"/>
          <w:kern w:val="0"/>
          <w:sz w:val="22"/>
        </w:rPr>
        <w:t>)</w:t>
      </w:r>
      <w:r w:rsidR="00F57A54">
        <w:rPr>
          <w:rFonts w:ascii="Times New Roman" w:eastAsia="Times New Roman" w:hAnsi="Times New Roman" w:cs="Times New Roman"/>
          <w:color w:val="000000" w:themeColor="text1"/>
          <w:sz w:val="22"/>
          <w:szCs w:val="22"/>
          <w:lang w:eastAsia="ko-KR"/>
        </w:rPr>
        <w:fldChar w:fldCharType="end"/>
      </w:r>
      <w:r w:rsidR="00F57A54">
        <w:rPr>
          <w:rFonts w:ascii="Times New Roman" w:eastAsia="Times New Roman" w:hAnsi="Times New Roman" w:cs="Times New Roman"/>
          <w:color w:val="000000" w:themeColor="text1"/>
          <w:sz w:val="22"/>
          <w:szCs w:val="22"/>
          <w:lang w:eastAsia="ko-KR"/>
        </w:rPr>
        <w:t xml:space="preserve">. The MCC has two functionally and connectively distinct divisions consisting of its anterior and posterior sections. The anterior section has </w:t>
      </w:r>
      <w:r w:rsidR="009D6DCF">
        <w:rPr>
          <w:rFonts w:ascii="Times New Roman" w:eastAsia="Times New Roman" w:hAnsi="Times New Roman" w:cs="Times New Roman"/>
          <w:color w:val="000000" w:themeColor="text1"/>
          <w:sz w:val="22"/>
          <w:szCs w:val="22"/>
          <w:lang w:eastAsia="ko-KR"/>
        </w:rPr>
        <w:t xml:space="preserve">been </w:t>
      </w:r>
      <w:r w:rsidR="00F57A54">
        <w:rPr>
          <w:rFonts w:ascii="Times New Roman" w:eastAsia="Times New Roman" w:hAnsi="Times New Roman" w:cs="Times New Roman"/>
          <w:color w:val="000000" w:themeColor="text1"/>
          <w:sz w:val="22"/>
          <w:szCs w:val="22"/>
          <w:lang w:eastAsia="ko-KR"/>
        </w:rPr>
        <w:t xml:space="preserve">reported </w:t>
      </w:r>
      <w:r w:rsidR="009D6DCF">
        <w:rPr>
          <w:rFonts w:ascii="Times New Roman" w:eastAsia="Times New Roman" w:hAnsi="Times New Roman" w:cs="Times New Roman"/>
          <w:color w:val="000000" w:themeColor="text1"/>
          <w:sz w:val="22"/>
          <w:szCs w:val="22"/>
          <w:lang w:eastAsia="ko-KR"/>
        </w:rPr>
        <w:t xml:space="preserve">to have </w:t>
      </w:r>
      <w:r w:rsidR="00F57A54">
        <w:rPr>
          <w:rFonts w:ascii="Times New Roman" w:eastAsia="Times New Roman" w:hAnsi="Times New Roman" w:cs="Times New Roman"/>
          <w:color w:val="000000" w:themeColor="text1"/>
          <w:sz w:val="22"/>
          <w:szCs w:val="22"/>
          <w:lang w:eastAsia="ko-KR"/>
        </w:rPr>
        <w:t>functional overlap with the ACC</w:t>
      </w:r>
      <w:r w:rsidR="009D6DCF">
        <w:rPr>
          <w:rFonts w:ascii="Times New Roman" w:eastAsia="Times New Roman" w:hAnsi="Times New Roman" w:cs="Times New Roman"/>
          <w:color w:val="000000" w:themeColor="text1"/>
          <w:sz w:val="22"/>
          <w:szCs w:val="22"/>
          <w:lang w:eastAsia="ko-KR"/>
        </w:rPr>
        <w:t xml:space="preserve">, especially in cognitive and sensory-related functions. Uniquely, the MCC, especially its posterior section, plays a primary role in reflexive orientation and response selection. The MCC is anatomically adjacent and strongly connected to </w:t>
      </w:r>
      <w:proofErr w:type="spellStart"/>
      <w:r w:rsidR="009D6DCF">
        <w:rPr>
          <w:rFonts w:ascii="Times New Roman" w:eastAsia="Times New Roman" w:hAnsi="Times New Roman" w:cs="Times New Roman"/>
          <w:color w:val="000000" w:themeColor="text1"/>
          <w:sz w:val="22"/>
          <w:szCs w:val="22"/>
          <w:lang w:eastAsia="ko-KR"/>
        </w:rPr>
        <w:t>somatomotor</w:t>
      </w:r>
      <w:proofErr w:type="spellEnd"/>
      <w:r w:rsidR="009D6DCF">
        <w:rPr>
          <w:rFonts w:ascii="Times New Roman" w:eastAsia="Times New Roman" w:hAnsi="Times New Roman" w:cs="Times New Roman"/>
          <w:color w:val="000000" w:themeColor="text1"/>
          <w:sz w:val="22"/>
          <w:szCs w:val="22"/>
          <w:lang w:eastAsia="ko-KR"/>
        </w:rPr>
        <w:t xml:space="preserve"> regions, and thus, plays a role in sensory and motor-related behaviors </w:t>
      </w:r>
      <w:r w:rsidR="009D6DCF">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{"citationID":"Jo93hvXg","properties":{"formattedCitation":"({\\i{}4}, {\\i{}17})","plainCitation":"(4, 17)","noteIndex":0},"citationItems":[{"id":3368,"uris":["http://zotero.org/users/7023408/items/9NJXW7ZV"],"itemData":{"id":3368,"type":"article-journal","abstract":"Summary: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sidR="009D6DCF">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4</w:t>
      </w:r>
      <w:r w:rsidR="00A219C5" w:rsidRPr="00A219C5">
        <w:rPr>
          <w:rFonts w:ascii="Times New Roman" w:hAnsi="Times New Roman" w:cs="Times New Roman"/>
          <w:color w:val="000000"/>
          <w:kern w:val="0"/>
          <w:sz w:val="22"/>
        </w:rPr>
        <w:t xml:space="preserve">, </w:t>
      </w:r>
      <w:r w:rsidR="00A219C5" w:rsidRPr="00A219C5">
        <w:rPr>
          <w:rFonts w:ascii="Times New Roman" w:hAnsi="Times New Roman" w:cs="Times New Roman"/>
          <w:i/>
          <w:iCs/>
          <w:color w:val="000000"/>
          <w:kern w:val="0"/>
          <w:sz w:val="22"/>
        </w:rPr>
        <w:t>17</w:t>
      </w:r>
      <w:r w:rsidR="00A219C5" w:rsidRPr="00A219C5">
        <w:rPr>
          <w:rFonts w:ascii="Times New Roman" w:hAnsi="Times New Roman" w:cs="Times New Roman"/>
          <w:color w:val="000000"/>
          <w:kern w:val="0"/>
          <w:sz w:val="22"/>
        </w:rPr>
        <w:t>)</w:t>
      </w:r>
      <w:r w:rsidR="009D6DCF">
        <w:rPr>
          <w:rFonts w:ascii="Times New Roman" w:eastAsia="Times New Roman" w:hAnsi="Times New Roman" w:cs="Times New Roman"/>
          <w:color w:val="000000" w:themeColor="text1"/>
          <w:sz w:val="22"/>
          <w:szCs w:val="22"/>
          <w:lang w:eastAsia="ko-KR"/>
        </w:rPr>
        <w:fldChar w:fldCharType="end"/>
      </w:r>
      <w:r w:rsidR="009D6DCF">
        <w:rPr>
          <w:rFonts w:ascii="Times New Roman" w:eastAsia="Times New Roman" w:hAnsi="Times New Roman" w:cs="Times New Roman"/>
          <w:color w:val="000000" w:themeColor="text1"/>
          <w:sz w:val="22"/>
          <w:szCs w:val="22"/>
          <w:lang w:eastAsia="ko-KR"/>
        </w:rPr>
        <w:t xml:space="preserve">. The PCC and </w:t>
      </w:r>
      <w:proofErr w:type="spellStart"/>
      <w:r w:rsidR="009D6DCF">
        <w:rPr>
          <w:rFonts w:ascii="Times New Roman" w:eastAsia="Times New Roman" w:hAnsi="Times New Roman" w:cs="Times New Roman"/>
          <w:color w:val="000000" w:themeColor="text1"/>
          <w:sz w:val="22"/>
          <w:szCs w:val="22"/>
          <w:lang w:eastAsia="ko-KR"/>
        </w:rPr>
        <w:t>retrosplenial</w:t>
      </w:r>
      <w:proofErr w:type="spellEnd"/>
      <w:r w:rsidR="009D6DCF">
        <w:rPr>
          <w:rFonts w:ascii="Times New Roman" w:eastAsia="Times New Roman" w:hAnsi="Times New Roman" w:cs="Times New Roman"/>
          <w:color w:val="000000" w:themeColor="text1"/>
          <w:sz w:val="22"/>
          <w:szCs w:val="22"/>
          <w:lang w:eastAsia="ko-KR"/>
        </w:rPr>
        <w:t xml:space="preserve"> cortex, while functionally distinct, are often grouped anatomically. These </w:t>
      </w:r>
      <w:r w:rsidR="005C23D3">
        <w:rPr>
          <w:rFonts w:ascii="Times New Roman" w:eastAsia="Times New Roman" w:hAnsi="Times New Roman" w:cs="Times New Roman"/>
          <w:color w:val="000000" w:themeColor="text1"/>
          <w:sz w:val="22"/>
          <w:szCs w:val="22"/>
          <w:lang w:eastAsia="ko-KR"/>
        </w:rPr>
        <w:t xml:space="preserve">are key regions in the human default mode network (DMN), and have well-established functional roles in memory, introspection, self-referential cognition, visual processing, and attention. These regions have documented functional and structural connections to limbic, frontal, orbitofrontal, visual, cingulate, and parietal </w:t>
      </w:r>
      <w:r w:rsidR="00BB2F8E">
        <w:rPr>
          <w:rFonts w:ascii="Times New Roman" w:eastAsia="Times New Roman" w:hAnsi="Times New Roman" w:cs="Times New Roman"/>
          <w:color w:val="000000" w:themeColor="text1"/>
          <w:sz w:val="22"/>
          <w:szCs w:val="22"/>
          <w:lang w:eastAsia="ko-KR"/>
        </w:rPr>
        <w:t xml:space="preserve">areas </w:t>
      </w:r>
      <w:r w:rsidR="00BB2F8E">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{"citationID":"LpI4ma1m","properties":{"formattedCitation":"({\\i{}4}, {\\i{}10}, {\\i{}18}\\uc0\\u8211{}{\\i{}20})","plainCitation":"(4, 10, 18–20)","noteIndex":0},"citationItems":[{"id":3368,"uris":["http://zotero.org/users/7023408/items/9NJXW7ZV"],"itemData":{"id":3368,"type":"article-journal","abstract":"Summary: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Connectivity"}},{"id":3605,"uris":["http://zotero.org/users/7023408/items/GK4QUT2E"],"itemData":{"id":3605,"type":"article-journal","abstract":"The cingulate gyrus participates in pain and emotion processing. Although Brodmann identified two regions without knowledge of their functional activity, recent cytoarchitectural, connection and functional imaging studies show that the cingulate gyrus actually has four regions, with associated subregions, and that each makes a qualitatively unique contribution to brain functions. These regions and subregions are the subgenual and pregenual anterior cingulate cortex (sACC and pACC), the anterior and posterior midcingulate cortex (aMCC and pMCC), the dorsal and ventral posterior cingulate cortex (dPCC and vPCC), and the retrosplenial cortex (RSC). Pain processing is usually conceived in terms of two cognitive domains with sensory-discriminative and affective-motivational components. The ACC and MCC are thought to mediate the latter of these components. The nociceptive properties of cingulate neurons include large somatic receptive fields and a predominance of nociceptive activations, with some that even respond to an innocuous tap. These responses are predicted by the properties of midline and intralaminar thalamic neurons that project to the cingulate cortex, including the parafascicular, paraventricular and reuniens nuclei that derive their nociceptive information from the spinal cord, the subnucleus reticularis dorsalis and the parabrachial nuclei.Human functional imaging studies of activity during acute noxious stimulation of cutaneous, muscular and visceral tissues show that cutaneous activity is greatest throughout the MCC, whereas the pACC, and to a lesser extent the aMCC, are active during noxious deep tissue stimulation. In addition, electroencephalographic findings indicate that a short-latency nociceptive response can be generated by noxious and innocuous stimuli from the pMCC and dPCC. To investigate the hypothesis that the cingulate cortex mediates pain affect, we localized the simple emotions of sadness, happiness, anger and fear in the framework of cingulate subregions. Amazingly, it failed to show a simple overlap of pain affect sites and sadness as predicted. The five main outcomes of this study are as follows. First, the sACC is involved in negatively valenced memories. Second, the pACC is involved in happy emotions. Third, the aMCC is involved in fear. Fourth, the pMCC and dPCC have little or no involvement in emotion. Fifth, the vPCC is involved in emotion but not in a specific way, as it is also activated by control conditions without emotional valence.Rather than having a simple role in pain affect, the cingulate gyrus seems to have three roles in pain processing. First, the pACC is involved in unpleasant experiences and directly drives autonomic outputs. Second, the aMCC is involved in fear, prediction of negative consequences and avoidance behaviours through the rostral cingulate motor area. Third, the pMCC and dPCC are not involved in emotion but are driven by short-latency somatosensory signals that mediate orientation of the body in space through the caudal cingulate motor area. In addition to these functions, nociceptive stimuli reduce activity in the vPCC and, therefore, activity in a subregion that normally evaluates the self-relevance of incoming visual sensations. So, there is a complex interaction between pain and emotion. Moreover, hypnoanalgesia and opioid and acupuncture placebos indicate mechanisms whereby the cingulate subregions can be engaged for therapeutic intervention.","container-title":"Nature Reviews Neuroscience","DOI":"10.1038/nrn1704","ISSN":"1471-0048","issue":"7","journalAbbreviation":"Nat Rev Neurosci","language":"en","license":"2005 Springer Nature Limited","page":"533-544","source":"www.nature.com","title":"Pain and emotion interactions in subregions of the cingulate gyrus","volume":"6","author":[{"family":"Vogt","given":"Brent A."}],"issued":{"date-parts":[["2005",7]]},"citation-key":"vogtPainEmotionInteractions2005"}},{"id":3666,"uris":["http://zotero.org/users/7023408/items/ZM4ID2EQ"],"itemData":{"id":3666,"type":"article-journal","abstract":"The posterior cingulate cortex is a highly connected and metabolically active brain region. Recent studies suggest it has an important cognitive role, although there is no consensus about what this is. The region is typically discussed as having a unitary function because of a common pattern of relative deactivation observed during attentionally demanding tasks. One influential hypothesis is that the posterior cingulate cortex has a central role in supporting internally-directed cognition. It is a key node in the default mode network and shows increased activity when individuals retrieve autobiographical memories or plan for the future, as well as during unconstrained ‘rest’ when activity in the brain is ‘free-wheeling’. However, other evidence suggests that the region is highly heterogeneous and may play a direct role in regulating the focus of attention. In addition, its activity varies with arousal state and its interactions with other brain networks may be important for conscious awareness. Understanding posterior cingulate cortex function is likely to be of clinical importance. It is well protected against ischaemic stroke, and so there is relatively little neuropsychological data about the consequences of focal lesions. However, in other conditions abnormalities in the region are clearly linked to disease. For example, amyloid deposition and reduced metabolism is seen early in Alzheimer’s disease. Functional neuroimaging studies show abnormalities in a range of neurological and psychiatric disorders including Alzheimer’s disease, schizophrenia, autism, depression and attention deficit hyperactivity disorder, as well as ageing. Our own work has consistently shown abnormal posterior cingulate cortex function following traumatic brain injury, which predicts attentional impairments. Here we review the anatomy and physiology of the region and how it is affected in a range of clinical conditions, before discussing its proposed functions. We synthesize key findings into a novel model of the region’s function (the ‘Arousal, Balance and Breadth of Attention’ model). Dorsal and ventral subcomponents are functionally separated and differences in regional activity are explained by considering: (i) arousal state; (ii) whether attention is focused internally or externally; and (iii) the breadth of attentional focus. The predictions of the model can be tested within the framework of complex dynamic systems theory, and we propose that the dorsal posterior cingulate cortex influences attentional focus by ‘tuning’ whole-brain metastability and so adjusts how stable brain network activity is over time.","container-title":"Brain","DOI":"10.1093/brain/awt162","ISSN":"0006-8950","issue":"1","journalAbbreviation":"Brain","note":"PMID: 23869106\nPMCID: PMC3891440","page":"12-32","source":"PubMed Central","title":"The role of the posterior cingulate cortex in cognition and disease","volume":"137","author":[{"family":"Leech","given":"Robert"},{"family":"Sharp","given":"David J."}],"issued":{"date-parts":[["2014",1]]},"citation-key":"leechRolePosteriorCingulate2014"}},{"id":4306,"uris":["http://zotero.org/users/7023408/items/AYFA9R3L"],"itemData":{"id":4306,"type":"article-journal","abstract":"The default mode network (DMN) involves interacting cortical areas, including the posterior cingulate cortex (PCC) and the retrosplenial cortex (RSC), and subcortical areas, including the medial temporal lobe (MTL). The degree of functional connectivity (FC) within the DMN, particularly between MTL and medial‐parietal subsystems, relates to episodic memory (EM) processes. However, past resting‐state studies investigating the link between posterior DMN‐MTL FC and EM performance yielded inconsistent results, possibly reflecting heterogeneity in the degree of connectivity between MTL and specific cortical DMN regions. Animal work suggests that RSC has structural connections to both cortical DMN regions and MTL, and may thus serve as an intermediate layer that facilitates information transfer between cortical and subcortical DMNs. We studied 180 healthy old adults (aged 64–68 years), who underwent comprehensive assessment of EM, along with resting‐state fMRI. We found greater FC between MTL and RSC than between MTL and the other cortical DMN regions (e.g., PCC), with the only significant association with EM observed for MTL‐RSC FC. Mediational analysis showed that MTL‐cortical DMN connectivity increased with RSC as a mediator. Further analysis using a graph‐theoretical approach on DMN nodes revealed the highest betweenness centrality for RSC, confirming that a high proportion of short paths among DMN regions pass through RSC. Importantly, the degree of RSC mediation was associated with EM performance, suggesting that individuals with greater mediation have an EM advantage. These findings suggest that RSC forms a critical gateway between MTL and cortical DMN to support EM in older adults.","container-title":"Human Brain Mapping","DOI":"10.1002/hbm.23983","ISSN":"1065-9471","issue":"5","journalAbbreviation":"Hum Brain Mapp","note":"PMID: 29363256\nPMCID: PMC6866613","page":"2020-2034","source":"PubMed Central","title":"The retrosplenial cortex: A memory gateway between the cortical default mode network and the medial temporal lobe","title-short":"The retrosplenial cortex","volume":"39","author":[{"family":"Kaboodvand","given":"Neda"},{"family":"Bäckman","given":"Lars"},{"family":"Nyberg","given":"Lars"},{"family":"Salami","given":"Alireza"}],"issued":{"date-parts":[["2018",1,23]]},"citation-key":"kaboodvandRetrosplenialCortexMemory2018"}},{"id":4312,"uris":["http://zotero.org/users/7023408/items/I5JJF43R"],"itemData":{"id":4312,"type":"article-journal","abstract":"Understanding brain structure-function relationships, and their development and evolution, is central to neuroscience research. Here, we show that morphological differences in posterior cingulate cortex (PCC), a hub of functional brain networks, predict individual differences in macroanatomical, microstructural, and functional features of PCC. Manually labeling 4511 sulci in 572 hemispheres, we found a shallow cortical indentation (termed the inframarginal sulcus; \n              ifrms \n              ) within PCC that is absent from neuroanatomical atlases yet colocalized with a focal, functional region of the lateral frontoparietal network implicated in cognitive control. This structural-functional coupling generalized to meta-analyses consisting of hundreds of studies and thousands of participants. Additional morphological analyses showed that unique properties of the \n              ifrms \n              differ across the life span and between hominoid species. These findings support a classic theory that shallow, tertiary sulci serve as landmarks in association cortices. They also beg the question: How many other cortical indentations have we missed? \n             \n          ,  \n            A previously uncharted brain structure links functional and anatomical organization and differs across the life span and species.","container-title":"Science Advances","DOI":"10.1126/sciadv.abn9516","ISSN":"2375-2548","issue":"36","journalAbbreviation":"Sci. Adv.","language":"en","page":"eabn9516","source":"DOI.org (Crossref)","title":"Uncovering a tripartite landmark in posterior cingulate cortex","volume":"8","author":[{"family":"Willbrand","given":"Ethan H."},{"family":"Parker","given":"Benjamin J."},{"family":"Voorhies","given":"Willa I."},{"family":"Miller","given":"Jacob A."},{"family":"Lyu","given":"Ilwoo"},{"family":"Hallock","given":"Tyler"},{"family":"Aponik-Gremillion","given":"Lyndsey"},{"family":"Koslov","given":"Seth R."},{"literal":"Alzheimer’s Disease Neuroimaging Initiative"},{"family":"Bunge","given":"Silvia A."},{"family":"Foster","given":"Brett L."},{"family":"Weiner","given":"Kevin S."}],"issued":{"date-parts":[["2022",9,9]]},"citation-key":"willbrandUncoveringTripartiteLandmark2022"}}],"schema":"https://github.com/citation-style-language/schema/raw/master/csl-citation.json"} </w:instrText>
      </w:r>
      <w:r w:rsidR="00BB2F8E">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4</w:t>
      </w:r>
      <w:r w:rsidR="00A219C5" w:rsidRPr="00A219C5">
        <w:rPr>
          <w:rFonts w:ascii="Times New Roman" w:hAnsi="Times New Roman" w:cs="Times New Roman"/>
          <w:color w:val="000000"/>
          <w:kern w:val="0"/>
          <w:sz w:val="22"/>
        </w:rPr>
        <w:t xml:space="preserve">, </w:t>
      </w:r>
      <w:r w:rsidR="00A219C5" w:rsidRPr="00A219C5">
        <w:rPr>
          <w:rFonts w:ascii="Times New Roman" w:hAnsi="Times New Roman" w:cs="Times New Roman"/>
          <w:i/>
          <w:iCs/>
          <w:color w:val="000000"/>
          <w:kern w:val="0"/>
          <w:sz w:val="22"/>
        </w:rPr>
        <w:t>10</w:t>
      </w:r>
      <w:r w:rsidR="00A219C5" w:rsidRPr="00A219C5">
        <w:rPr>
          <w:rFonts w:ascii="Times New Roman" w:hAnsi="Times New Roman" w:cs="Times New Roman"/>
          <w:color w:val="000000"/>
          <w:kern w:val="0"/>
          <w:sz w:val="22"/>
        </w:rPr>
        <w:t xml:space="preserve">, </w:t>
      </w:r>
      <w:r w:rsidR="00A219C5" w:rsidRPr="00A219C5">
        <w:rPr>
          <w:rFonts w:ascii="Times New Roman" w:hAnsi="Times New Roman" w:cs="Times New Roman"/>
          <w:i/>
          <w:iCs/>
          <w:color w:val="000000"/>
          <w:kern w:val="0"/>
          <w:sz w:val="22"/>
        </w:rPr>
        <w:t>18</w:t>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20</w:t>
      </w:r>
      <w:r w:rsidR="00A219C5" w:rsidRPr="00A219C5">
        <w:rPr>
          <w:rFonts w:ascii="Times New Roman" w:hAnsi="Times New Roman" w:cs="Times New Roman"/>
          <w:color w:val="000000"/>
          <w:kern w:val="0"/>
          <w:sz w:val="22"/>
        </w:rPr>
        <w:t>)</w:t>
      </w:r>
      <w:r w:rsidR="00BB2F8E">
        <w:rPr>
          <w:rFonts w:ascii="Times New Roman" w:eastAsia="Times New Roman" w:hAnsi="Times New Roman" w:cs="Times New Roman"/>
          <w:color w:val="000000" w:themeColor="text1"/>
          <w:sz w:val="22"/>
          <w:szCs w:val="22"/>
          <w:lang w:eastAsia="ko-KR"/>
        </w:rPr>
        <w:fldChar w:fldCharType="end"/>
      </w:r>
      <w:r w:rsidR="005C23D3">
        <w:rPr>
          <w:rFonts w:ascii="Times New Roman" w:eastAsia="Times New Roman" w:hAnsi="Times New Roman" w:cs="Times New Roman"/>
          <w:color w:val="000000" w:themeColor="text1"/>
          <w:sz w:val="22"/>
          <w:szCs w:val="22"/>
          <w:lang w:eastAsia="ko-KR"/>
        </w:rPr>
        <w:t xml:space="preserve">. </w:t>
      </w:r>
    </w:p>
    <w:p w14:paraId="7D5E2918" w14:textId="6F502E24" w:rsidR="005C23D3" w:rsidRDefault="00BB2F8E">
      <w:pPr>
        <w:rPr>
          <w:rFonts w:ascii="Times New Roman" w:eastAsia="Times New Roman" w:hAnsi="Times New Roman" w:cs="Times New Roman"/>
          <w:color w:val="000000" w:themeColor="text1"/>
          <w:sz w:val="22"/>
          <w:szCs w:val="22"/>
          <w:lang w:eastAsia="ko-KR"/>
        </w:rPr>
      </w:pPr>
      <w:r>
        <w:rPr>
          <w:rFonts w:ascii="Times New Roman" w:eastAsia="Times New Roman" w:hAnsi="Times New Roman" w:cs="Times New Roman"/>
          <w:color w:val="000000" w:themeColor="text1"/>
          <w:sz w:val="22"/>
          <w:szCs w:val="22"/>
          <w:lang w:eastAsia="ko-KR"/>
        </w:rPr>
        <w:t xml:space="preserve">The human CC is prevalently studied in the field of human connectivity due to its complexity, relevance to cognition and behavior, and role in pathology </w:t>
      </w:r>
      <w:r>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{"citationID":"aixtydK1","properties":{"formattedCitation":"({\\i{}21})","plainCitation":"(21)","noteIndex":0},"citationItems":[{"id":4308,"uris":["http://zotero.org/users/7023408/items/DAARBC2P"],"itemData":{"id":4308,"type":"article-journal","abstract":"A brief review of the history of key observations of cingulate organization, particularly in the limbic system framework, is presented from 1907 to the present. The reasons why it has not played a significant role in neurology reflect the fact that its arterial supply is complex and no cingulate syndrome has been identified. A flat map of its eight subregions and areas is presented as a basis for many subsequent chapters in this volume. Along with this is a summary of current functional attributes of many of its divisions including cognitive, emotion, mental (Theory of Mind), skeletomotor, and autonomic output and various models of its function based on connectivity studies.","container-title":"Handbook of Clinical Neurology","DOI":"10.1016/B978-0-444-64196-0.00001-7","ISSN":"0072-9752","journalAbbreviation":"Handb Clin Neurol","language":"eng","note":"PMID: 31731918","page":"3-21","source":"PubMed","title":"The cingulate cortex in neurologic diseases: History, Structure, Overview","title-short":"The cingulate cortex in neurologic diseases","volume":"166","author":[{"family":"Vogt","given":"Brent A."}],"issued":{"date-parts":[["2019"]]},"citation-key":"vogtCingulateCortexNeurologic2019"}}],"schema":"https://github.com/citation-style-language/schema/raw/master/csl-citation.json"} </w:instrText>
      </w:r>
      <w:r>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21</w:t>
      </w:r>
      <w:r w:rsidR="00A219C5" w:rsidRPr="00A219C5">
        <w:rPr>
          <w:rFonts w:ascii="Times New Roman" w:hAnsi="Times New Roman" w:cs="Times New Roman"/>
          <w:color w:val="000000"/>
          <w:kern w:val="0"/>
          <w:sz w:val="22"/>
        </w:rPr>
        <w:t>)</w:t>
      </w:r>
      <w:r>
        <w:rPr>
          <w:rFonts w:ascii="Times New Roman" w:eastAsia="Times New Roman" w:hAnsi="Times New Roman" w:cs="Times New Roman"/>
          <w:color w:val="000000" w:themeColor="text1"/>
          <w:sz w:val="22"/>
          <w:szCs w:val="22"/>
          <w:lang w:eastAsia="ko-KR"/>
        </w:rPr>
        <w:fldChar w:fldCharType="end"/>
      </w:r>
      <w:r>
        <w:rPr>
          <w:rFonts w:ascii="Times New Roman" w:eastAsia="Times New Roman" w:hAnsi="Times New Roman" w:cs="Times New Roman"/>
          <w:color w:val="000000" w:themeColor="text1"/>
          <w:sz w:val="22"/>
          <w:szCs w:val="22"/>
          <w:lang w:eastAsia="ko-KR"/>
        </w:rPr>
        <w:t>.</w:t>
      </w:r>
      <w:r w:rsidR="005C23D3">
        <w:rPr>
          <w:rFonts w:ascii="Times New Roman" w:eastAsia="Times New Roman" w:hAnsi="Times New Roman" w:cs="Times New Roman"/>
          <w:color w:val="000000" w:themeColor="text1"/>
          <w:sz w:val="22"/>
          <w:szCs w:val="22"/>
          <w:lang w:eastAsia="ko-KR"/>
        </w:rPr>
        <w:t xml:space="preserve"> Connectivity is often studied through </w:t>
      </w:r>
      <w:r>
        <w:rPr>
          <w:rFonts w:ascii="Times New Roman" w:eastAsia="Times New Roman" w:hAnsi="Times New Roman" w:cs="Times New Roman"/>
          <w:color w:val="000000" w:themeColor="text1"/>
          <w:sz w:val="22"/>
          <w:szCs w:val="22"/>
          <w:lang w:eastAsia="ko-KR"/>
        </w:rPr>
        <w:t xml:space="preserve">a </w:t>
      </w:r>
      <w:r w:rsidR="005C23D3">
        <w:rPr>
          <w:rFonts w:ascii="Times New Roman" w:eastAsia="Times New Roman" w:hAnsi="Times New Roman" w:cs="Times New Roman"/>
          <w:color w:val="000000" w:themeColor="text1"/>
          <w:sz w:val="22"/>
          <w:szCs w:val="22"/>
          <w:lang w:eastAsia="ko-KR"/>
        </w:rPr>
        <w:t xml:space="preserve">functional or structural </w:t>
      </w:r>
      <w:r>
        <w:rPr>
          <w:rFonts w:ascii="Times New Roman" w:eastAsia="Times New Roman" w:hAnsi="Times New Roman" w:cs="Times New Roman"/>
          <w:color w:val="000000" w:themeColor="text1"/>
          <w:sz w:val="22"/>
          <w:szCs w:val="22"/>
          <w:lang w:eastAsia="ko-KR"/>
        </w:rPr>
        <w:t>lens</w:t>
      </w:r>
      <w:r w:rsidR="005C23D3">
        <w:rPr>
          <w:rFonts w:ascii="Times New Roman" w:eastAsia="Times New Roman" w:hAnsi="Times New Roman" w:cs="Times New Roman"/>
          <w:color w:val="000000" w:themeColor="text1"/>
          <w:sz w:val="22"/>
          <w:szCs w:val="22"/>
          <w:lang w:eastAsia="ko-KR"/>
        </w:rPr>
        <w:t>. Functional connectivity draws connections between regions based on the shared statistical content of the physiology recorded within brain regions, often under behavioral par</w:t>
      </w:r>
      <w:r w:rsidR="0030740F">
        <w:rPr>
          <w:rFonts w:ascii="Times New Roman" w:eastAsia="Times New Roman" w:hAnsi="Times New Roman" w:cs="Times New Roman"/>
          <w:color w:val="000000" w:themeColor="text1"/>
          <w:sz w:val="22"/>
          <w:szCs w:val="22"/>
          <w:lang w:eastAsia="ko-KR"/>
        </w:rPr>
        <w:t>a</w:t>
      </w:r>
      <w:r w:rsidR="005C23D3">
        <w:rPr>
          <w:rFonts w:ascii="Times New Roman" w:eastAsia="Times New Roman" w:hAnsi="Times New Roman" w:cs="Times New Roman"/>
          <w:color w:val="000000" w:themeColor="text1"/>
          <w:sz w:val="22"/>
          <w:szCs w:val="22"/>
          <w:lang w:eastAsia="ko-KR"/>
        </w:rPr>
        <w:t xml:space="preserve">digms (except in the case of the DMN, which resolves functional networks </w:t>
      </w:r>
      <w:r w:rsidR="000E2E8D">
        <w:rPr>
          <w:rFonts w:ascii="Times New Roman" w:eastAsia="Times New Roman" w:hAnsi="Times New Roman" w:cs="Times New Roman"/>
          <w:color w:val="000000" w:themeColor="text1"/>
          <w:sz w:val="22"/>
          <w:szCs w:val="22"/>
          <w:lang w:eastAsia="ko-KR"/>
        </w:rPr>
        <w:t xml:space="preserve">active </w:t>
      </w:r>
      <w:r w:rsidR="00F10E84">
        <w:rPr>
          <w:rFonts w:ascii="Times New Roman" w:eastAsia="Times New Roman" w:hAnsi="Times New Roman" w:cs="Times New Roman"/>
          <w:color w:val="000000" w:themeColor="text1"/>
          <w:sz w:val="22"/>
          <w:szCs w:val="22"/>
          <w:lang w:eastAsia="ko-KR"/>
        </w:rPr>
        <w:t>during resting state).</w:t>
      </w:r>
      <w:r w:rsidR="0030740F">
        <w:rPr>
          <w:rFonts w:ascii="Times New Roman" w:eastAsia="Times New Roman" w:hAnsi="Times New Roman" w:cs="Times New Roman"/>
          <w:color w:val="000000" w:themeColor="text1"/>
          <w:sz w:val="22"/>
          <w:szCs w:val="22"/>
          <w:lang w:eastAsia="ko-KR"/>
        </w:rPr>
        <w:t xml:space="preserve"> This measure of connectivity draws connections between regions regardless of direct structural links </w:t>
      </w:r>
      <w:r w:rsidR="008A29EC">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{"citationID":"wi7KmKKD","properties":{"formattedCitation":"({\\i{}22}, {\\i{}23})","plainCitation":"(22, 23)","noteIndex":0},"citationItems":[{"id":4269,"uris":["http://zotero.org/users/7023408/items/6IM4DBTS"],"itemData":{"id":4269,"type":"article-journal","abstract":"Over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Connectivity","DOI":"10.1089/brain.2011.0008","ISSN":"2158-0022","issue":"1","journalAbbreviation":"Brain Connect","language":"eng","note":"PMID: 22432952","page":"13-36","source":"PubMed","title":"Functional and effective connectivity: a review","title-short":"Functional and effective connectivity","volume":"1","author":[{"family":"Friston","given":"Karl J."}],"issued":{"date-parts":[["2011"]]},"citation-key":"fristonFunctionalEffectiveConnectivity2011"}},{"id":4313,"uris":["http://zotero.org/users/7023408/items/2ESCBLTT"],"itemData":{"id":4313,"type":"article-journal","abstract":"The human brain operates in large-scale functional networks. These networks are an expression of temporally correlated activity across brain regions, but how global network properties relate to the neural dynamics of individual regions remains incompletely understood. Here, we show that the brain’s network architecture is tightly linked to critical episodes of neural regularity, visible as spontaneous “complexity drops” in functional magnetic resonance imaging signals. These episodes closely explain functional connectivity strength between regions, subserve the propagation of neural activity patterns, and reflect interindividual differences in age and behavior. Furthermore, complexity drops define neural activity states that dynamically shape the connectivity strength, topological configuration, and hierarchy of brain networks and comprehensively explain known structure-function relationships within the brain. These findings delineate a principled complexity architecture of neural activity—a human “complexome” that underpins the brain’s functional network organization. \n          ,  \n            The functional network architecture of the human brain is tightly linked to critical moments of neural regularity.","container-title":"Science Advances","DOI":"10.1126/sciadv.abq3851","ISSN":"2375-2548","issue":"5","journalAbbreviation":"Sci. Adv.","language":"en","page":"eabq3851","source":"DOI.org (Crossref)","title":"A spatiotemporal complexity architecture of human brain activity","volume":"9","author":[{"family":"Krohn","given":"Stephan"},{"family":"Von Schwanenflug","given":"Nina"},{"family":"Waschke","given":"Leonhard"},{"family":"Romanello","given":"Amy"},{"family":"Gell","given":"Martin"},{"family":"Garrett","given":"Douglas D."},{"family":"Finke","given":"Carsten"}],"issued":{"date-parts":[["2023",2,3]]},"citation-key":"krohnSpatiotemporalComplexityArchitecture2023"}}],"schema":"https://github.com/citation-style-language/schema/raw/master/csl-citation.json"} </w:instrText>
      </w:r>
      <w:r w:rsidR="008A29EC">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22</w:t>
      </w:r>
      <w:r w:rsidR="00A219C5" w:rsidRPr="00A219C5">
        <w:rPr>
          <w:rFonts w:ascii="Times New Roman" w:hAnsi="Times New Roman" w:cs="Times New Roman"/>
          <w:color w:val="000000"/>
          <w:kern w:val="0"/>
          <w:sz w:val="22"/>
        </w:rPr>
        <w:t xml:space="preserve">, </w:t>
      </w:r>
      <w:r w:rsidR="00A219C5" w:rsidRPr="00A219C5">
        <w:rPr>
          <w:rFonts w:ascii="Times New Roman" w:hAnsi="Times New Roman" w:cs="Times New Roman"/>
          <w:i/>
          <w:iCs/>
          <w:color w:val="000000"/>
          <w:kern w:val="0"/>
          <w:sz w:val="22"/>
        </w:rPr>
        <w:t>23</w:t>
      </w:r>
      <w:r w:rsidR="00A219C5" w:rsidRPr="00A219C5">
        <w:rPr>
          <w:rFonts w:ascii="Times New Roman" w:hAnsi="Times New Roman" w:cs="Times New Roman"/>
          <w:color w:val="000000"/>
          <w:kern w:val="0"/>
          <w:sz w:val="22"/>
        </w:rPr>
        <w:t>)</w:t>
      </w:r>
      <w:r w:rsidR="008A29EC">
        <w:rPr>
          <w:rFonts w:ascii="Times New Roman" w:eastAsia="Times New Roman" w:hAnsi="Times New Roman" w:cs="Times New Roman"/>
          <w:color w:val="000000" w:themeColor="text1"/>
          <w:sz w:val="22"/>
          <w:szCs w:val="22"/>
          <w:lang w:eastAsia="ko-KR"/>
        </w:rPr>
        <w:fldChar w:fldCharType="end"/>
      </w:r>
      <w:r w:rsidR="0030740F">
        <w:rPr>
          <w:rFonts w:ascii="Times New Roman" w:eastAsia="Times New Roman" w:hAnsi="Times New Roman" w:cs="Times New Roman"/>
          <w:color w:val="000000" w:themeColor="text1"/>
          <w:sz w:val="22"/>
          <w:szCs w:val="22"/>
          <w:lang w:eastAsia="ko-KR"/>
        </w:rPr>
        <w:t>.</w:t>
      </w:r>
      <w:r w:rsidR="00F10E84">
        <w:rPr>
          <w:rFonts w:ascii="Times New Roman" w:eastAsia="Times New Roman" w:hAnsi="Times New Roman" w:cs="Times New Roman"/>
          <w:color w:val="000000" w:themeColor="text1"/>
          <w:sz w:val="22"/>
          <w:szCs w:val="22"/>
          <w:lang w:eastAsia="ko-KR"/>
        </w:rPr>
        <w:t xml:space="preserve"> </w:t>
      </w:r>
      <w:r w:rsidR="00316B8A">
        <w:rPr>
          <w:rFonts w:ascii="Times New Roman" w:eastAsia="Times New Roman" w:hAnsi="Times New Roman" w:cs="Times New Roman"/>
          <w:color w:val="000000" w:themeColor="text1"/>
          <w:sz w:val="22"/>
          <w:szCs w:val="22"/>
          <w:lang w:eastAsia="ko-KR"/>
        </w:rPr>
        <w:t>In contrast, structural connectivity</w:t>
      </w:r>
      <w:r w:rsidR="00895377">
        <w:rPr>
          <w:rFonts w:ascii="Times New Roman" w:eastAsia="Times New Roman" w:hAnsi="Times New Roman" w:cs="Times New Roman"/>
          <w:color w:val="000000" w:themeColor="text1"/>
          <w:sz w:val="22"/>
          <w:szCs w:val="22"/>
          <w:lang w:eastAsia="ko-KR"/>
        </w:rPr>
        <w:t xml:space="preserve"> infers the presence and direction of white matter fibers</w:t>
      </w:r>
      <w:r w:rsidR="003E0D6A">
        <w:rPr>
          <w:rFonts w:ascii="Times New Roman" w:eastAsia="Times New Roman" w:hAnsi="Times New Roman" w:cs="Times New Roman"/>
          <w:color w:val="000000" w:themeColor="text1"/>
          <w:sz w:val="22"/>
          <w:szCs w:val="22"/>
          <w:lang w:eastAsia="ko-KR"/>
        </w:rPr>
        <w:t xml:space="preserve"> between regions</w:t>
      </w:r>
      <w:r w:rsidR="00895377">
        <w:rPr>
          <w:rFonts w:ascii="Times New Roman" w:eastAsia="Times New Roman" w:hAnsi="Times New Roman" w:cs="Times New Roman"/>
          <w:color w:val="000000" w:themeColor="text1"/>
          <w:sz w:val="22"/>
          <w:szCs w:val="22"/>
          <w:lang w:eastAsia="ko-KR"/>
        </w:rPr>
        <w:t xml:space="preserve"> </w:t>
      </w:r>
      <w:r w:rsidR="0044184B">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{"citationID":"fsL3mnhx","properties":{"formattedCitation":"({\\i{}24})","plainCitation":"(24)","noteIndex":0},"citationItems":[{"id":4309,"uris":["http://zotero.org/users/7023408/items/CH62Y4F6"],"itemData":{"id":4309,"type":"article-journal","abstract":"Imaging the connectome in vivo has become feasible through the integration of several rapidly developing fields of science and engineering, namely magnetic resonance imaging and in particular diffusion MRI on one side, image processing and network theory on the other side. This framework brings in vivo brain imaging closer to the real topology of the brain, contributing to narrow the existing gap between our understanding of brain structural organization on one side and of human behavior and cognition on the other side. Given the seminal technical progresses achieved in the last few years, it may be ready to tackle even greater challenges, namely exploring disease mechanisms. In this review we analyze the current situation from the technical and biological perspectives. First, we critically review the technical solutions proposed in the literature to perform clinical studies. We analyze for each step (i.e. MRI acquisition, network building and network statistical analysis) the advantages and potential limitations. In the second part we review the current literature available on a selected subset of diseases, namely, dementia, schizophrenia, multiple sclerosis and others, and try to extract for each disease the common findings and main differences between reports.","container-title":"NeuroImage","DOI":"10.1016/j.neuroimage.2013.04.056","ISSN":"1095-9572","journalAbbreviation":"Neuroimage","language":"eng","note":"PMID: 23623973","page":"515-526","source":"PubMed","title":"Structural connectomics in brain diseases","volume":"80","author":[{"family":"Griffa","given":"Alessandra"},{"family":"Baumann","given":"Philipp S."},{"family":"Thiran","given":"Jean-Philippe"},{"family":"Hagmann","given":"Patric"}],"issued":{"date-parts":[["2013",10,15]]},"citation-key":"griffaStructuralConnectomicsBrain2013"}}],"schema":"https://github.com/citation-style-language/schema/raw/master/csl-citation.json"} </w:instrText>
      </w:r>
      <w:r w:rsidR="0044184B">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24</w:t>
      </w:r>
      <w:r w:rsidR="00A219C5" w:rsidRPr="00A219C5">
        <w:rPr>
          <w:rFonts w:ascii="Times New Roman" w:hAnsi="Times New Roman" w:cs="Times New Roman"/>
          <w:color w:val="000000"/>
          <w:kern w:val="0"/>
          <w:sz w:val="22"/>
        </w:rPr>
        <w:t>)</w:t>
      </w:r>
      <w:r w:rsidR="0044184B">
        <w:rPr>
          <w:rFonts w:ascii="Times New Roman" w:eastAsia="Times New Roman" w:hAnsi="Times New Roman" w:cs="Times New Roman"/>
          <w:color w:val="000000" w:themeColor="text1"/>
          <w:sz w:val="22"/>
          <w:szCs w:val="22"/>
          <w:lang w:eastAsia="ko-KR"/>
        </w:rPr>
        <w:fldChar w:fldCharType="end"/>
      </w:r>
      <w:r w:rsidR="00F10E84">
        <w:rPr>
          <w:rFonts w:ascii="Times New Roman" w:eastAsia="Times New Roman" w:hAnsi="Times New Roman" w:cs="Times New Roman"/>
          <w:color w:val="000000" w:themeColor="text1"/>
          <w:sz w:val="22"/>
          <w:szCs w:val="22"/>
          <w:lang w:eastAsia="ko-KR"/>
        </w:rPr>
        <w:t>.</w:t>
      </w:r>
      <w:r w:rsidR="003E0D6A">
        <w:rPr>
          <w:rFonts w:ascii="Times New Roman" w:eastAsia="Times New Roman" w:hAnsi="Times New Roman" w:cs="Times New Roman"/>
          <w:color w:val="000000" w:themeColor="text1"/>
          <w:sz w:val="22"/>
          <w:szCs w:val="22"/>
          <w:lang w:eastAsia="ko-KR"/>
        </w:rPr>
        <w:t xml:space="preserve"> While these metrics are both useful and accessible through modern imaging techniques, they do not resolve the cause-and-effect relationships between structures, or the nuanced physiology indicative of one neuronal population’s influence over another. </w:t>
      </w:r>
    </w:p>
    <w:p w14:paraId="7241E34B" w14:textId="33CE8A4D" w:rsidR="003E0D6A" w:rsidRDefault="00B0343D">
      <w:pPr>
        <w:rPr>
          <w:rFonts w:ascii="Times New Roman" w:eastAsia="Times New Roman" w:hAnsi="Times New Roman" w:cs="Times New Roman"/>
          <w:color w:val="000000" w:themeColor="text1"/>
          <w:sz w:val="22"/>
          <w:szCs w:val="22"/>
          <w:lang w:eastAsia="ko-KR"/>
        </w:rPr>
      </w:pPr>
      <w:r>
        <w:rPr>
          <w:rFonts w:ascii="Times New Roman" w:eastAsia="Times New Roman" w:hAnsi="Times New Roman" w:cs="Times New Roman"/>
          <w:color w:val="000000" w:themeColor="text1"/>
          <w:sz w:val="22"/>
          <w:szCs w:val="22"/>
          <w:lang w:eastAsia="ko-KR"/>
        </w:rPr>
        <w:t>E</w:t>
      </w:r>
      <w:r w:rsidR="003E0D6A">
        <w:rPr>
          <w:rFonts w:ascii="Times New Roman" w:eastAsia="Times New Roman" w:hAnsi="Times New Roman" w:cs="Times New Roman"/>
          <w:color w:val="000000" w:themeColor="text1"/>
          <w:sz w:val="22"/>
          <w:szCs w:val="22"/>
          <w:lang w:eastAsia="ko-KR"/>
        </w:rPr>
        <w:t xml:space="preserve">ffective connectivity </w:t>
      </w:r>
      <w:r>
        <w:rPr>
          <w:rFonts w:ascii="Times New Roman" w:eastAsia="Times New Roman" w:hAnsi="Times New Roman" w:cs="Times New Roman"/>
          <w:color w:val="000000" w:themeColor="text1"/>
          <w:sz w:val="22"/>
          <w:szCs w:val="22"/>
          <w:lang w:eastAsia="ko-KR"/>
        </w:rPr>
        <w:t>refers to the</w:t>
      </w:r>
      <w:r w:rsidR="003E0D6A">
        <w:rPr>
          <w:rFonts w:ascii="Times New Roman" w:eastAsia="Times New Roman" w:hAnsi="Times New Roman" w:cs="Times New Roman"/>
          <w:color w:val="000000" w:themeColor="text1"/>
          <w:sz w:val="22"/>
          <w:szCs w:val="22"/>
          <w:lang w:eastAsia="ko-KR"/>
        </w:rPr>
        <w:t xml:space="preserve"> causal connections between brain regions, specifically reflecting the</w:t>
      </w:r>
      <w:r w:rsidR="00163B2E">
        <w:rPr>
          <w:rFonts w:ascii="Times New Roman" w:eastAsia="Times New Roman" w:hAnsi="Times New Roman" w:cs="Times New Roman"/>
          <w:color w:val="000000" w:themeColor="text1"/>
          <w:sz w:val="22"/>
          <w:szCs w:val="22"/>
          <w:lang w:eastAsia="ko-KR"/>
        </w:rPr>
        <w:t xml:space="preserve"> influence one neuronal population has over another </w:t>
      </w:r>
      <w:r w:rsidR="00163B2E">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{"citationID":"1ZuV2sSC","properties":{"formattedCitation":"({\\i{}22})","plainCitation":"(22)","noteIndex":0},"citationItems":[{"id":4269,"uris":["http://zotero.org/users/7023408/items/6IM4DBTS"],"itemData":{"id":4269,"type":"article-journal","abstract":"Over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Connectivity","DOI":"10.1089/brain.2011.0008","ISSN":"2158-0022","issue":"1","journalAbbreviation":"Brain Connect","language":"eng","note":"PMID: 22432952","page":"13-36","source":"PubMed","title":"Functional and effective connectivity: a review","title-short":"Functional and effective connectivity","volume":"1","author":[{"family":"Friston","given":"Karl J."}],"issued":{"date-parts":[["2011"]]},"citation-key":"fristonFunctionalEffectiveConnectivity2011"}}],"schema":"https://github.com/citation-style-language/schema/raw/master/csl-citation.json"} </w:instrText>
      </w:r>
      <w:r w:rsidR="00163B2E">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22</w:t>
      </w:r>
      <w:r w:rsidR="00A219C5" w:rsidRPr="00A219C5">
        <w:rPr>
          <w:rFonts w:ascii="Times New Roman" w:hAnsi="Times New Roman" w:cs="Times New Roman"/>
          <w:color w:val="000000"/>
          <w:kern w:val="0"/>
          <w:sz w:val="22"/>
        </w:rPr>
        <w:t>)</w:t>
      </w:r>
      <w:r w:rsidR="00163B2E">
        <w:rPr>
          <w:rFonts w:ascii="Times New Roman" w:eastAsia="Times New Roman" w:hAnsi="Times New Roman" w:cs="Times New Roman"/>
          <w:color w:val="000000" w:themeColor="text1"/>
          <w:sz w:val="22"/>
          <w:szCs w:val="22"/>
          <w:lang w:eastAsia="ko-KR"/>
        </w:rPr>
        <w:fldChar w:fldCharType="end"/>
      </w:r>
      <w:r w:rsidR="00163B2E">
        <w:rPr>
          <w:rFonts w:ascii="Times New Roman" w:eastAsia="Times New Roman" w:hAnsi="Times New Roman" w:cs="Times New Roman"/>
          <w:color w:val="000000" w:themeColor="text1"/>
          <w:sz w:val="22"/>
          <w:szCs w:val="22"/>
          <w:lang w:eastAsia="ko-KR"/>
        </w:rPr>
        <w:t>. While this measure can be inferred statistically, interventional methods such as direct electrical stimulation of brain regions provide causal models of effective connectivity. Specifically, direct single-pulse electrical stimulation (SPES) of brain regions leads to cortico-cortical evoked potentials (CCEPs) in effectively connected regions. Subsequently, the analysis of CCEP quality and character</w:t>
      </w:r>
      <w:r w:rsidR="007657A0">
        <w:rPr>
          <w:rFonts w:ascii="Times New Roman" w:eastAsia="Times New Roman" w:hAnsi="Times New Roman" w:cs="Times New Roman"/>
          <w:color w:val="000000" w:themeColor="text1"/>
          <w:sz w:val="22"/>
          <w:szCs w:val="22"/>
          <w:lang w:eastAsia="ko-KR"/>
        </w:rPr>
        <w:t xml:space="preserve"> provides insights into the </w:t>
      </w:r>
      <w:r w:rsidR="00D82768">
        <w:rPr>
          <w:rFonts w:ascii="Times New Roman" w:eastAsia="Times New Roman" w:hAnsi="Times New Roman" w:cs="Times New Roman"/>
          <w:color w:val="000000" w:themeColor="text1"/>
          <w:sz w:val="22"/>
          <w:szCs w:val="22"/>
          <w:lang w:eastAsia="ko-KR"/>
        </w:rPr>
        <w:t xml:space="preserve">mechanisms of how the stimulated region influences effectively connected areas </w:t>
      </w:r>
      <w:r w:rsidR="00D82768">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{"citationID":"jrffvGV2","properties":{"formattedCitation":"({\\i{}25})","plainCitation":"(25)","noteIndex":0},"citationItems":[{"id":3516,"uris":["http://zotero.org/users/7023408/items/PIPUQARN"],"itemData":{"id":3516,"type":"article-journal","abstract":"The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D."}],"issued":{"date-parts":[["2014",10,5]]},"citation-key":"kellerMappingHumanBrain2014"}}],"schema":"https://github.com/citation-style-language/schema/raw/master/csl-citation.json"} </w:instrText>
      </w:r>
      <w:r w:rsidR="00D82768">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25</w:t>
      </w:r>
      <w:r w:rsidR="00A219C5" w:rsidRPr="00A219C5">
        <w:rPr>
          <w:rFonts w:ascii="Times New Roman" w:hAnsi="Times New Roman" w:cs="Times New Roman"/>
          <w:color w:val="000000"/>
          <w:kern w:val="0"/>
          <w:sz w:val="22"/>
        </w:rPr>
        <w:t>)</w:t>
      </w:r>
      <w:r w:rsidR="00D82768">
        <w:rPr>
          <w:rFonts w:ascii="Times New Roman" w:eastAsia="Times New Roman" w:hAnsi="Times New Roman" w:cs="Times New Roman"/>
          <w:color w:val="000000" w:themeColor="text1"/>
          <w:sz w:val="22"/>
          <w:szCs w:val="22"/>
          <w:lang w:eastAsia="ko-KR"/>
        </w:rPr>
        <w:fldChar w:fldCharType="end"/>
      </w:r>
      <w:r w:rsidR="007657A0">
        <w:rPr>
          <w:rFonts w:ascii="Times New Roman" w:eastAsia="Times New Roman" w:hAnsi="Times New Roman" w:cs="Times New Roman"/>
          <w:color w:val="000000" w:themeColor="text1"/>
          <w:sz w:val="22"/>
          <w:szCs w:val="22"/>
          <w:lang w:eastAsia="ko-KR"/>
        </w:rPr>
        <w:t xml:space="preserve">. For example, </w:t>
      </w:r>
      <w:r w:rsidR="00D82768">
        <w:rPr>
          <w:rFonts w:ascii="Times New Roman" w:eastAsia="Times New Roman" w:hAnsi="Times New Roman" w:cs="Times New Roman"/>
          <w:color w:val="000000" w:themeColor="text1"/>
          <w:sz w:val="22"/>
          <w:szCs w:val="22"/>
          <w:lang w:eastAsia="ko-KR"/>
        </w:rPr>
        <w:t xml:space="preserve">CCEP </w:t>
      </w:r>
      <w:r w:rsidR="00B5714F">
        <w:rPr>
          <w:rFonts w:ascii="Times New Roman" w:eastAsia="Times New Roman" w:hAnsi="Times New Roman" w:cs="Times New Roman"/>
          <w:color w:val="000000" w:themeColor="text1"/>
          <w:sz w:val="22"/>
          <w:szCs w:val="22"/>
          <w:lang w:eastAsia="ko-KR"/>
        </w:rPr>
        <w:t>magnitude</w:t>
      </w:r>
      <w:r w:rsidR="00D82768">
        <w:rPr>
          <w:rFonts w:ascii="Times New Roman" w:eastAsia="Times New Roman" w:hAnsi="Times New Roman" w:cs="Times New Roman"/>
          <w:color w:val="000000" w:themeColor="text1"/>
          <w:sz w:val="22"/>
          <w:szCs w:val="22"/>
          <w:lang w:eastAsia="ko-KR"/>
        </w:rPr>
        <w:t xml:space="preserve"> indicates the strength of directional connectivity, CCEP latency </w:t>
      </w:r>
      <w:r w:rsidR="00C70053">
        <w:rPr>
          <w:rFonts w:ascii="Times New Roman" w:eastAsia="Times New Roman" w:hAnsi="Times New Roman" w:cs="Times New Roman"/>
          <w:color w:val="000000" w:themeColor="text1"/>
          <w:sz w:val="22"/>
          <w:szCs w:val="22"/>
          <w:lang w:eastAsia="ko-KR"/>
        </w:rPr>
        <w:t>reflects</w:t>
      </w:r>
      <w:r w:rsidR="00D82768">
        <w:rPr>
          <w:rFonts w:ascii="Times New Roman" w:eastAsia="Times New Roman" w:hAnsi="Times New Roman" w:cs="Times New Roman"/>
          <w:color w:val="000000" w:themeColor="text1"/>
          <w:sz w:val="22"/>
          <w:szCs w:val="22"/>
          <w:lang w:eastAsia="ko-KR"/>
        </w:rPr>
        <w:t xml:space="preserve"> the </w:t>
      </w:r>
      <w:r w:rsidR="00C70053">
        <w:rPr>
          <w:rFonts w:ascii="Times New Roman" w:eastAsia="Times New Roman" w:hAnsi="Times New Roman" w:cs="Times New Roman"/>
          <w:color w:val="000000" w:themeColor="text1"/>
          <w:sz w:val="22"/>
          <w:szCs w:val="22"/>
          <w:lang w:eastAsia="ko-KR"/>
        </w:rPr>
        <w:t xml:space="preserve">fiber pathway </w:t>
      </w:r>
      <w:r w:rsidR="00D82768">
        <w:rPr>
          <w:rFonts w:ascii="Times New Roman" w:eastAsia="Times New Roman" w:hAnsi="Times New Roman" w:cs="Times New Roman"/>
          <w:color w:val="000000" w:themeColor="text1"/>
          <w:sz w:val="22"/>
          <w:szCs w:val="22"/>
          <w:lang w:eastAsia="ko-KR"/>
        </w:rPr>
        <w:t xml:space="preserve">distance </w:t>
      </w:r>
      <w:r w:rsidR="00C70053">
        <w:rPr>
          <w:rFonts w:ascii="Times New Roman" w:eastAsia="Times New Roman" w:hAnsi="Times New Roman" w:cs="Times New Roman"/>
          <w:color w:val="000000" w:themeColor="text1"/>
          <w:sz w:val="22"/>
          <w:szCs w:val="22"/>
          <w:lang w:eastAsia="ko-KR"/>
        </w:rPr>
        <w:t xml:space="preserve">from </w:t>
      </w:r>
      <w:r w:rsidR="00D82768">
        <w:rPr>
          <w:rFonts w:ascii="Times New Roman" w:eastAsia="Times New Roman" w:hAnsi="Times New Roman" w:cs="Times New Roman"/>
          <w:color w:val="000000" w:themeColor="text1"/>
          <w:sz w:val="22"/>
          <w:szCs w:val="22"/>
          <w:lang w:eastAsia="ko-KR"/>
        </w:rPr>
        <w:t xml:space="preserve">the site of stimulation, and </w:t>
      </w:r>
      <w:r w:rsidR="00C70053">
        <w:rPr>
          <w:rFonts w:ascii="Times New Roman" w:eastAsia="Times New Roman" w:hAnsi="Times New Roman" w:cs="Times New Roman"/>
          <w:color w:val="000000" w:themeColor="text1"/>
          <w:sz w:val="22"/>
          <w:szCs w:val="22"/>
          <w:lang w:eastAsia="ko-KR"/>
        </w:rPr>
        <w:t>CCEP morphological features can provide insight into the neurophysiological processes that influence effective pathways (e.g.</w:t>
      </w:r>
      <w:r w:rsidR="002C1334">
        <w:rPr>
          <w:rFonts w:ascii="Times New Roman" w:eastAsia="Times New Roman" w:hAnsi="Times New Roman" w:cs="Times New Roman"/>
          <w:color w:val="000000" w:themeColor="text1"/>
          <w:sz w:val="22"/>
          <w:szCs w:val="22"/>
          <w:lang w:eastAsia="ko-KR"/>
        </w:rPr>
        <w:t>,</w:t>
      </w:r>
      <w:r w:rsidR="00C70053">
        <w:rPr>
          <w:rFonts w:ascii="Times New Roman" w:eastAsia="Times New Roman" w:hAnsi="Times New Roman" w:cs="Times New Roman"/>
          <w:color w:val="000000" w:themeColor="text1"/>
          <w:sz w:val="22"/>
          <w:szCs w:val="22"/>
          <w:lang w:eastAsia="ko-KR"/>
        </w:rPr>
        <w:t xml:space="preserve"> connection directness,</w:t>
      </w:r>
      <w:r w:rsidR="00D81356">
        <w:rPr>
          <w:rFonts w:ascii="Times New Roman" w:eastAsia="Times New Roman" w:hAnsi="Times New Roman" w:cs="Times New Roman"/>
          <w:color w:val="000000" w:themeColor="text1"/>
          <w:sz w:val="22"/>
          <w:szCs w:val="22"/>
          <w:lang w:eastAsia="ko-KR"/>
        </w:rPr>
        <w:t xml:space="preserve"> pathway signatures, directionality of connections) </w:t>
      </w:r>
      <w:r w:rsidR="00D81356">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kBxef69u","properties":{"formattedCitation":"({\\i{}26}\\uc0\\u8211{}{\\i{}30})","plainCitation":"(26–30)","noteIndex":0},"citationItems":[{"id":4270,"uris":["http://zotero.org/users/7023408/items/3YRNXVAK"],"itemData":{"id":4270,"type":"article-journal","abstract":"Objective\nThe aim of the present study was to investigate the optimal stimulation parameters for eliciting cortico-cortical evoked potentials (CCEPs) for mapping functional and epileptogenic networks.\nMethods\nWe studied 13 patients with refractory epilepsy undergoing intracranial EEG monitoring. We systematically titrated the intensity of single-pulse electrical stimulation at multiple sites to assess the effect of increasing current on salient features of CCEPs such as N1 potential magnitude, signal to noise ratio, waveform similarity, and spatial distribution of responses. Responses at each incremental stimulation setting were compared to each other and to a final set of responses at the maximum intensity used in each patient (3.5–10 mA, median 6 mA).\nResults\nWe found that with a biphasic 0.15 ms/phase pulse at least 2–4 mA is needed to differentiate between non-responsive and responsive sites, and that stimulation currents of 6–7 mA are needed to maximize amplitude and spatial distribution of N1 responses and stabilize waveform morphology.\nConclusions\nWe determined a minimum stimulation threshold necessary for eliciting CCEPs, as well as a point at which the current-dependent relationship of several response metrics all saturate.\nSignificance\nThis titration study provides practical, immediate guidance on optimal stimulation parameters to study specific features of CCEPs, which have been increasingly used to map both functional and epileptic brain networks in humans.","container-title":"Clinical Neurophysiology","DOI":"10.1016/j.clinph.2021.08.008","ISSN":"1388-2457","issue":"11","journalAbbreviation":"Clinical Neurophysiology","page":"2766-2777","source":"ScienceDirect","title":"Effects of stimulation intensity on intracranial cortico-cortical evoked potentials: A titration study","title-short":"Effects of stimulation intensity on intracranial cortico-cortical evoked potentials","volume":"132","author":[{"family":"Hays","given":"Mark A."},{"family":"Smith","given":"Rachel J."},{"family":"Haridas","given":"Babitha"},{"family":"Coogan","given":"Christopher"},{"family":"Crone","given":"Nathan E."},{"family":"Kang","given":"Joon Y."}],"issued":{"date-parts":[["2021",11,1]]},"citation-key":"haysEffectsStimulationIntensity2021"}},{"id":4268,"uris":["http://zotero.org/users/7023408/items/ZAVRVS7A"],"itemData":{"id":4268,"type":"article-journal","abstract":"Background\nCortico-cortical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4310,"uris":["http://zotero.org/users/7023408/items/YAYVT4FM"],"itemData":{"id":4310,"type":"article-journal","abstract":"Background\nCortico-cortical evoked potentials (CCEP) are a technique using low frequency stimulation to infer regions of cortical connectivity in patients undergoing Stereo-electroencephalographic (SEEG) monitoring for refractory epilepsy. Little attention has been given to volume conducted components of CCEP responses, and how they may inflate CCEP connectivity.\nNew Method\nUsing data from 37 SEEG-CCEPs patients, a novel method was developed to quantify stimulation artefact by measuring the peak-to-peak voltage difference in the first 10 ms after CCEP stimulation. Early responses to CCEP stimulation were also quantified by calculating the root mean square of the 10−100 ms period after each stimulation pulse. Both the early CCEP responses and amplitude of stimulation artefact were regressed by physical distance, stimulation waveform, stimulation intensity and tissue type to identify conduction related properties.\nResults\nBoth stimulation artefact and early responses were correlated strongly with the inverse square of the distance from the stimulating electrode. Once corrected for the inverse square distance from the electrode, stimulation artefact and CCEP responses showed a linear relationship, indicating a volume conducted component.\nComparison with existing methods\nThis is the first study to use stimulation artefact to quantify volume conducted potentials, and is the first to quantify volume conducted potentials in SEEG. A single prior study utilizing electrocorticography has shown that parts of early CCEP responses are due to volume conduction.\nConclusions\nThe linear relationship between stimulation artefact amplitude and CCEP early responses, once corrected for distance, suggests that stimulation artefact can be used as a measure to quantify the volume conducted components.","container-title":"Journal of Neuroscience Methods","DOI":"10.1016/j.jneumeth.2020.108639","ISSN":"0165-0270","journalAbbreviation":"Journal of Neuroscience Methods","page":"108639","source":"ScienceDirect","title":"Quantifying volume conducted potential using stimulation artefact in cortico-cortical evoked potentials","volume":"337","author":[{"family":"Prime","given":"David"},{"family":"Woolfe","given":"Matthew"},{"family":"O’Keefe","given":"Steven"},{"family":"Rowlands","given":"David"},{"family":"Dionisio","given":"Sasha"}],"issued":{"date-parts":[["2020",5,1]]},"citation-key":"primeQuantifyingVolumeConducted2020"}},{"id":3509,"uris":["http://zotero.org/users/7023408/items/JDPDPDPW"],"itemData":{"id":3509,"type":"chapter","abstract":"While many human imaging methodologies probe the structural and functional connectivity of the brain, techniques to investigate cortical networks in a causal and directional manner are critical but limited. The use of iEEG enables several approaches to directly characterize brain regions that are functionally connected and in some cases also establish directionality of these connections. In this chapter we focus on the basis, method and application of the cortico-cortical evoked potential (CCEP), whereby electrical pulses applied to one set of intracranial electrodes yields an electrically-induced brain response at local and remote regions. In this chapter, CCEPs are first contextualized within common brain connectivity methods used to define cortical networks and how CCEP adds unique information. Second, the practical and analytical considerations when using CCEP are discussed. Third, we review the neurophysiology underlying CCEPs and the applications of CCEPs including exploring functional and pathological brain networks and probing brain plasticity. Finally, we end with a discussion of limitations, caveats, and directions to improve CCEP utilization in the future.","collection-title":"Studies in Neuroscience, Psychology and Behavioral Economics","container-title":"Intracranial EEG: A Guide for Cognitive Neuroscientists","event-place":"Cham","ISBN":"978-3-031-20910-9","language":"en","note":"DOI: 10.1007/978-3-031-20910-9_40","page":"639-655","publisher":"Springer International Publishing","publisher-place":"Cham","source":"Springer Link","title":"How Can I Investigate Causal Brain Networks with iEEG?","URL":"https://doi.org/10.1007/978-3-031-20910-9_40","author":[{"family":"Huang","given":"Yuhao"},{"family":"Keller","given":"Corey"}],"editor":[{"family":"Axmacher","given":"Nikolai"}],"accessed":{"date-parts":[["2023",11,2]]},"issued":{"date-parts":[["2023"]]},"citation-key":"huangHowCanInvestigate2023"}}],"schema":"https://github.com/citation-style-language/schema/raw/master/csl-citation.json"} </w:instrText>
      </w:r>
      <w:r w:rsidR="00D81356">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26</w:t>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30</w:t>
      </w:r>
      <w:r w:rsidR="00A219C5" w:rsidRPr="00A219C5">
        <w:rPr>
          <w:rFonts w:ascii="Times New Roman" w:hAnsi="Times New Roman" w:cs="Times New Roman"/>
          <w:color w:val="000000"/>
          <w:kern w:val="0"/>
          <w:sz w:val="22"/>
        </w:rPr>
        <w:t>)</w:t>
      </w:r>
      <w:r w:rsidR="00D81356">
        <w:rPr>
          <w:rFonts w:ascii="Times New Roman" w:eastAsia="Times New Roman" w:hAnsi="Times New Roman" w:cs="Times New Roman"/>
          <w:color w:val="000000" w:themeColor="text1"/>
          <w:sz w:val="22"/>
          <w:szCs w:val="22"/>
          <w:lang w:eastAsia="ko-KR"/>
        </w:rPr>
        <w:fldChar w:fldCharType="end"/>
      </w:r>
      <w:r w:rsidR="00D81356">
        <w:rPr>
          <w:rFonts w:ascii="Times New Roman" w:eastAsia="Times New Roman" w:hAnsi="Times New Roman" w:cs="Times New Roman"/>
          <w:color w:val="000000" w:themeColor="text1"/>
          <w:sz w:val="22"/>
          <w:szCs w:val="22"/>
          <w:lang w:eastAsia="ko-KR"/>
        </w:rPr>
        <w:t>.</w:t>
      </w:r>
      <w:r w:rsidR="00C70053">
        <w:rPr>
          <w:rFonts w:ascii="Times New Roman" w:eastAsia="Times New Roman" w:hAnsi="Times New Roman" w:cs="Times New Roman"/>
          <w:color w:val="000000" w:themeColor="text1"/>
          <w:sz w:val="22"/>
          <w:szCs w:val="22"/>
          <w:lang w:eastAsia="ko-KR"/>
        </w:rPr>
        <w:t xml:space="preserve"> </w:t>
      </w:r>
    </w:p>
    <w:p w14:paraId="09090988" w14:textId="76EC0511" w:rsidR="00D81356" w:rsidRDefault="00D82768">
      <w:pPr>
        <w:rPr>
          <w:rFonts w:ascii="Times New Roman" w:eastAsia="Times New Roman" w:hAnsi="Times New Roman" w:cs="Times New Roman"/>
          <w:color w:val="000000" w:themeColor="text1"/>
          <w:sz w:val="22"/>
          <w:szCs w:val="22"/>
          <w:lang w:eastAsia="ko-KR"/>
        </w:rPr>
      </w:pPr>
      <w:r>
        <w:rPr>
          <w:rFonts w:ascii="Times New Roman" w:eastAsia="Times New Roman" w:hAnsi="Times New Roman" w:cs="Times New Roman"/>
          <w:color w:val="000000" w:themeColor="text1"/>
          <w:sz w:val="22"/>
          <w:szCs w:val="22"/>
          <w:lang w:eastAsia="ko-KR"/>
        </w:rPr>
        <w:lastRenderedPageBreak/>
        <w:t xml:space="preserve">While CCEP analysis has the potential to reveal invaluable insights into the dynamics and function of neural systems, the lack of </w:t>
      </w:r>
      <w:r w:rsidR="00C70053">
        <w:rPr>
          <w:rFonts w:ascii="Times New Roman" w:eastAsia="Times New Roman" w:hAnsi="Times New Roman" w:cs="Times New Roman"/>
          <w:color w:val="000000" w:themeColor="text1"/>
          <w:sz w:val="22"/>
          <w:szCs w:val="22"/>
          <w:lang w:eastAsia="ko-KR"/>
        </w:rPr>
        <w:t xml:space="preserve">a </w:t>
      </w:r>
      <w:r>
        <w:rPr>
          <w:rFonts w:ascii="Times New Roman" w:eastAsia="Times New Roman" w:hAnsi="Times New Roman" w:cs="Times New Roman"/>
          <w:color w:val="000000" w:themeColor="text1"/>
          <w:sz w:val="22"/>
          <w:szCs w:val="22"/>
          <w:lang w:eastAsia="ko-KR"/>
        </w:rPr>
        <w:t>formally established methodology and analysis</w:t>
      </w:r>
      <w:r w:rsidR="00C70053">
        <w:rPr>
          <w:rFonts w:ascii="Times New Roman" w:eastAsia="Times New Roman" w:hAnsi="Times New Roman" w:cs="Times New Roman"/>
          <w:color w:val="000000" w:themeColor="text1"/>
          <w:sz w:val="22"/>
          <w:szCs w:val="22"/>
          <w:lang w:eastAsia="ko-KR"/>
        </w:rPr>
        <w:t xml:space="preserve"> standard limits the utility and interpretability of effective connectivity characterization</w:t>
      </w:r>
      <w:r w:rsidR="00D81356">
        <w:rPr>
          <w:rFonts w:ascii="Times New Roman" w:eastAsia="Times New Roman" w:hAnsi="Times New Roman" w:cs="Times New Roman"/>
          <w:color w:val="000000" w:themeColor="text1"/>
          <w:sz w:val="22"/>
          <w:szCs w:val="22"/>
          <w:lang w:eastAsia="ko-KR"/>
        </w:rPr>
        <w:t xml:space="preserve"> </w:t>
      </w:r>
      <w:r w:rsidR="00D81356">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{"citationID":"dZwfzTon","properties":{"formattedCitation":"({\\i{}28}, {\\i{}31})","plainCitation":"(28, 31)","noteIndex":0},"citationItems":[{"id":4293,"uris":["http://zotero.org/users/7023408/items/DUZJRH6R"],"itemData":{"id":4293,"type":"article-journal","abstract":"Single-pulse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J."},{"family":"Müller","given":"Klaus-Robert"},{"family":"Hermes","given":"Dora"}],"issued":{"date-parts":[["2021",9,2]]},"citation-key":"millerBasisProfileCurve2021"}}],"schema":"https://github.com/citation-style-language/schema/raw/master/csl-citation.json"} </w:instrText>
      </w:r>
      <w:r w:rsidR="00D81356">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28</w:t>
      </w:r>
      <w:r w:rsidR="00A219C5" w:rsidRPr="00A219C5">
        <w:rPr>
          <w:rFonts w:ascii="Times New Roman" w:hAnsi="Times New Roman" w:cs="Times New Roman"/>
          <w:color w:val="000000"/>
          <w:kern w:val="0"/>
          <w:sz w:val="22"/>
        </w:rPr>
        <w:t xml:space="preserve">, </w:t>
      </w:r>
      <w:r w:rsidR="00A219C5" w:rsidRPr="00A219C5">
        <w:rPr>
          <w:rFonts w:ascii="Times New Roman" w:hAnsi="Times New Roman" w:cs="Times New Roman"/>
          <w:i/>
          <w:iCs/>
          <w:color w:val="000000"/>
          <w:kern w:val="0"/>
          <w:sz w:val="22"/>
        </w:rPr>
        <w:t>31</w:t>
      </w:r>
      <w:r w:rsidR="00A219C5" w:rsidRPr="00A219C5">
        <w:rPr>
          <w:rFonts w:ascii="Times New Roman" w:hAnsi="Times New Roman" w:cs="Times New Roman"/>
          <w:color w:val="000000"/>
          <w:kern w:val="0"/>
          <w:sz w:val="22"/>
        </w:rPr>
        <w:t>)</w:t>
      </w:r>
      <w:r w:rsidR="00D81356">
        <w:rPr>
          <w:rFonts w:ascii="Times New Roman" w:eastAsia="Times New Roman" w:hAnsi="Times New Roman" w:cs="Times New Roman"/>
          <w:color w:val="000000" w:themeColor="text1"/>
          <w:sz w:val="22"/>
          <w:szCs w:val="22"/>
          <w:lang w:eastAsia="ko-KR"/>
        </w:rPr>
        <w:fldChar w:fldCharType="end"/>
      </w:r>
      <w:r>
        <w:rPr>
          <w:rFonts w:ascii="Times New Roman" w:eastAsia="Times New Roman" w:hAnsi="Times New Roman" w:cs="Times New Roman"/>
          <w:color w:val="000000" w:themeColor="text1"/>
          <w:sz w:val="22"/>
          <w:szCs w:val="22"/>
          <w:lang w:eastAsia="ko-KR"/>
        </w:rPr>
        <w:t xml:space="preserve">. This is especially true for evaluating the effective networks of the CC, as its functional complexity and </w:t>
      </w:r>
      <w:r w:rsidR="00C70053">
        <w:rPr>
          <w:rFonts w:ascii="Times New Roman" w:eastAsia="Times New Roman" w:hAnsi="Times New Roman" w:cs="Times New Roman"/>
          <w:color w:val="000000" w:themeColor="text1"/>
          <w:sz w:val="22"/>
          <w:szCs w:val="22"/>
          <w:lang w:eastAsia="ko-KR"/>
        </w:rPr>
        <w:t xml:space="preserve">highly integrated nature </w:t>
      </w:r>
      <w:r w:rsidR="002C1334">
        <w:rPr>
          <w:rFonts w:ascii="Times New Roman" w:eastAsia="Times New Roman" w:hAnsi="Times New Roman" w:cs="Times New Roman"/>
          <w:color w:val="000000" w:themeColor="text1"/>
          <w:sz w:val="22"/>
          <w:szCs w:val="22"/>
          <w:lang w:eastAsia="ko-KR"/>
        </w:rPr>
        <w:t xml:space="preserve">likely follow </w:t>
      </w:r>
      <w:r w:rsidR="00D81356">
        <w:rPr>
          <w:rFonts w:ascii="Times New Roman" w:eastAsia="Times New Roman" w:hAnsi="Times New Roman" w:cs="Times New Roman"/>
          <w:color w:val="000000" w:themeColor="text1"/>
          <w:sz w:val="22"/>
          <w:szCs w:val="22"/>
          <w:lang w:eastAsia="ko-KR"/>
        </w:rPr>
        <w:t>intricate</w:t>
      </w:r>
      <w:r w:rsidR="00C70053">
        <w:rPr>
          <w:rFonts w:ascii="Times New Roman" w:eastAsia="Times New Roman" w:hAnsi="Times New Roman" w:cs="Times New Roman"/>
          <w:color w:val="000000" w:themeColor="text1"/>
          <w:sz w:val="22"/>
          <w:szCs w:val="22"/>
          <w:lang w:eastAsia="ko-KR"/>
        </w:rPr>
        <w:t xml:space="preserve"> </w:t>
      </w:r>
      <w:r w:rsidR="00D81356">
        <w:rPr>
          <w:rFonts w:ascii="Times New Roman" w:eastAsia="Times New Roman" w:hAnsi="Times New Roman" w:cs="Times New Roman"/>
          <w:color w:val="000000" w:themeColor="text1"/>
          <w:sz w:val="22"/>
          <w:szCs w:val="22"/>
          <w:lang w:eastAsia="ko-KR"/>
        </w:rPr>
        <w:t>effective connections throughout the brain</w:t>
      </w:r>
      <w:r>
        <w:rPr>
          <w:rFonts w:ascii="Times New Roman" w:eastAsia="Times New Roman" w:hAnsi="Times New Roman" w:cs="Times New Roman"/>
          <w:color w:val="000000" w:themeColor="text1"/>
          <w:sz w:val="22"/>
          <w:szCs w:val="22"/>
          <w:lang w:eastAsia="ko-KR"/>
        </w:rPr>
        <w:t xml:space="preserve">. </w:t>
      </w:r>
      <w:r w:rsidR="00F36528">
        <w:rPr>
          <w:rFonts w:ascii="Times New Roman" w:eastAsia="Times New Roman" w:hAnsi="Times New Roman" w:cs="Times New Roman"/>
          <w:color w:val="000000" w:themeColor="text1"/>
          <w:sz w:val="22"/>
          <w:szCs w:val="22"/>
          <w:lang w:eastAsia="ko-KR"/>
        </w:rPr>
        <w:t>Current</w:t>
      </w:r>
      <w:r w:rsidR="00D81356">
        <w:rPr>
          <w:rFonts w:ascii="Times New Roman" w:eastAsia="Times New Roman" w:hAnsi="Times New Roman" w:cs="Times New Roman"/>
          <w:color w:val="000000" w:themeColor="text1"/>
          <w:sz w:val="22"/>
          <w:szCs w:val="22"/>
          <w:lang w:eastAsia="ko-KR"/>
        </w:rPr>
        <w:t xml:space="preserve"> studies of effective connectivity, even those evaluating the networks of the CC, use highly variable stimulation parameters,</w:t>
      </w:r>
      <w:r w:rsidR="002C1334">
        <w:rPr>
          <w:rFonts w:ascii="Times New Roman" w:eastAsia="Times New Roman" w:hAnsi="Times New Roman" w:cs="Times New Roman"/>
          <w:color w:val="000000" w:themeColor="text1"/>
          <w:sz w:val="22"/>
          <w:szCs w:val="22"/>
          <w:lang w:eastAsia="ko-KR"/>
        </w:rPr>
        <w:t xml:space="preserve"> drastically affecting CCEP character, or include data from patients with major cortical resections, which alters tractography and cortical physiology </w:t>
      </w:r>
      <w:r w:rsidR="002C1334">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{"citationID":"BTzEffLu","properties":{"formattedCitation":"({\\i{}26}, {\\i{}32}, {\\i{}33})","plainCitation":"(26, 32, 33)","noteIndex":0},"citationItems":[{"id":4270,"uris":["http://zotero.org/users/7023408/items/3YRNXVAK"],"itemData":{"id":4270,"type":"article-journal","abstract":"Objective\nThe aim of the present study was to investigate the optimal stimulation parameters for eliciting cortico-cortical evoked potentials (CCEPs) for mapping functional and epileptogenic networks.\nMethods\nWe studied 13 patients with refractory epilepsy undergoing intracranial EEG monitoring. We systematically titrated the intensity of single-pulse electrical stimulation at multiple sites to assess the effect of increasing current on salient features of CCEPs such as N1 potential magnitude, signal to noise ratio, waveform similarity, and spatial distribution of responses. Responses at each incremental stimulation setting were compared to each other and to a final set of responses at the maximum intensity used in each patient (3.5–10 mA, median 6 mA).\nResults\nWe found that with a biphasic 0.15 ms/phase pulse at least 2–4 mA is needed to differentiate between non-responsive and responsive sites, and that stimulation currents of 6–7 mA are needed to maximize amplitude and spatial distribution of N1 responses and stabilize waveform morphology.\nConclusions\nWe determined a minimum stimulation threshold necessary for eliciting CCEPs, as well as a point at which the current-dependent relationship of several response metrics all saturate.\nSignificance\nThis titration study provides practical, immediate guidance on optimal stimulation parameters to study specific features of CCEPs, which have been increasingly used to map both functional and epileptic brain networks in humans.","container-title":"Clinical Neurophysiology","DOI":"10.1016/j.clinph.2021.08.008","ISSN":"1388-2457","issue":"11","journalAbbreviation":"Clinical Neurophysiology","page":"2766-2777","source":"ScienceDirect","title":"Effects of stimulation intensity on intracranial cortico-cortical evoked potentials: A titration study","title-short":"Effects of stimulation intensity on intracranial cortico-cortical evoked potentials","volume":"132","author":[{"family":"Hays","given":"Mark A."},{"family":"Smith","given":"Rachel J."},{"family":"Haridas","given":"Babitha"},{"family":"Coogan","given":"Christopher"},{"family":"Crone","given":"Nathan E."},{"family":"Kang","given":"Joon Y."}],"issued":{"date-parts":[["2021",11,1]]},"citation-key":"haysEffectsStimulationIntensity2021"}},{"id":3654,"uris":["http://zotero.org/users/7023408/items/DNUA57UZ"],"itemData":{"id":3654,"type":"article-journal","abstract":"Background\nCortico-cortical evoked potentials (CCEPs) recorded by stereo-electroencephalography (SEEG) are a valuable tool to investigate brain reactivity and effective connectivity. However, invasive recordings are spatially sparse since they depend on clinical needs. This sparsity hampers systematic comparisons across-subjects, the detection of the whole-brain effects of intracortical stimulation, as well as their relationships to the EEG responses evoked by non-invasive stimuli.\nObjective\nTo demonstrate that CCEPs recorded by high-density electroencephalography (hd-EEG) provide additional information with respect SEEG alone and to provide an open, curated dataset to allow for further exploration of their potential.\nMethods\nThe dataset encompasses SEEG and hd-EEG recordings simultaneously acquired during Single Pulse Electrical Stimulation (SPES) in drug-resistant epileptic patients (N = 36) in whom stimulations were delivered with different physical, geometrical, and topological parameters. Differences in CCEPs were assessed by amplitude, latency, and spectral measures.\nResults\nWhile invasively and non-invasively recorded CCEPs were generally correlated, differences in pulse duration, angle and stimulated cortical area were better captured by hd-EEG. Further, intracranial stimulation evoked site-specific hd-EEG responses that reproduced the spectral features of EEG responses to transcranial magnetic stimulation (TMS). Notably, SPES, albeit unperceived by subjects, elicited scalp responses that were up to one order of magnitude larger than the responses typically evoked by sensory stimulation in awake humans.\nConclusions\nCCEPs can be simultaneously recorded with SEEG and hd-EEG and the latter provides a reliable descriptor of the effects of SPES as well as a common reference to compare the whole-brain effects of intracortical stimulation to those of non-invasive transcranial or sensory stimulations in humans.","container-title":"Brain Stimulation","DOI":"10.1016/j.brs.2022.04.007","ISSN":"1935-861X","issue":"3","journalAbbreviation":"Brain Stimulation","page":"664-675","source":"ScienceDirect","title":"Simultaneous stereo-EEG and high-density scalp EEG recordings to study the effects of intracerebral stimulation parameters","volume":"15","author":[{"family":"Parmigiani","given":"S."},{"family":"Mikulan","given":"E."},{"family":"Russo","given":"S."},{"family":"Sarasso","given":"S."},{"family":"Zauli","given":"F. M."},{"family":"Rubino","given":"A."},{"family":"Cattani","given":"A."},{"family":"Fecchio","given":"M."},{"family":"Giampiccolo","given":"D."},{"family":"Lanzone","given":"J."},{"family":"D'Orio","given":"P."},{"family":"Del Vecchio","given":"M."},{"family":"Avanzini","given":"P."},{"family":"Nobili","given":"L."},{"family":"Sartori","given":"I."},{"family":"Massimini","given":"M."},{"family":"Pigorini","given":"A."}],"issued":{"date-parts":[["2022",5,1]]},"citation-key":"parmigianiSimultaneousStereoEEGHighdensity2022"},"label":"page"},{"id":4271,"uris":["http://zotero.org/users/7023408/items/FBSRKXDQ"],"itemData":{"id":4271,"type":"article-journal","abstract":"A better understanding of the mechanisms involved in human higher cortical functions requires a detailed knowledge of neuronal connectivity between functional cortical regions. Currently no good method for tracking in vivo neuronal connectivity exists. We investigated the inter-areal connections in vivo in the human language system using a new method, which we termed 'cortico-cortical evoked potentials' (CCEPs). Eight patients with epilepsy (age 13-42 years) underwent invasive monitoring with subdural electrodes for epilepsy surgery. Six patients had language dominance on the side of grid implantation and two had bilateral language representation by the intracarotid amobarbital test. Conventional cortical electrical stimulation was performed to identify the anterior and posterior language areas. Single pulse electrical stimuli were delivered to the anterior language (eight patients), posterior language (four patients) or face motor (two patients) area, and CCEPs were obtained by averaging electrocorticograms (ECoGs) recorded from the perisylvian and extrasylvian basal temporal language areas time-locked to the stimulus. The subjects were not asked to perform any tasks during the study. Stimulation at the anterior language area elicited CCEPs in the lateral temporo-parietal area (seven of eight patients) in the middle and posterior part of the superior temporal gyrus, the adjacent part of the middle temporal gyrus and the supramarginal gyrus. CCEPs were recorded in 3-21 electrodes per patient. CCEPs occurred at or around the particular electrodes in the posterior language area which, when stimulated, produced speech arrest. Similar early and late CCEPs were obtained from the basal temporal area by stimulating the anterior language area (three of three patients). In contrast, stimulation of the adjacent face motor area did not elicit CCEPs in language areas but rather in the postcentral gyrus. Stimulation of the posterior language area produced CCEPs in the anterior language (three of four patients) as well as in the basal temporal area (one of two patients). These CCEPs were less well defined. These findings suggest that perisylvian and extrasylvian language areas participate in the language system as components of a network by means of feed-forward and feed-back projections. Different from the classical Wernicke-Geschwind model, the present study revealed a bidirectional connection between Broca's and Wernicke's areas probably through the arcuate fasciculus and/or the cortico-subcortico-cortical pathway. CCEPs were recorded from a larger area than the posterior language area identified by electrical stimulation. This suggests the existence of a rather broad neuronal network surrounding the previously recognized core region of this area.","container-title":"Brain: A Journal of Neurology","DOI":"10.1093/brain/awh246","ISSN":"1460-2156","issue":"Pt 10","journalAbbreviation":"Brain","language":"eng","note":"PMID: 15269116","page":"2316-2330","source":"PubMed","title":"Functional connectivity in the human language system: a cortico-cortical evoked potential study","title-short":"Functional connectivity in the human language system","volume":"127","author":[{"family":"Matsumoto","given":"Riki"},{"family":"Nair","given":"Dileep R."},{"family":"LaPresto","given":"Eric"},{"family":"Najm","given":"Imad"},{"family":"Bingaman","given":"William"},{"family":"Shibasaki","given":"Hiroshi"},{"family":"Lüders","given":"Hans O."}],"issued":{"date-parts":[["2004",10]]},"citation-key":"matsumotoFunctionalConnectivityHuman2004a"}}],"schema":"https://github.com/citation-style-language/schema/raw/master/csl-citation.json"} </w:instrText>
      </w:r>
      <w:r w:rsidR="002C1334">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26</w:t>
      </w:r>
      <w:r w:rsidR="00A219C5" w:rsidRPr="00A219C5">
        <w:rPr>
          <w:rFonts w:ascii="Times New Roman" w:hAnsi="Times New Roman" w:cs="Times New Roman"/>
          <w:color w:val="000000"/>
          <w:kern w:val="0"/>
          <w:sz w:val="22"/>
        </w:rPr>
        <w:t xml:space="preserve">, </w:t>
      </w:r>
      <w:r w:rsidR="00A219C5" w:rsidRPr="00A219C5">
        <w:rPr>
          <w:rFonts w:ascii="Times New Roman" w:hAnsi="Times New Roman" w:cs="Times New Roman"/>
          <w:i/>
          <w:iCs/>
          <w:color w:val="000000"/>
          <w:kern w:val="0"/>
          <w:sz w:val="22"/>
        </w:rPr>
        <w:t>32</w:t>
      </w:r>
      <w:r w:rsidR="00A219C5" w:rsidRPr="00A219C5">
        <w:rPr>
          <w:rFonts w:ascii="Times New Roman" w:hAnsi="Times New Roman" w:cs="Times New Roman"/>
          <w:color w:val="000000"/>
          <w:kern w:val="0"/>
          <w:sz w:val="22"/>
        </w:rPr>
        <w:t xml:space="preserve">, </w:t>
      </w:r>
      <w:r w:rsidR="00A219C5" w:rsidRPr="00A219C5">
        <w:rPr>
          <w:rFonts w:ascii="Times New Roman" w:hAnsi="Times New Roman" w:cs="Times New Roman"/>
          <w:i/>
          <w:iCs/>
          <w:color w:val="000000"/>
          <w:kern w:val="0"/>
          <w:sz w:val="22"/>
        </w:rPr>
        <w:t>33</w:t>
      </w:r>
      <w:r w:rsidR="00A219C5" w:rsidRPr="00A219C5">
        <w:rPr>
          <w:rFonts w:ascii="Times New Roman" w:hAnsi="Times New Roman" w:cs="Times New Roman"/>
          <w:color w:val="000000"/>
          <w:kern w:val="0"/>
          <w:sz w:val="22"/>
        </w:rPr>
        <w:t>)</w:t>
      </w:r>
      <w:r w:rsidR="002C1334">
        <w:rPr>
          <w:rFonts w:ascii="Times New Roman" w:eastAsia="Times New Roman" w:hAnsi="Times New Roman" w:cs="Times New Roman"/>
          <w:color w:val="000000" w:themeColor="text1"/>
          <w:sz w:val="22"/>
          <w:szCs w:val="22"/>
          <w:lang w:eastAsia="ko-KR"/>
        </w:rPr>
        <w:fldChar w:fldCharType="end"/>
      </w:r>
      <w:r w:rsidR="00D81356">
        <w:rPr>
          <w:rFonts w:ascii="Times New Roman" w:eastAsia="Times New Roman" w:hAnsi="Times New Roman" w:cs="Times New Roman"/>
          <w:color w:val="000000" w:themeColor="text1"/>
          <w:sz w:val="22"/>
          <w:szCs w:val="22"/>
          <w:lang w:eastAsia="ko-KR"/>
        </w:rPr>
        <w:t>.</w:t>
      </w:r>
      <w:r w:rsidR="00F36528">
        <w:rPr>
          <w:rFonts w:ascii="Times New Roman" w:eastAsia="Times New Roman" w:hAnsi="Times New Roman" w:cs="Times New Roman"/>
          <w:color w:val="000000" w:themeColor="text1"/>
          <w:sz w:val="22"/>
          <w:szCs w:val="22"/>
          <w:lang w:eastAsia="ko-KR"/>
        </w:rPr>
        <w:t xml:space="preserve"> </w:t>
      </w:r>
      <w:r w:rsidR="00B0343D">
        <w:rPr>
          <w:rFonts w:ascii="Times New Roman" w:eastAsia="Times New Roman" w:hAnsi="Times New Roman" w:cs="Times New Roman"/>
          <w:color w:val="000000" w:themeColor="text1"/>
          <w:sz w:val="22"/>
          <w:szCs w:val="22"/>
          <w:lang w:eastAsia="ko-KR"/>
        </w:rPr>
        <w:t>Analytical</w:t>
      </w:r>
      <w:r w:rsidR="00F36528">
        <w:rPr>
          <w:rFonts w:ascii="Times New Roman" w:eastAsia="Times New Roman" w:hAnsi="Times New Roman" w:cs="Times New Roman"/>
          <w:color w:val="000000" w:themeColor="text1"/>
          <w:sz w:val="22"/>
          <w:szCs w:val="22"/>
          <w:lang w:eastAsia="ko-KR"/>
        </w:rPr>
        <w:t xml:space="preserve"> methods </w:t>
      </w:r>
      <w:r w:rsidR="00B0343D">
        <w:rPr>
          <w:rFonts w:ascii="Times New Roman" w:eastAsia="Times New Roman" w:hAnsi="Times New Roman" w:cs="Times New Roman"/>
          <w:color w:val="000000" w:themeColor="text1"/>
          <w:sz w:val="22"/>
          <w:szCs w:val="22"/>
          <w:lang w:eastAsia="ko-KR"/>
        </w:rPr>
        <w:t xml:space="preserve">also </w:t>
      </w:r>
      <w:r w:rsidR="00F36528">
        <w:rPr>
          <w:rFonts w:ascii="Times New Roman" w:eastAsia="Times New Roman" w:hAnsi="Times New Roman" w:cs="Times New Roman"/>
          <w:color w:val="000000" w:themeColor="text1"/>
          <w:sz w:val="22"/>
          <w:szCs w:val="22"/>
          <w:lang w:eastAsia="ko-KR"/>
        </w:rPr>
        <w:t xml:space="preserve">have a </w:t>
      </w:r>
      <w:r w:rsidR="008C7BCB">
        <w:rPr>
          <w:rFonts w:ascii="Times New Roman" w:eastAsia="Times New Roman" w:hAnsi="Times New Roman" w:cs="Times New Roman"/>
          <w:color w:val="000000" w:themeColor="text1"/>
          <w:sz w:val="22"/>
          <w:szCs w:val="22"/>
          <w:lang w:eastAsia="ko-KR"/>
        </w:rPr>
        <w:t>direct</w:t>
      </w:r>
      <w:r w:rsidR="00F36528">
        <w:rPr>
          <w:rFonts w:ascii="Times New Roman" w:eastAsia="Times New Roman" w:hAnsi="Times New Roman" w:cs="Times New Roman"/>
          <w:color w:val="000000" w:themeColor="text1"/>
          <w:sz w:val="22"/>
          <w:szCs w:val="22"/>
          <w:lang w:eastAsia="ko-KR"/>
        </w:rPr>
        <w:t xml:space="preserve"> effect on </w:t>
      </w:r>
      <w:r w:rsidR="008C7BCB">
        <w:rPr>
          <w:rFonts w:ascii="Times New Roman" w:eastAsia="Times New Roman" w:hAnsi="Times New Roman" w:cs="Times New Roman"/>
          <w:color w:val="000000" w:themeColor="text1"/>
          <w:sz w:val="22"/>
          <w:szCs w:val="22"/>
          <w:lang w:eastAsia="ko-KR"/>
        </w:rPr>
        <w:t>the statistical content and interpretability of CCEPs</w:t>
      </w:r>
      <w:r w:rsidR="00F36528">
        <w:rPr>
          <w:rFonts w:ascii="Times New Roman" w:eastAsia="Times New Roman" w:hAnsi="Times New Roman" w:cs="Times New Roman"/>
          <w:color w:val="000000" w:themeColor="text1"/>
          <w:sz w:val="22"/>
          <w:szCs w:val="22"/>
          <w:lang w:eastAsia="ko-KR"/>
        </w:rPr>
        <w:t xml:space="preserve">. </w:t>
      </w:r>
      <w:r w:rsidR="008C7BCB">
        <w:rPr>
          <w:rFonts w:ascii="Times New Roman" w:eastAsia="Times New Roman" w:hAnsi="Times New Roman" w:cs="Times New Roman"/>
          <w:color w:val="000000" w:themeColor="text1"/>
          <w:sz w:val="22"/>
          <w:szCs w:val="22"/>
          <w:lang w:eastAsia="ko-KR"/>
        </w:rPr>
        <w:t xml:space="preserve">For example, studies of effective connectivity often use CCEP </w:t>
      </w:r>
      <w:r w:rsidR="00B5714F">
        <w:rPr>
          <w:rFonts w:ascii="Times New Roman" w:eastAsia="Times New Roman" w:hAnsi="Times New Roman" w:cs="Times New Roman"/>
          <w:color w:val="000000" w:themeColor="text1"/>
          <w:sz w:val="22"/>
          <w:szCs w:val="22"/>
          <w:lang w:eastAsia="ko-KR"/>
        </w:rPr>
        <w:t>magnitude</w:t>
      </w:r>
      <w:r w:rsidR="008C7BCB">
        <w:rPr>
          <w:rFonts w:ascii="Times New Roman" w:eastAsia="Times New Roman" w:hAnsi="Times New Roman" w:cs="Times New Roman"/>
          <w:color w:val="000000" w:themeColor="text1"/>
          <w:sz w:val="22"/>
          <w:szCs w:val="22"/>
          <w:lang w:eastAsia="ko-KR"/>
        </w:rPr>
        <w:t xml:space="preserve"> or rely on pre-defined assumptions about CCEP shape, thus limiting the utility and depth of network-wide characterization </w:t>
      </w:r>
      <w:r w:rsidR="008C7BCB">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{"citationID":"BMD6zvxz","properties":{"formattedCitation":"({\\i{}27}, {\\i{}28})","plainCitation":"(27, 28)","noteIndex":0},"citationItems":[{"id":4268,"uris":["http://zotero.org/users/7023408/items/ZAVRVS7A"],"itemData":{"id":4268,"type":"article-journal","abstract":"Background\nCortico-cortical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008C7BCB">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27</w:t>
      </w:r>
      <w:r w:rsidR="00A219C5" w:rsidRPr="00A219C5">
        <w:rPr>
          <w:rFonts w:ascii="Times New Roman" w:hAnsi="Times New Roman" w:cs="Times New Roman"/>
          <w:color w:val="000000"/>
          <w:kern w:val="0"/>
          <w:sz w:val="22"/>
        </w:rPr>
        <w:t xml:space="preserve">, </w:t>
      </w:r>
      <w:r w:rsidR="00A219C5" w:rsidRPr="00A219C5">
        <w:rPr>
          <w:rFonts w:ascii="Times New Roman" w:hAnsi="Times New Roman" w:cs="Times New Roman"/>
          <w:i/>
          <w:iCs/>
          <w:color w:val="000000"/>
          <w:kern w:val="0"/>
          <w:sz w:val="22"/>
        </w:rPr>
        <w:t>28</w:t>
      </w:r>
      <w:r w:rsidR="00A219C5" w:rsidRPr="00A219C5">
        <w:rPr>
          <w:rFonts w:ascii="Times New Roman" w:hAnsi="Times New Roman" w:cs="Times New Roman"/>
          <w:color w:val="000000"/>
          <w:kern w:val="0"/>
          <w:sz w:val="22"/>
        </w:rPr>
        <w:t>)</w:t>
      </w:r>
      <w:r w:rsidR="008C7BCB">
        <w:rPr>
          <w:rFonts w:ascii="Times New Roman" w:eastAsia="Times New Roman" w:hAnsi="Times New Roman" w:cs="Times New Roman"/>
          <w:color w:val="000000" w:themeColor="text1"/>
          <w:sz w:val="22"/>
          <w:szCs w:val="22"/>
          <w:lang w:eastAsia="ko-KR"/>
        </w:rPr>
        <w:fldChar w:fldCharType="end"/>
      </w:r>
      <w:r w:rsidR="008C7BCB">
        <w:rPr>
          <w:rFonts w:ascii="Times New Roman" w:eastAsia="Times New Roman" w:hAnsi="Times New Roman" w:cs="Times New Roman"/>
          <w:color w:val="000000" w:themeColor="text1"/>
          <w:sz w:val="22"/>
          <w:szCs w:val="22"/>
          <w:lang w:eastAsia="ko-KR"/>
        </w:rPr>
        <w:t>. Further, due to the high dimensionality of data required to profile entire effective networks, studies of effective connectivity utilizing more rigorous analytical approaches often focus on subsets of networks, especially in work investigating hypothesis-preselected circuits. While these methods are critical to providing deep insight into the neural mechanisms of the connections comprising networks, th</w:t>
      </w:r>
      <w:r w:rsidR="003C683E">
        <w:rPr>
          <w:rFonts w:ascii="Times New Roman" w:eastAsia="Times New Roman" w:hAnsi="Times New Roman" w:cs="Times New Roman"/>
          <w:color w:val="000000" w:themeColor="text1"/>
          <w:sz w:val="22"/>
          <w:szCs w:val="22"/>
          <w:lang w:eastAsia="ko-KR"/>
        </w:rPr>
        <w:t xml:space="preserve">is level of detail makes </w:t>
      </w:r>
      <w:r w:rsidR="005F6B66">
        <w:rPr>
          <w:rFonts w:ascii="Times New Roman" w:eastAsia="Times New Roman" w:hAnsi="Times New Roman" w:cs="Times New Roman"/>
          <w:color w:val="000000" w:themeColor="text1"/>
          <w:sz w:val="22"/>
          <w:szCs w:val="22"/>
          <w:lang w:eastAsia="ko-KR"/>
        </w:rPr>
        <w:t xml:space="preserve">profiling entire effective networks and making comparisons between them </w:t>
      </w:r>
      <w:r w:rsidR="003C683E">
        <w:rPr>
          <w:rFonts w:ascii="Times New Roman" w:eastAsia="Times New Roman" w:hAnsi="Times New Roman" w:cs="Times New Roman"/>
          <w:color w:val="000000" w:themeColor="text1"/>
          <w:sz w:val="22"/>
          <w:szCs w:val="22"/>
          <w:lang w:eastAsia="ko-KR"/>
        </w:rPr>
        <w:t xml:space="preserve">difficult </w:t>
      </w:r>
      <w:r w:rsidR="003C683E">
        <w:rPr>
          <w:rFonts w:ascii="Times New Roman" w:eastAsia="Times New Roman" w:hAnsi="Times New Roman" w:cs="Times New Roman"/>
          <w:color w:val="000000" w:themeColor="text1"/>
          <w:sz w:val="22"/>
          <w:szCs w:val="22"/>
          <w:lang w:eastAsia="ko-KR"/>
        </w:rPr>
        <w:fldChar w:fldCharType="begin"/>
      </w:r>
      <w:r w:rsidR="00A219C5">
        <w:rPr>
          <w:rFonts w:ascii="Times New Roman" w:eastAsia="Times New Roman" w:hAnsi="Times New Roman" w:cs="Times New Roman"/>
          <w:color w:val="000000" w:themeColor="text1"/>
          <w:sz w:val="22"/>
          <w:szCs w:val="22"/>
          <w:lang w:eastAsia="ko-KR"/>
        </w:rPr>
        <w:instrText xml:space="preserve"> ADDIN ZOTERO_ITEM CSL_CITATION {"citationID":"u7VmYXjU","properties":{"formattedCitation":"({\\i{}28}, {\\i{}31}, {\\i{}34})","plainCitation":"(28, 31, 34)","noteIndex":0},"citationItems":[{"id":4293,"uris":["http://zotero.org/users/7023408/items/DUZJRH6R"],"itemData":{"id":4293,"type":"article-journal","abstract":"Single-pulse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3668,"uris":["http://zotero.org/users/7023408/items/A74SVIDZ"],"itemData":{"id":3668,"type":"article-journal","abstract":"Stimulation-evoked signals are starting to be used as biomarkers to indicate the state and health of brain networks. The human limbic network, often targeted for brain stimulation therapy, is involved in emotion and memory processing. Previous anatomic, neurophysiological, and functional studies suggest distinct subsystems within the limbic network (Rolls, 2015). Studies using intracranial electrical stimulation, however, have emphasized the similarities of the evoked waveforms across the limbic network. We test whether these subsystems have distinct stimulation-driven signatures. In eight patients (four male, four female) with drug-resistant epilepsy, we stimulated the limbic system with single-pulse electrical stimulation. Reliable corticocortical evoked potentials (CCEPs) were measured between hippocampus and the posterior cingulate cortex (PCC) and between the amygdala and the anterior cingulate cortex (ACC). However, the CCEP waveform in the PCC after hippocampal stimulation showed a unique and reliable morphology, which we term the “limbic Hippocampus-Anterior nucleus of the thalamus-Posterior cingulate, HAP-wave.” This limbic HAP-wave was visually distinct and separately decoded from the CCEP waveform in ACC after amygdala stimulation. Diffusion MRI data show that the measured end points in the PCC overlap with the end points of the parolfactory cingulum bundle rather than the parahippocampal cingulum, suggesting that the limbic HAP-wave may travel through fornix, mammillary bodies, and the anterior nucleus of the thalamus (ANT). This was further confirmed by stimulating the ANT, which evoked the same limbic HAP-wave but with an earlier latency. Limbic subsystems have unique stimulation-evoked signatures that may be used in the future to help network pathology diagnosis.\n            \n              SIGNIFICANCE STATEMENT\n              The limbic system is often compromised in diverse clinical conditions, such as epilepsy or Alzheimer’s disease, and characterizing its typical circuit responses may provide diagnostic insight. Stimulation-evoked waveforms have been used in the motor system to diagnose circuit pathology. We translate this framework to limbic subsystems using human intracranial stereo EEG (sEEG) recordings that measure deeper brain areas. Our sEEG recordings describe a stimulation-evoked waveform characteristic to the memory and spatial subsystem of the limbic network that we term the “limbic HAP-wave.” The limbic HAP-wave follows anatomic white matter pathways from hippocampus to thalamus to the posterior cingulum and shows promise as a distinct biomarker of signaling in the human brain memory and spatial limbic network.","container-title":"The Journal of Neuroscience","DOI":"10.1523/JNEUROSCI.2201-22.2023","ISSN":"0270-6474, 1529-2401","issue":"39","journalAbbreviation":"J. Neurosci.","language":"en","page":"6697-6711","source":"DOI.org (Crossref)","title":"Signatures of Electrical Stimulation Driven Network Interactions in the Human Limbic System","volume":"43","author":[{"family":"Ojeda Valencia","given":"Gabriela"},{"family":"Gregg","given":"Nicholas M."},{"family":"Huang","given":"Harvey"},{"family":"Lundstrom","given":"Brian N."},{"family":"Brinkmann","given":"Benjamin H."},{"family":"Pal Attia","given":"Tal"},{"family":"Van Gompel","given":"Jamie J."},{"family":"Bernstein","given":"Matt A."},{"family":"In","given":"Myung-Ho"},{"family":"Huston","given":"John"},{"family":"Worrell","given":"Gregory A."},{"family":"Miller","given":"Kai J."},{"family":"Hermes","given":"Dora"}],"issued":{"date-parts":[["2023",9,27]]},"citation-key":"ojedavalenciaSignaturesElectricalStimulation2023"}}],"schema":"https://github.com/citation-style-language/schema/raw/master/csl-citation.json"} </w:instrText>
      </w:r>
      <w:r w:rsidR="003C683E">
        <w:rPr>
          <w:rFonts w:ascii="Times New Roman" w:eastAsia="Times New Roman" w:hAnsi="Times New Roman" w:cs="Times New Roman"/>
          <w:color w:val="000000" w:themeColor="text1"/>
          <w:sz w:val="22"/>
          <w:szCs w:val="22"/>
          <w:lang w:eastAsia="ko-KR"/>
        </w:rPr>
        <w:fldChar w:fldCharType="separate"/>
      </w:r>
      <w:r w:rsidR="00A219C5" w:rsidRPr="00A219C5">
        <w:rPr>
          <w:rFonts w:ascii="Times New Roman" w:hAnsi="Times New Roman" w:cs="Times New Roman"/>
          <w:color w:val="000000"/>
          <w:kern w:val="0"/>
          <w:sz w:val="22"/>
        </w:rPr>
        <w:t>(</w:t>
      </w:r>
      <w:r w:rsidR="00A219C5" w:rsidRPr="00A219C5">
        <w:rPr>
          <w:rFonts w:ascii="Times New Roman" w:hAnsi="Times New Roman" w:cs="Times New Roman"/>
          <w:i/>
          <w:iCs/>
          <w:color w:val="000000"/>
          <w:kern w:val="0"/>
          <w:sz w:val="22"/>
        </w:rPr>
        <w:t>28</w:t>
      </w:r>
      <w:r w:rsidR="00A219C5" w:rsidRPr="00A219C5">
        <w:rPr>
          <w:rFonts w:ascii="Times New Roman" w:hAnsi="Times New Roman" w:cs="Times New Roman"/>
          <w:color w:val="000000"/>
          <w:kern w:val="0"/>
          <w:sz w:val="22"/>
        </w:rPr>
        <w:t xml:space="preserve">, </w:t>
      </w:r>
      <w:r w:rsidR="00A219C5" w:rsidRPr="00A219C5">
        <w:rPr>
          <w:rFonts w:ascii="Times New Roman" w:hAnsi="Times New Roman" w:cs="Times New Roman"/>
          <w:i/>
          <w:iCs/>
          <w:color w:val="000000"/>
          <w:kern w:val="0"/>
          <w:sz w:val="22"/>
        </w:rPr>
        <w:t>31</w:t>
      </w:r>
      <w:r w:rsidR="00A219C5" w:rsidRPr="00A219C5">
        <w:rPr>
          <w:rFonts w:ascii="Times New Roman" w:hAnsi="Times New Roman" w:cs="Times New Roman"/>
          <w:color w:val="000000"/>
          <w:kern w:val="0"/>
          <w:sz w:val="22"/>
        </w:rPr>
        <w:t xml:space="preserve">, </w:t>
      </w:r>
      <w:r w:rsidR="00A219C5" w:rsidRPr="00A219C5">
        <w:rPr>
          <w:rFonts w:ascii="Times New Roman" w:hAnsi="Times New Roman" w:cs="Times New Roman"/>
          <w:i/>
          <w:iCs/>
          <w:color w:val="000000"/>
          <w:kern w:val="0"/>
          <w:sz w:val="22"/>
        </w:rPr>
        <w:t>34</w:t>
      </w:r>
      <w:r w:rsidR="00A219C5" w:rsidRPr="00A219C5">
        <w:rPr>
          <w:rFonts w:ascii="Times New Roman" w:hAnsi="Times New Roman" w:cs="Times New Roman"/>
          <w:color w:val="000000"/>
          <w:kern w:val="0"/>
          <w:sz w:val="22"/>
        </w:rPr>
        <w:t>)</w:t>
      </w:r>
      <w:r w:rsidR="003C683E">
        <w:rPr>
          <w:rFonts w:ascii="Times New Roman" w:eastAsia="Times New Roman" w:hAnsi="Times New Roman" w:cs="Times New Roman"/>
          <w:color w:val="000000" w:themeColor="text1"/>
          <w:sz w:val="22"/>
          <w:szCs w:val="22"/>
          <w:lang w:eastAsia="ko-KR"/>
        </w:rPr>
        <w:fldChar w:fldCharType="end"/>
      </w:r>
      <w:r w:rsidR="003C683E">
        <w:rPr>
          <w:rFonts w:ascii="Times New Roman" w:eastAsia="Times New Roman" w:hAnsi="Times New Roman" w:cs="Times New Roman"/>
          <w:color w:val="000000" w:themeColor="text1"/>
          <w:sz w:val="22"/>
          <w:szCs w:val="22"/>
          <w:lang w:eastAsia="ko-KR"/>
        </w:rPr>
        <w:t xml:space="preserve">. </w:t>
      </w:r>
    </w:p>
    <w:p w14:paraId="679C0A29" w14:textId="07FF958F" w:rsidR="00D82768" w:rsidRDefault="00D81356">
      <w:pPr>
        <w:rPr>
          <w:rFonts w:ascii="Times New Roman" w:eastAsia="Times New Roman" w:hAnsi="Times New Roman" w:cs="Times New Roman"/>
          <w:color w:val="000000" w:themeColor="text1"/>
          <w:sz w:val="22"/>
          <w:szCs w:val="22"/>
          <w:lang w:eastAsia="ko-KR"/>
        </w:rPr>
      </w:pPr>
      <w:r>
        <w:rPr>
          <w:rFonts w:ascii="Times New Roman" w:eastAsia="Times New Roman" w:hAnsi="Times New Roman" w:cs="Times New Roman"/>
          <w:color w:val="000000" w:themeColor="text1"/>
          <w:sz w:val="22"/>
          <w:szCs w:val="22"/>
          <w:lang w:eastAsia="ko-KR"/>
        </w:rPr>
        <w:t>The present study presents a comprehensive</w:t>
      </w:r>
      <w:r w:rsidR="003C683E">
        <w:rPr>
          <w:rFonts w:ascii="Times New Roman" w:eastAsia="Times New Roman" w:hAnsi="Times New Roman" w:cs="Times New Roman"/>
          <w:color w:val="000000" w:themeColor="text1"/>
          <w:sz w:val="22"/>
          <w:szCs w:val="22"/>
          <w:lang w:eastAsia="ko-KR"/>
        </w:rPr>
        <w:t xml:space="preserve"> comparison between the</w:t>
      </w:r>
      <w:r>
        <w:rPr>
          <w:rFonts w:ascii="Times New Roman" w:eastAsia="Times New Roman" w:hAnsi="Times New Roman" w:cs="Times New Roman"/>
          <w:color w:val="000000" w:themeColor="text1"/>
          <w:sz w:val="22"/>
          <w:szCs w:val="22"/>
          <w:lang w:eastAsia="ko-KR"/>
        </w:rPr>
        <w:t xml:space="preserve"> </w:t>
      </w:r>
      <w:r w:rsidR="008C7BCB">
        <w:rPr>
          <w:rFonts w:ascii="Times New Roman" w:eastAsia="Times New Roman" w:hAnsi="Times New Roman" w:cs="Times New Roman"/>
          <w:color w:val="000000" w:themeColor="text1"/>
          <w:sz w:val="22"/>
          <w:szCs w:val="22"/>
          <w:lang w:eastAsia="ko-KR"/>
        </w:rPr>
        <w:t xml:space="preserve">divergent </w:t>
      </w:r>
      <w:r>
        <w:rPr>
          <w:rFonts w:ascii="Times New Roman" w:eastAsia="Times New Roman" w:hAnsi="Times New Roman" w:cs="Times New Roman"/>
          <w:color w:val="000000" w:themeColor="text1"/>
          <w:sz w:val="22"/>
          <w:szCs w:val="22"/>
          <w:lang w:eastAsia="ko-KR"/>
        </w:rPr>
        <w:t>profile</w:t>
      </w:r>
      <w:r w:rsidR="003C683E">
        <w:rPr>
          <w:rFonts w:ascii="Times New Roman" w:eastAsia="Times New Roman" w:hAnsi="Times New Roman" w:cs="Times New Roman"/>
          <w:color w:val="000000" w:themeColor="text1"/>
          <w:sz w:val="22"/>
          <w:szCs w:val="22"/>
          <w:lang w:eastAsia="ko-KR"/>
        </w:rPr>
        <w:t>s</w:t>
      </w:r>
      <w:r>
        <w:rPr>
          <w:rFonts w:ascii="Times New Roman" w:eastAsia="Times New Roman" w:hAnsi="Times New Roman" w:cs="Times New Roman"/>
          <w:color w:val="000000" w:themeColor="text1"/>
          <w:sz w:val="22"/>
          <w:szCs w:val="22"/>
          <w:lang w:eastAsia="ko-KR"/>
        </w:rPr>
        <w:t xml:space="preserve"> of the human </w:t>
      </w:r>
      <w:r w:rsidR="003C683E">
        <w:rPr>
          <w:rFonts w:ascii="Times New Roman" w:eastAsia="Times New Roman" w:hAnsi="Times New Roman" w:cs="Times New Roman"/>
          <w:color w:val="000000" w:themeColor="text1"/>
          <w:sz w:val="22"/>
          <w:szCs w:val="22"/>
          <w:lang w:eastAsia="ko-KR"/>
        </w:rPr>
        <w:t>A</w:t>
      </w:r>
      <w:r>
        <w:rPr>
          <w:rFonts w:ascii="Times New Roman" w:eastAsia="Times New Roman" w:hAnsi="Times New Roman" w:cs="Times New Roman"/>
          <w:color w:val="000000" w:themeColor="text1"/>
          <w:sz w:val="22"/>
          <w:szCs w:val="22"/>
          <w:lang w:eastAsia="ko-KR"/>
        </w:rPr>
        <w:t>CC</w:t>
      </w:r>
      <w:r w:rsidR="003C683E">
        <w:rPr>
          <w:rFonts w:ascii="Times New Roman" w:eastAsia="Times New Roman" w:hAnsi="Times New Roman" w:cs="Times New Roman"/>
          <w:color w:val="000000" w:themeColor="text1"/>
          <w:sz w:val="22"/>
          <w:szCs w:val="22"/>
          <w:lang w:eastAsia="ko-KR"/>
        </w:rPr>
        <w:t>, MCC, and PCC</w:t>
      </w:r>
      <w:r>
        <w:rPr>
          <w:rFonts w:ascii="Times New Roman" w:eastAsia="Times New Roman" w:hAnsi="Times New Roman" w:cs="Times New Roman"/>
          <w:color w:val="000000" w:themeColor="text1"/>
          <w:sz w:val="22"/>
          <w:szCs w:val="22"/>
          <w:lang w:eastAsia="ko-KR"/>
        </w:rPr>
        <w:t xml:space="preserve"> effective networks</w:t>
      </w:r>
      <w:r w:rsidR="003C683E">
        <w:rPr>
          <w:rFonts w:ascii="Times New Roman" w:eastAsia="Times New Roman" w:hAnsi="Times New Roman" w:cs="Times New Roman"/>
          <w:color w:val="000000" w:themeColor="text1"/>
          <w:sz w:val="22"/>
          <w:szCs w:val="22"/>
          <w:lang w:eastAsia="ko-KR"/>
        </w:rPr>
        <w:t xml:space="preserve"> acquired through direct SPES. Data were acquired </w:t>
      </w:r>
      <w:r w:rsidR="000E2E8D">
        <w:rPr>
          <w:rFonts w:ascii="Times New Roman" w:eastAsia="Times New Roman" w:hAnsi="Times New Roman" w:cs="Times New Roman"/>
          <w:color w:val="000000" w:themeColor="text1"/>
          <w:sz w:val="22"/>
          <w:szCs w:val="22"/>
          <w:lang w:eastAsia="ko-KR"/>
        </w:rPr>
        <w:t xml:space="preserve">using </w:t>
      </w:r>
      <w:r w:rsidR="003C683E">
        <w:rPr>
          <w:rFonts w:ascii="Times New Roman" w:eastAsia="Times New Roman" w:hAnsi="Times New Roman" w:cs="Times New Roman"/>
          <w:color w:val="000000" w:themeColor="text1"/>
          <w:sz w:val="22"/>
          <w:szCs w:val="22"/>
          <w:lang w:eastAsia="ko-KR"/>
        </w:rPr>
        <w:t xml:space="preserve">constant </w:t>
      </w:r>
      <w:r w:rsidR="000E2E8D">
        <w:rPr>
          <w:rFonts w:ascii="Times New Roman" w:eastAsia="Times New Roman" w:hAnsi="Times New Roman" w:cs="Times New Roman"/>
          <w:color w:val="000000" w:themeColor="text1"/>
          <w:sz w:val="22"/>
          <w:szCs w:val="22"/>
          <w:lang w:eastAsia="ko-KR"/>
        </w:rPr>
        <w:t>SPES</w:t>
      </w:r>
      <w:r w:rsidR="003C683E">
        <w:rPr>
          <w:rFonts w:ascii="Times New Roman" w:eastAsia="Times New Roman" w:hAnsi="Times New Roman" w:cs="Times New Roman"/>
          <w:color w:val="000000" w:themeColor="text1"/>
          <w:sz w:val="22"/>
          <w:szCs w:val="22"/>
          <w:lang w:eastAsia="ko-KR"/>
        </w:rPr>
        <w:t xml:space="preserve"> parameters from patients without any major resections. CC subregion profiles were</w:t>
      </w:r>
      <w:r w:rsidR="008C7BCB">
        <w:rPr>
          <w:rFonts w:ascii="Times New Roman" w:eastAsia="Times New Roman" w:hAnsi="Times New Roman" w:cs="Times New Roman"/>
          <w:color w:val="000000" w:themeColor="text1"/>
          <w:sz w:val="22"/>
          <w:szCs w:val="22"/>
          <w:lang w:eastAsia="ko-KR"/>
        </w:rPr>
        <w:t xml:space="preserve"> modeled across a breadth of features extracted from CCEPs</w:t>
      </w:r>
      <w:r w:rsidR="003C683E">
        <w:rPr>
          <w:rFonts w:ascii="Times New Roman" w:eastAsia="Times New Roman" w:hAnsi="Times New Roman" w:cs="Times New Roman"/>
          <w:color w:val="000000" w:themeColor="text1"/>
          <w:sz w:val="22"/>
          <w:szCs w:val="22"/>
          <w:lang w:eastAsia="ko-KR"/>
        </w:rPr>
        <w:t xml:space="preserve">, including </w:t>
      </w:r>
      <w:r w:rsidR="00B5714F">
        <w:rPr>
          <w:rFonts w:ascii="Times New Roman" w:eastAsia="Times New Roman" w:hAnsi="Times New Roman" w:cs="Times New Roman"/>
          <w:color w:val="000000" w:themeColor="text1"/>
          <w:sz w:val="22"/>
          <w:szCs w:val="22"/>
          <w:lang w:eastAsia="ko-KR"/>
        </w:rPr>
        <w:t>magnitude</w:t>
      </w:r>
      <w:r w:rsidR="003C683E">
        <w:rPr>
          <w:rFonts w:ascii="Times New Roman" w:eastAsia="Times New Roman" w:hAnsi="Times New Roman" w:cs="Times New Roman"/>
          <w:color w:val="000000" w:themeColor="text1"/>
          <w:sz w:val="22"/>
          <w:szCs w:val="22"/>
          <w:lang w:eastAsia="ko-KR"/>
        </w:rPr>
        <w:t xml:space="preserve">, morphology, morphological diversity, inter-regional similarity, spatial patterning, temporal dynamics, </w:t>
      </w:r>
      <w:r w:rsidR="000E2E8D">
        <w:rPr>
          <w:rFonts w:ascii="Times New Roman" w:eastAsia="Times New Roman" w:hAnsi="Times New Roman" w:cs="Times New Roman"/>
          <w:color w:val="000000" w:themeColor="text1"/>
          <w:sz w:val="22"/>
          <w:szCs w:val="22"/>
          <w:lang w:eastAsia="ko-KR"/>
        </w:rPr>
        <w:t>broadband gamma content</w:t>
      </w:r>
      <w:r w:rsidR="003C683E">
        <w:rPr>
          <w:rFonts w:ascii="Times New Roman" w:eastAsia="Times New Roman" w:hAnsi="Times New Roman" w:cs="Times New Roman"/>
          <w:color w:val="000000" w:themeColor="text1"/>
          <w:sz w:val="22"/>
          <w:szCs w:val="22"/>
          <w:lang w:eastAsia="ko-KR"/>
        </w:rPr>
        <w:t>, assumption-free waveform features, and assumption-based waveform features. Our study provides network-level insights into the</w:t>
      </w:r>
      <w:r w:rsidR="00B0343D">
        <w:rPr>
          <w:rFonts w:ascii="Times New Roman" w:eastAsia="Times New Roman" w:hAnsi="Times New Roman" w:cs="Times New Roman"/>
          <w:color w:val="000000" w:themeColor="text1"/>
          <w:sz w:val="22"/>
          <w:szCs w:val="22"/>
          <w:lang w:eastAsia="ko-KR"/>
        </w:rPr>
        <w:t xml:space="preserve"> character, </w:t>
      </w:r>
      <w:r w:rsidR="003C683E">
        <w:rPr>
          <w:rFonts w:ascii="Times New Roman" w:eastAsia="Times New Roman" w:hAnsi="Times New Roman" w:cs="Times New Roman"/>
          <w:color w:val="000000" w:themeColor="text1"/>
          <w:sz w:val="22"/>
          <w:szCs w:val="22"/>
          <w:lang w:eastAsia="ko-KR"/>
        </w:rPr>
        <w:t>similarities</w:t>
      </w:r>
      <w:r w:rsidR="00B0343D">
        <w:rPr>
          <w:rFonts w:ascii="Times New Roman" w:eastAsia="Times New Roman" w:hAnsi="Times New Roman" w:cs="Times New Roman"/>
          <w:color w:val="000000" w:themeColor="text1"/>
          <w:sz w:val="22"/>
          <w:szCs w:val="22"/>
          <w:lang w:eastAsia="ko-KR"/>
        </w:rPr>
        <w:t xml:space="preserve">, and </w:t>
      </w:r>
      <w:r w:rsidR="003C683E">
        <w:rPr>
          <w:rFonts w:ascii="Times New Roman" w:eastAsia="Times New Roman" w:hAnsi="Times New Roman" w:cs="Times New Roman"/>
          <w:color w:val="000000" w:themeColor="text1"/>
          <w:sz w:val="22"/>
          <w:szCs w:val="22"/>
          <w:lang w:eastAsia="ko-KR"/>
        </w:rPr>
        <w:t xml:space="preserve">differences between the </w:t>
      </w:r>
      <w:r w:rsidR="00B0343D">
        <w:rPr>
          <w:rFonts w:ascii="Times New Roman" w:eastAsia="Times New Roman" w:hAnsi="Times New Roman" w:cs="Times New Roman"/>
          <w:color w:val="000000" w:themeColor="text1"/>
          <w:sz w:val="22"/>
          <w:szCs w:val="22"/>
          <w:lang w:eastAsia="ko-KR"/>
        </w:rPr>
        <w:t xml:space="preserve">CC </w:t>
      </w:r>
      <w:r w:rsidR="003C683E">
        <w:rPr>
          <w:rFonts w:ascii="Times New Roman" w:eastAsia="Times New Roman" w:hAnsi="Times New Roman" w:cs="Times New Roman"/>
          <w:color w:val="000000" w:themeColor="text1"/>
          <w:sz w:val="22"/>
          <w:szCs w:val="22"/>
          <w:lang w:eastAsia="ko-KR"/>
        </w:rPr>
        <w:t>effective network</w:t>
      </w:r>
      <w:r w:rsidR="006F47F3">
        <w:rPr>
          <w:rFonts w:ascii="Times New Roman" w:eastAsia="Times New Roman" w:hAnsi="Times New Roman" w:cs="Times New Roman"/>
          <w:color w:val="000000" w:themeColor="text1"/>
          <w:sz w:val="22"/>
          <w:szCs w:val="22"/>
          <w:lang w:eastAsia="ko-KR"/>
        </w:rPr>
        <w:t>s modeled across several metrics</w:t>
      </w:r>
      <w:r w:rsidR="003C683E">
        <w:rPr>
          <w:rFonts w:ascii="Times New Roman" w:eastAsia="Times New Roman" w:hAnsi="Times New Roman" w:cs="Times New Roman"/>
          <w:color w:val="000000" w:themeColor="text1"/>
          <w:sz w:val="22"/>
          <w:szCs w:val="22"/>
          <w:lang w:eastAsia="ko-KR"/>
        </w:rPr>
        <w:t xml:space="preserve">. Further, </w:t>
      </w:r>
      <w:r w:rsidR="005F6B66">
        <w:rPr>
          <w:rFonts w:ascii="Times New Roman" w:eastAsia="Times New Roman" w:hAnsi="Times New Roman" w:cs="Times New Roman"/>
          <w:color w:val="000000" w:themeColor="text1"/>
          <w:sz w:val="22"/>
          <w:szCs w:val="22"/>
          <w:lang w:eastAsia="ko-KR"/>
        </w:rPr>
        <w:t xml:space="preserve">through a machine-learning approach, </w:t>
      </w:r>
      <w:r w:rsidR="006F47F3">
        <w:rPr>
          <w:rFonts w:ascii="Times New Roman" w:eastAsia="Times New Roman" w:hAnsi="Times New Roman" w:cs="Times New Roman"/>
          <w:color w:val="000000" w:themeColor="text1"/>
          <w:sz w:val="22"/>
          <w:szCs w:val="22"/>
          <w:lang w:eastAsia="ko-KR"/>
        </w:rPr>
        <w:t>we provide direct</w:t>
      </w:r>
      <w:r w:rsidR="005F6B66">
        <w:rPr>
          <w:rFonts w:ascii="Times New Roman" w:eastAsia="Times New Roman" w:hAnsi="Times New Roman" w:cs="Times New Roman"/>
          <w:color w:val="000000" w:themeColor="text1"/>
          <w:sz w:val="22"/>
          <w:szCs w:val="22"/>
          <w:lang w:eastAsia="ko-KR"/>
        </w:rPr>
        <w:t>, quantitative</w:t>
      </w:r>
      <w:r w:rsidR="006F47F3">
        <w:rPr>
          <w:rFonts w:ascii="Times New Roman" w:eastAsia="Times New Roman" w:hAnsi="Times New Roman" w:cs="Times New Roman"/>
          <w:color w:val="000000" w:themeColor="text1"/>
          <w:sz w:val="22"/>
          <w:szCs w:val="22"/>
          <w:lang w:eastAsia="ko-KR"/>
        </w:rPr>
        <w:t xml:space="preserve"> evidence</w:t>
      </w:r>
      <w:r w:rsidR="00B0343D">
        <w:rPr>
          <w:rFonts w:ascii="Times New Roman" w:eastAsia="Times New Roman" w:hAnsi="Times New Roman" w:cs="Times New Roman"/>
          <w:color w:val="000000" w:themeColor="text1"/>
          <w:sz w:val="22"/>
          <w:szCs w:val="22"/>
          <w:lang w:eastAsia="ko-KR"/>
        </w:rPr>
        <w:t xml:space="preserve"> </w:t>
      </w:r>
      <w:r w:rsidR="005F6B66">
        <w:rPr>
          <w:rFonts w:ascii="Times New Roman" w:eastAsia="Times New Roman" w:hAnsi="Times New Roman" w:cs="Times New Roman"/>
          <w:color w:val="000000" w:themeColor="text1"/>
          <w:sz w:val="22"/>
          <w:szCs w:val="22"/>
          <w:lang w:eastAsia="ko-KR"/>
        </w:rPr>
        <w:t>on</w:t>
      </w:r>
      <w:r w:rsidR="003C683E">
        <w:rPr>
          <w:rFonts w:ascii="Times New Roman" w:eastAsia="Times New Roman" w:hAnsi="Times New Roman" w:cs="Times New Roman"/>
          <w:color w:val="000000" w:themeColor="text1"/>
          <w:sz w:val="22"/>
          <w:szCs w:val="22"/>
          <w:lang w:eastAsia="ko-KR"/>
        </w:rPr>
        <w:t xml:space="preserve"> the utility of </w:t>
      </w:r>
      <w:r w:rsidR="005F6B66">
        <w:rPr>
          <w:rFonts w:ascii="Times New Roman" w:eastAsia="Times New Roman" w:hAnsi="Times New Roman" w:cs="Times New Roman"/>
          <w:color w:val="000000" w:themeColor="text1"/>
          <w:sz w:val="22"/>
          <w:szCs w:val="22"/>
          <w:lang w:eastAsia="ko-KR"/>
        </w:rPr>
        <w:t>effective connectivity</w:t>
      </w:r>
      <w:r w:rsidR="003C683E">
        <w:rPr>
          <w:rFonts w:ascii="Times New Roman" w:eastAsia="Times New Roman" w:hAnsi="Times New Roman" w:cs="Times New Roman"/>
          <w:color w:val="000000" w:themeColor="text1"/>
          <w:sz w:val="22"/>
          <w:szCs w:val="22"/>
          <w:lang w:eastAsia="ko-KR"/>
        </w:rPr>
        <w:t xml:space="preserve"> metrics used to model effective connectivity, specifically </w:t>
      </w:r>
      <w:r w:rsidR="005F6B66">
        <w:rPr>
          <w:rFonts w:ascii="Times New Roman" w:eastAsia="Times New Roman" w:hAnsi="Times New Roman" w:cs="Times New Roman"/>
          <w:color w:val="000000" w:themeColor="text1"/>
          <w:sz w:val="22"/>
          <w:szCs w:val="22"/>
          <w:lang w:eastAsia="ko-KR"/>
        </w:rPr>
        <w:t>by characterizing their</w:t>
      </w:r>
      <w:r w:rsidR="003C683E">
        <w:rPr>
          <w:rFonts w:ascii="Times New Roman" w:eastAsia="Times New Roman" w:hAnsi="Times New Roman" w:cs="Times New Roman"/>
          <w:color w:val="000000" w:themeColor="text1"/>
          <w:sz w:val="22"/>
          <w:szCs w:val="22"/>
          <w:lang w:eastAsia="ko-KR"/>
        </w:rPr>
        <w:t xml:space="preserve"> feature importance in classifying effective networks.</w:t>
      </w:r>
    </w:p>
    <w:p w14:paraId="6AE59842" w14:textId="77777777" w:rsidR="005C5A95" w:rsidRPr="00EE58F9" w:rsidRDefault="005C5A95" w:rsidP="005C5A95">
      <w:pPr>
        <w:rPr>
          <w:rFonts w:ascii="Times New Roman" w:hAnsi="Times New Roman" w:cs="Times New Roman"/>
        </w:rPr>
      </w:pPr>
      <w:r w:rsidRPr="00EE58F9">
        <w:rPr>
          <w:rFonts w:ascii="Times New Roman" w:hAnsi="Times New Roman" w:cs="Times New Roman"/>
          <w:b/>
          <w:bCs/>
        </w:rPr>
        <w:t>Discussion</w:t>
      </w:r>
    </w:p>
    <w:p w14:paraId="050EFE23" w14:textId="0AFF930C" w:rsidR="005C5A95" w:rsidRDefault="005C5A95" w:rsidP="005C5A95">
      <w:pPr>
        <w:rPr>
          <w:rFonts w:ascii="Times New Roman" w:hAnsi="Times New Roman" w:cs="Times New Roman"/>
        </w:rPr>
      </w:pPr>
      <w:r>
        <w:rPr>
          <w:rFonts w:ascii="Times New Roman" w:hAnsi="Times New Roman" w:cs="Times New Roman"/>
        </w:rPr>
        <w:t xml:space="preserve">Our study presents a comprehensive, multi-modal effective connectivity profile of the human CC modeled using invasive SPES of 15 resection-free human epilepsy patients. While invasive SPES-induced models of effective connectivity provide a causal framework for investigating cortical interactions, there is no quantitative standard for profiling these effective networks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{"citationID":"HYOn4vCu","properties":{"formattedCitation":"({\\i{}27}, {\\i{}30})","plainCitation":"(27, 30)","noteIndex":0},"citationItems":[{"id":4268,"uris":["http://zotero.org/users/7023408/items/ZAVRVS7A"],"itemData":{"id":4268,"type":"article-journal","abstract":"Background\nCortico-cortical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A."}],"issued":{"date-parts":[["2024",8,1]]},"citation-key":"levinsonDataProcessingTechniques2024"}},{"id":3509,"uris":["http://zotero.org/users/7023408/items/JDPDPDPW"],"itemData":{"id":3509,"type":"chapter","abstract":"While many human imaging methodologies probe the structural and functional connectivity of the brain, techniques to investigate cortical networks in a causal and directional manner are critical but limited. The use of iEEG enables several approaches to directly characterize brain regions that are functionally connected and in some cases also establish directionality of these connections. In this chapter we focus on the basis, method and application of the cortico-cortical evoked potential (CCEP), whereby electrical pulses applied to one set of intracranial electrodes yields an electrically-induced brain response at local and remote regions. In this chapter, CCEPs are first contextualized within common brain connectivity methods used to define cortical networks and how CCEP adds unique information. Second, the practical and analytical considerations when using CCEP are discussed. Third, we review the neurophysiology underlying CCEPs and the applications of CCEPs including exploring functional and pathological brain networks and probing brain plasticity. Finally, we end with a discussion of limitations, caveats, and directions to improve CCEP utilization in the future.","collection-title":"Studies in Neuroscience, Psychology and Behavioral Economics","container-title":"Intracranial EEG: A Guide for Cognitive Neuroscientists","event-place":"Cham","ISBN":"978-3-031-20910-9","language":"en","note":"DOI: 10.1007/978-3-031-20910-9_40","page":"639-655","publisher":"Springer International Publishing","publisher-place":"Cham","source":"Springer Link","title":"How Can I Investigate Causal Brain Networks with iEEG?","URL":"https://doi.org/10.1007/978-3-031-20910-9_40","author":[{"family":"Huang","given":"Yuhao"},{"family":"Keller","given":"Corey"}],"editor":[{"family":"Axmacher","given":"Nikolai"}],"accessed":{"date-parts":[["2023",11,2]]},"issued":{"date-parts":[["2023"]]},"citation-key":"huangHowCanInvestigate2023"}}],"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27</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30</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The CC, known for its integrative properties, distinct subregions, and diverse functional roles in human cognition, provides an ideal anatomical substrate for multi-modal profiling of effective connectivity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{"citationID":"wAOP6jjG","properties":{"formattedCitation":"({\\i{}4}, {\\i{}35})","plainCitation":"(4, 35)","noteIndex":0},"citationItems":[{"id":3364,"uris":["http://zotero.org/users/7023408/items/S35QUQE3"],"itemData":{"id":3364,"type":"article-journal","abstract":"The cingulate cortex is part of the limbic system. Its function and connectivity are organized in a rostro-caudal and ventral-dorsal manner which was addressed by various other studies using rather coarse cortical parcellations. In this study, we aim at describing its function and connectivity using invasive recordings from patients explored for focal drug-resistant epilepsy. We included patients that underwent stereo-electroencephalographic recordings using intracranial electrodes in the University Emergency Hospital Bucharest between 2012 and 2019. We reviewed all high frequency stimulations (50 ​Hz) performed for functional mapping of the cingulate cortex. We used two methods to characterize brain connectivity. Effective connectivity was inferred based on the analysis of cortico-cortical potentials (CCEPs) evoked by single pulse electrical stimulation (SPES) (15 ​s inter-pulse interval). Functional connectivity was estimated using the non-linear regression method applied to 60 ​s spontaneous electrical brain signal intervals. The effective (stimulation-evoked) and functional (non-evoked) connectivity analyses highlight brain networks in a different way. While non-evoked connectivity evidences areas having related activity, often in close proximity to each other, evoked connectivity highlights spatially extended networks. To highlight in a comprehensive way the cingulate cortex’s network, we have performed a bi-modal connectivity analysis that combines the resting-state broadband h2 non-linear correlation with cortico-cortical evoked potentials. We co-registered the patient’s anatomy with the fsaverage FreeSurfer template to perform the automatic labeling based on HCP-MMP parcellation. At a group level, connectivity was estimated by averaging responses over stimulated/recorded or recorded sites in each pair of parcels. Finally, for multiple regions that evoked a clinical response during high frequency stimulation, we combined the connectivity of individual pairs using maximum intensity projection. Connectivity was assessed by applying SPES on 2094 contact pairs and recording CCEPs on 3580 contacts out of 8582 contacts of 660 electrodes implanted in 47 patients. Clinical responses elicited by high frequency stimulations in 107 sites (pairs of contacts) located in the cingulate cortex were divided in 10 groups: affective, motor behavior, motor elementary, versive, speech, vestibular, autonomic, somatosensory, visual and changes in body perception. Anterior cingulate cortex was shown to be connected to the mesial temporal, orbitofrontal and prefrontal cortex. In the middle cingulate cortex, we located affective, motor behavior in the anterior region, and elementary motor and somatosensory in the posterior part. This region is connected to the prefrontal, premotor and primary motor network. Finally, the posterior cingulate was shown to be connected with the visual areas, mesial and lateral parietal and temporal cortex.","container-title":"NeuroImage","DOI":"10.1016/j.neuroimage.2020.117059","ISSN":"1053-8119","journalAbbreviation":"NeuroImage","language":"en","page":"117059","source":"ScienceDirect","title":"Cingulate cortex function and multi-modal connectivity mapped using intracranial stimulation","volume":"220","author":[{"family":"Oane","given":"Irina"},{"family":"Barborica","given":"Andrei"},{"family":"Chetan","given":"Filip"},{"family":"Donos","given":"Cristian"},{"family":"Maliia","given":"Mihai Dragos"},{"family":"Arbune","given":"Anca Adriana"},{"family":"Daneasa","given":"Andrei"},{"family":"Pistol","given":"Constantin"},{"family":"Nica","given":"Adriana Elena"},{"family":"Bajenaru","given":"Ovidiu Alexandru"},{"family":"Mindruta","given":"Ioana"}],"issued":{"date-parts":[["2020",10,15]]},"citation-key":"oaneCingulateCortexFunction2020"}},{"id":3368,"uris":["http://zotero.org/users/7023408/items/9NJXW7ZV"],"itemData":{"id":3368,"type":"article-journal","abstract":"Summary: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35</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To this end, we discuss several key findings used to model the effective connectivity networks of each CC subregion. First, we implement a complementary metric of effective connectivity in the form of CCEP coherence, which provides insight into the diversity of communication between the stimulated region and downstream regions. Using primary measures of effective connectivity, we constructed network models of each CC subregion and provided a comprehensive relative connectivity cortical profile, revealing “hub” regions with near-equivalent connectivity to each CC subregion. We also provide results analyzing the emergent properties of these networks, such as spatial patterns, temporal dynamics, </w:t>
      </w:r>
      <w:r>
        <w:rPr>
          <w:rFonts w:ascii="Times New Roman" w:hAnsi="Times New Roman" w:cs="Times New Roman"/>
        </w:rPr>
        <w:lastRenderedPageBreak/>
        <w:t xml:space="preserve">and inter-regional CCEP characterizations. Finally, we used a machine-learning approach to identify which metrics are quantitatively important for characterizing or differentiating between these networks, specifically through a comparison of primary effective connectivity measures, temporal measures, spectral measures, assumption-free measures of CCEP waveforms, and assumption-based measures of CCEP waveforms on the predictive strength of our model. </w:t>
      </w:r>
    </w:p>
    <w:p w14:paraId="2B38363E" w14:textId="06E423DF" w:rsidR="005C5A95" w:rsidRDefault="005C5A95" w:rsidP="005C5A95">
      <w:pPr>
        <w:rPr>
          <w:rFonts w:ascii="Times New Roman" w:hAnsi="Times New Roman" w:cs="Times New Roman"/>
        </w:rPr>
      </w:pPr>
      <w:r>
        <w:rPr>
          <w:rFonts w:ascii="Times New Roman" w:hAnsi="Times New Roman" w:cs="Times New Roman"/>
        </w:rPr>
        <w:t>Key methodological strengths of the present study include constant stimulation parameters chosen to maximize response signal across recording contacts and the exclusion of any data from patients with cortical resections. Previous titration studies have demonstrated that CCEPs are dependent on stimulation parameters and that stimulation currents of at least 6</w:t>
      </w:r>
      <w:r w:rsidR="003E0D6A">
        <w:rPr>
          <w:rFonts w:ascii="Times New Roman" w:hAnsi="Times New Roman" w:cs="Times New Roman"/>
        </w:rPr>
        <w:t xml:space="preserve"> </w:t>
      </w:r>
      <w:r>
        <w:rPr>
          <w:rFonts w:ascii="Times New Roman" w:hAnsi="Times New Roman" w:cs="Times New Roman"/>
        </w:rPr>
        <w:t xml:space="preserve">mA are necessary to maximize the </w:t>
      </w:r>
      <w:r w:rsidR="00B5714F">
        <w:rPr>
          <w:rFonts w:ascii="Times New Roman" w:hAnsi="Times New Roman" w:cs="Times New Roman"/>
        </w:rPr>
        <w:t>magnitude</w:t>
      </w:r>
      <w:r>
        <w:rPr>
          <w:rFonts w:ascii="Times New Roman" w:hAnsi="Times New Roman" w:cs="Times New Roman"/>
        </w:rPr>
        <w:t xml:space="preserve"> and spatial distribution of responses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{"citationID":"fIWULn0x","properties":{"formattedCitation":"({\\i{}26}, {\\i{}32})","plainCitation":"(26, 32)","noteIndex":0},"citationItems":[{"id":4270,"uris":["http://zotero.org/users/7023408/items/3YRNXVAK"],"itemData":{"id":4270,"type":"article-journal","abstract":"Objective\nThe aim of the present study was to investigate the optimal stimulation parameters for eliciting cortico-cortical evoked potentials (CCEPs) for mapping functional and epileptogenic networks.\nMethods\nWe studied 13 patients with refractory epilepsy undergoing intracranial EEG monitoring. We systematically titrated the intensity of single-pulse electrical stimulation at multiple sites to assess the effect of increasing current on salient features of CCEPs such as N1 potential magnitude, signal to noise ratio, waveform similarity, and spatial distribution of responses. Responses at each incremental stimulation setting were compared to each other and to a final set of responses at the maximum intensity used in each patient (3.5–10 mA, median 6 mA).\nResults\nWe found that with a biphasic 0.15 ms/phase pulse at least 2–4 mA is needed to differentiate between non-responsive and responsive sites, and that stimulation currents of 6–7 mA are needed to maximize amplitude and spatial distribution of N1 responses and stabilize waveform morphology.\nConclusions\nWe determined a minimum stimulation threshold necessary for eliciting CCEPs, as well as a point at which the current-dependent relationship of several response metrics all saturate.\nSignificance\nThis titration study provides practical, immediate guidance on optimal stimulation parameters to study specific features of CCEPs, which have been increasingly used to map both functional and epileptic brain networks in humans.","container-title":"Clinical Neurophysiology","DOI":"10.1016/j.clinph.2021.08.008","ISSN":"1388-2457","issue":"11","journalAbbreviation":"Clinical Neurophysiology","page":"2766-2777","source":"ScienceDirect","title":"Effects of stimulation intensity on intracranial cortico-cortical evoked potentials: A titration study","title-short":"Effects of stimulation intensity on intracranial cortico-cortical evoked potentials","volume":"132","author":[{"family":"Hays","given":"Mark A."},{"family":"Smith","given":"Rachel J."},{"family":"Haridas","given":"Babitha"},{"family":"Coogan","given":"Christopher"},{"family":"Crone","given":"Nathan E."},{"family":"Kang","given":"Joon Y."}],"issued":{"date-parts":[["2021",11,1]]},"citation-key":"haysEffectsStimulationIntensity2021"}},{"id":3654,"uris":["http://zotero.org/users/7023408/items/DNUA57UZ"],"itemData":{"id":3654,"type":"article-journal","abstract":"Background\nCortico-cortical evoked potentials (CCEPs) recorded by stereo-electroencephalography (SEEG) are a valuable tool to investigate brain reactivity and effective connectivity. However, invasive recordings are spatially sparse since they depend on clinical needs. This sparsity hampers systematic comparisons across-subjects, the detection of the whole-brain effects of intracortical stimulation, as well as their relationships to the EEG responses evoked by non-invasive stimuli.\nObjective\nTo demonstrate that CCEPs recorded by high-density electroencephalography (hd-EEG) provide additional information with respect SEEG alone and to provide an open, curated dataset to allow for further exploration of their potential.\nMethods\nThe dataset encompasses SEEG and hd-EEG recordings simultaneously acquired during Single Pulse Electrical Stimulation (SPES) in drug-resistant epileptic patients (N = 36) in whom stimulations were delivered with different physical, geometrical, and topological parameters. Differences in CCEPs were assessed by amplitude, latency, and spectral measures.\nResults\nWhile invasively and non-invasively recorded CCEPs were generally correlated, differences in pulse duration, angle and stimulated cortical area were better captured by hd-EEG. Further, intracranial stimulation evoked site-specific hd-EEG responses that reproduced the spectral features of EEG responses to transcranial magnetic stimulation (TMS). Notably, SPES, albeit unperceived by subjects, elicited scalp responses that were up to one order of magnitude larger than the responses typically evoked by sensory stimulation in awake humans.\nConclusions\nCCEPs can be simultaneously recorded with SEEG and hd-EEG and the latter provides a reliable descriptor of the effects of SPES as well as a common reference to compare the whole-brain effects of intracortical stimulation to those of non-invasive transcranial or sensory stimulations in humans.","container-title":"Brain Stimulation","DOI":"10.1016/j.brs.2022.04.007","ISSN":"1935-861X","issue":"3","journalAbbreviation":"Brain Stimulation","page":"664-675","source":"ScienceDirect","title":"Simultaneous stereo-EEG and high-density scalp EEG recordings to study the effects of intracerebral stimulation parameters","volume":"15","author":[{"family":"Parmigiani","given":"S."},{"family":"Mikulan","given":"E."},{"family":"Russo","given":"S."},{"family":"Sarasso","given":"S."},{"family":"Zauli","given":"F. M."},{"family":"Rubino","given":"A."},{"family":"Cattani","given":"A."},{"family":"Fecchio","given":"M."},{"family":"Giampiccolo","given":"D."},{"family":"Lanzone","given":"J."},{"family":"D'Orio","given":"P."},{"family":"Del Vecchio","given":"M."},{"family":"Avanzini","given":"P."},{"family":"Nobili","given":"L."},{"family":"Sartori","given":"I."},{"family":"Massimini","given":"M."},{"family":"Pigorini","given":"A."}],"issued":{"date-parts":[["2022",5,1]]},"citation-key":"parmigianiSimultaneousStereoEEGHighdensity2022"}}],"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26</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32</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Further, our study does not include any data from patients with major brain resections, thereby preserving native anatomy and white-matter pathways that underlie effective connections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{"citationID":"WK5PgFCX","properties":{"formattedCitation":"({\\i{}33})","plainCitation":"(33)","noteIndex":0},"citationItems":[{"id":4271,"uris":["http://zotero.org/users/7023408/items/FBSRKXDQ"],"itemData":{"id":4271,"type":"article-journal","abstract":"A better understanding of the mechanisms involved in human higher cortical functions requires a detailed knowledge of neuronal connectivity between functional cortical regions. Currently no good method for tracking in vivo neuronal connectivity exists. We investigated the inter-areal connections in vivo in the human language system using a new method, which we termed 'cortico-cortical evoked potentials' (CCEPs). Eight patients with epilepsy (age 13-42 years) underwent invasive monitoring with subdural electrodes for epilepsy surgery. Six patients had language dominance on the side of grid implantation and two had bilateral language representation by the intracarotid amobarbital test. Conventional cortical electrical stimulation was performed to identify the anterior and posterior language areas. Single pulse electrical stimuli were delivered to the anterior language (eight patients), posterior language (four patients) or face motor (two patients) area, and CCEPs were obtained by averaging electrocorticograms (ECoGs) recorded from the perisylvian and extrasylvian basal temporal language areas time-locked to the stimulus. The subjects were not asked to perform any tasks during the study. Stimulation at the anterior language area elicited CCEPs in the lateral temporo-parietal area (seven of eight patients) in the middle and posterior part of the superior temporal gyrus, the adjacent part of the middle temporal gyrus and the supramarginal gyrus. CCEPs were recorded in 3-21 electrodes per patient. CCEPs occurred at or around the particular electrodes in the posterior language area which, when stimulated, produced speech arrest. Similar early and late CCEPs were obtained from the basal temporal area by stimulating the anterior language area (three of three patients). In contrast, stimulation of the adjacent face motor area did not elicit CCEPs in language areas but rather in the postcentral gyrus. Stimulation of the posterior language area produced CCEPs in the anterior language (three of four patients) as well as in the basal temporal area (one of two patients). These CCEPs were less well defined. These findings suggest that perisylvian and extrasylvian language areas participate in the language system as components of a network by means of feed-forward and feed-back projections. Different from the classical Wernicke-Geschwind model, the present study revealed a bidirectional connection between Broca's and Wernicke's areas probably through the arcuate fasciculus and/or the cortico-subcortico-cortical pathway. CCEPs were recorded from a larger area than the posterior language area identified by electrical stimulation. This suggests the existence of a rather broad neuronal network surrounding the previously recognized core region of this area.","container-title":"Brain: A Journal of Neurology","DOI":"10.1093/brain/awh246","ISSN":"1460-2156","issue":"Pt 10","journalAbbreviation":"Brain","language":"eng","note":"PMID: 15269116","page":"2316-2330","source":"PubMed","title":"Functional connectivity in the human language system: a cortico-cortical evoked potential study","title-short":"Functional connectivity in the human language system","volume":"127","author":[{"family":"Matsumoto","given":"Riki"},{"family":"Nair","given":"Dileep R."},{"family":"LaPresto","given":"Eric"},{"family":"Najm","given":"Imad"},{"family":"Bingaman","given":"William"},{"family":"Shibasaki","given":"Hiroshi"},{"family":"Lüders","given":"Hans O."}],"issued":{"date-parts":[["2004",10]]},"citation-key":"matsumotoFunctionalConnectivityHuman2004a"}}],"schema":"https://github.com/citation-style-language/schema/raw/master/csl-citation.json"}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33</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w:t>
      </w:r>
    </w:p>
    <w:p w14:paraId="2685C4D6" w14:textId="43A5C739" w:rsidR="005C5A95" w:rsidRDefault="005C5A95" w:rsidP="005C5A95">
      <w:pPr>
        <w:rPr>
          <w:rFonts w:ascii="Times New Roman" w:hAnsi="Times New Roman" w:cs="Times New Roman"/>
        </w:rPr>
      </w:pPr>
      <w:r>
        <w:rPr>
          <w:rFonts w:ascii="Times New Roman" w:hAnsi="Times New Roman" w:cs="Times New Roman"/>
        </w:rPr>
        <w:t xml:space="preserve">We quantified effective connectivity with two complementary metrics: CCEP magnitude, which captures the </w:t>
      </w:r>
      <w:r w:rsidR="000B3C68">
        <w:rPr>
          <w:rFonts w:ascii="Times New Roman" w:hAnsi="Times New Roman" w:cs="Times New Roman"/>
        </w:rPr>
        <w:t>strength</w:t>
      </w:r>
      <w:r>
        <w:rPr>
          <w:rFonts w:ascii="Times New Roman" w:hAnsi="Times New Roman" w:cs="Times New Roman"/>
        </w:rPr>
        <w:t xml:space="preserve"> of </w:t>
      </w:r>
      <w:r w:rsidR="000B3C68">
        <w:rPr>
          <w:rFonts w:ascii="Times New Roman" w:hAnsi="Times New Roman" w:cs="Times New Roman"/>
        </w:rPr>
        <w:t>connection</w:t>
      </w:r>
      <w:r>
        <w:rPr>
          <w:rFonts w:ascii="Times New Roman" w:hAnsi="Times New Roman" w:cs="Times New Roman"/>
        </w:rPr>
        <w:t xml:space="preserve"> (and is widely used in the literature), and CCEP coherence, which measures the consistency of the evoked waveform to stimulation. While CCEP magnitude is a suitable measure for identifying responses based on the strength of connection, CCEP coherence serves as a measure of response waveform morphological consistency or heterogeneity. This measure is an alternative to isolating the most common components of evoked waveforms</w:t>
      </w:r>
      <w:r w:rsidR="003E0D6A">
        <w:rPr>
          <w:rFonts w:ascii="Times New Roman" w:hAnsi="Times New Roman" w:cs="Times New Roman"/>
        </w:rPr>
        <w:t>,</w:t>
      </w:r>
      <w:r>
        <w:rPr>
          <w:rFonts w:ascii="Times New Roman" w:hAnsi="Times New Roman" w:cs="Times New Roman"/>
        </w:rPr>
        <w:t xml:space="preserve"> which is critical to understanding highly specific interactions between regions, especially in hypothesis</w:t>
      </w:r>
      <w:r w:rsidR="003E0D6A">
        <w:rPr>
          <w:rFonts w:ascii="Times New Roman" w:hAnsi="Times New Roman" w:cs="Times New Roman"/>
        </w:rPr>
        <w:t>-</w:t>
      </w:r>
      <w:r>
        <w:rPr>
          <w:rFonts w:ascii="Times New Roman" w:hAnsi="Times New Roman" w:cs="Times New Roman"/>
        </w:rPr>
        <w:t xml:space="preserve">preselected CCEP studies supported by basis profiling and canonical response parameterization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{"citationID":"AsvOKK1d","properties":{"formattedCitation":"({\\i{}28}, {\\i{}31})","plainCitation":"(28, 31)","noteIndex":0},"citationItems":[{"id":3036,"uris":["http://zotero.org/users/7023408/items/CUSVQH4H"],"itemData":{"id":3036,"type":"article-journal","abstract":"Brain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28</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31</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We instead leverage this metric of coherence to represent the diversity of observed waveform morphology at sites effectively connected to the stimulated target, which better serves comparisons of whole-network profiles. If effective connectivity can be defined as the influence that one neuronal population exerts over another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{"citationID":"fwWEkCzf","properties":{"formattedCitation":"({\\i{}22})","plainCitation":"(22)","noteIndex":0},"citationItems":[{"id":4269,"uris":["http://zotero.org/users/7023408/items/6IM4DBTS"],"itemData":{"id":4269,"type":"article-journal","abstract":"Over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Connectivity","DOI":"10.1089/brain.2011.0008","ISSN":"2158-0022","issue":"1","journalAbbreviation":"Brain Connect","language":"eng","note":"PMID: 22432952","page":"13-36","source":"PubMed","title":"Functional and effective connectivity: a review","title-short":"Functional and effective connectivity","volume":"1","author":[{"family":"Friston","given":"Karl J."}],"issued":{"date-parts":[["2011"]]},"citation-key":"fristonFunctionalEffectiveConnectivity2011"}}],"schema":"https://github.com/citation-style-language/schema/raw/master/csl-citation.json"}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22</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then the morphological changes in LFP following SPES provide insight into the function and physiological mechanisms related to how the stimulation site communicates with downstream regions. Thus, this measure represents the diversity of accessible signaling or communication between effectively connected regions. </w:t>
      </w:r>
    </w:p>
    <w:p w14:paraId="74DD1730" w14:textId="2F66C676" w:rsidR="005C5A95" w:rsidRDefault="005C5A95" w:rsidP="005C5A95">
      <w:pPr>
        <w:rPr>
          <w:rFonts w:ascii="Times New Roman" w:hAnsi="Times New Roman" w:cs="Times New Roman"/>
        </w:rPr>
      </w:pPr>
      <w:r>
        <w:rPr>
          <w:rFonts w:ascii="Times New Roman" w:hAnsi="Times New Roman" w:cs="Times New Roman"/>
        </w:rPr>
        <w:t>By implementing CCEP coherence as a measure of effective connectivity, we were able to detect changes not only in the magnitude of the LFP, but also in how uniformly that response’s morphology is reproduced across stimulation events. This measure’s utility was evident when defining effective connections from the CC subregions to the hippocampus. We found that several hippocampal subregions showed significant effective connectivity when using CCEP coherence, but not when using CCEP magnitude. This result may reflect highly</w:t>
      </w:r>
      <w:r w:rsidR="003E0D6A">
        <w:rPr>
          <w:rFonts w:ascii="Times New Roman" w:hAnsi="Times New Roman" w:cs="Times New Roman"/>
        </w:rPr>
        <w:t xml:space="preserve"> variabl</w:t>
      </w:r>
      <w:r>
        <w:rPr>
          <w:rFonts w:ascii="Times New Roman" w:hAnsi="Times New Roman" w:cs="Times New Roman"/>
        </w:rPr>
        <w:t>e hippocampal activity (</w:t>
      </w:r>
      <w:r w:rsidR="003E0D6A">
        <w:rPr>
          <w:rFonts w:ascii="Times New Roman" w:hAnsi="Times New Roman" w:cs="Times New Roman"/>
        </w:rPr>
        <w:t>e.g.,</w:t>
      </w:r>
      <w:r>
        <w:rPr>
          <w:rFonts w:ascii="Times New Roman" w:hAnsi="Times New Roman" w:cs="Times New Roman"/>
        </w:rPr>
        <w:t xml:space="preserve"> sharp-wave ripples)</w:t>
      </w:r>
      <w:r w:rsidR="003E0D6A">
        <w:rPr>
          <w:rFonts w:ascii="Times New Roman" w:hAnsi="Times New Roman" w:cs="Times New Roman"/>
        </w:rPr>
        <w:t>,</w:t>
      </w:r>
      <w:r>
        <w:rPr>
          <w:rFonts w:ascii="Times New Roman" w:hAnsi="Times New Roman" w:cs="Times New Roman"/>
        </w:rPr>
        <w:t xml:space="preserve"> which prevent detectible quantitative changes in LFP </w:t>
      </w:r>
      <w:r w:rsidR="000B3C68">
        <w:rPr>
          <w:rFonts w:ascii="Times New Roman" w:hAnsi="Times New Roman" w:cs="Times New Roman"/>
        </w:rPr>
        <w:t>magnitude</w:t>
      </w:r>
      <w:r>
        <w:rPr>
          <w:rFonts w:ascii="Times New Roman" w:hAnsi="Times New Roman" w:cs="Times New Roman"/>
        </w:rPr>
        <w:t xml:space="preserve"> after stimulation, or unique stimulation-induced changes in LFP morphology due to the geometric relationship between recording electrodes and the hippocampus’s curved anatomical structure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{"citationID":"qgKZ1Q4N","properties":{"formattedCitation":"({\\i{}36}, {\\i{}37})","plainCitation":"(36, 37)","noteIndex":0},"citationItems":[{"id":4272,"uris":["http://zotero.org/users/7023408/items/S82L84GI"],"itemData":{"id":4272,"type":"article-journal","abstract":"Decades of rodent research have established the role of hippocampal sharp wave ripples (SPW-Rs) in consolidating and guiding experience. More recently, intracranial recordings in humans have suggested their role in episodic and semantic memory. Yet, common standards for recording, detection, and reporting do not exist. Here, we outline the methodological challenges involved in detecting ripple events and offer practical recommendations to improve separation from other high-frequency oscillations. We argue that shared experimental, detection, and reporting standards will provide a solid foundation for future translational discovery.","container-title":"Nature Communications","DOI":"10.1038/s41467-022-33536-x","ISSN":"2041-1723","issue":"1","journalAbbreviation":"Nat Commun","language":"en","license":"2022 The Author(s)","page":"6000","source":"www.nature.com","title":"A consensus statement on detection of hippocampal sharp wave ripples and differentiation from other fast oscillations","volume":"13","author":[{"family":"Liu","given":"Anli A."},{"family":"Henin","given":"Simon"},{"family":"Abbaspoor","given":"Saman"},{"family":"Bragin","given":"Anatol"},{"family":"Buffalo","given":"Elizabeth A."},{"family":"Farrell","given":"Jordan S."},{"family":"Foster","given":"David J."},{"family":"Frank","given":"Loren M."},{"family":"Gedankien","given":"Tamara"},{"family":"Gotman","given":"Jean"},{"family":"Guidera","given":"Jennifer A."},{"family":"Hoffman","given":"Kari L."},{"family":"Jacobs","given":"Joshua"},{"family":"Kahana","given":"Michael J."},{"family":"Li","given":"Lin"},{"family":"Liao","given":"Zhenrui"},{"family":"Lin","given":"Jack J."},{"family":"Losonczy","given":"Attila"},{"family":"Malach","given":"Rafael"},{"family":"Meer","given":"Matthijs A.","non-dropping-particle":"van der"},{"family":"McClain","given":"Kathryn"},{"family":"McNaughton","given":"Bruce L."},{"family":"Norman","given":"Yitzhak"},{"family":"Navas-Olive","given":"Andrea"},{"family":"Prida","given":"Liset M.","non-dropping-particle":"de la"},{"family":"Rueckemann","given":"Jon W."},{"family":"Sakon","given":"John J."},{"family":"Skelin","given":"Ivan"},{"family":"Soltesz","given":"Ivan"},{"family":"Staresina","given":"Bernhard P."},{"family":"Weiss","given":"Shennan A."},{"family":"Wilson","given":"Matthew A."},{"family":"Zaghloul","given":"Kareem A."},{"family":"Zugaro","given":"Michaël"},{"family":"Buzsáki","given":"György"}],"issued":{"date-parts":[["2022",10,12]]},"citation-key":"liuConsensusStatementDetection2022"}},{"id":4273,"uris":["http://zotero.org/users/7023408/items/6RYDX8Z8"],"itemData":{"id":4273,"type":"article-journal","abstract":"Understanding and discriminating the normal and abnormal elements of the intracranial electroencephalogram (iEEG) is essential in decision-making for epilepsy surgery. The hippocampus is widely acknowledged as a key structure in decision-making processes for surgical treatment in temporal lobe epilepsy and epilepsies that involve the mesial temporal structures. This review will provide a summary of the current state of our knowledge and understanding regarding normal and abnormal features of the iEEG of the human hippocampus.","container-title":"Neurosurgery Clinics of North America","DOI":"10.1016/j.nec.2023.08.004","ISSN":"1558-1349","issue":"1","journalAbbreviation":"Neurosurg Clin N Am","language":"eng","note":"PMID: 38000843","page":"73-82","source":"PubMed","title":"Interpretation of the Intracranial Electroencephalogram of the Human Hippocampus","volume":"35","author":[{"family":"Kokkinos","given":"Vasileios"}],"issued":{"date-parts":[["2024",1]]},"citation-key":"kokkinosInterpretationIntracranialElectroencephalogram2024"}}],"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36</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37</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This indicates that while the magnitude of the LFP after </w:t>
      </w:r>
      <w:r>
        <w:rPr>
          <w:rFonts w:ascii="Times New Roman" w:hAnsi="Times New Roman" w:cs="Times New Roman"/>
        </w:rPr>
        <w:lastRenderedPageBreak/>
        <w:t>stimulation was not statistically different from pre-stimulation, changes in CCEP morphological character were detect</w:t>
      </w:r>
      <w:r w:rsidR="003E0D6A">
        <w:rPr>
          <w:rFonts w:ascii="Times New Roman" w:hAnsi="Times New Roman" w:cs="Times New Roman"/>
        </w:rPr>
        <w:t>a</w:t>
      </w:r>
      <w:r>
        <w:rPr>
          <w:rFonts w:ascii="Times New Roman" w:hAnsi="Times New Roman" w:cs="Times New Roman"/>
        </w:rPr>
        <w:t>ble through our CCEP coherence metric.</w:t>
      </w:r>
    </w:p>
    <w:p w14:paraId="60CF7749" w14:textId="0A401535" w:rsidR="005C5A95" w:rsidRDefault="005C5A95" w:rsidP="005C5A95">
      <w:pPr>
        <w:rPr>
          <w:rFonts w:ascii="Times New Roman" w:hAnsi="Times New Roman" w:cs="Times New Roman"/>
        </w:rPr>
      </w:pPr>
      <w:r>
        <w:rPr>
          <w:rFonts w:ascii="Times New Roman" w:hAnsi="Times New Roman" w:cs="Times New Roman"/>
        </w:rPr>
        <w:t xml:space="preserve">Our models of CC effective connectivity showed widespread connections with prominent responses in areas coinciding with previous literature. The ACC showed predominant connections to orbito-frontal, frontal, mesial temporal, temporal, and insular structures, reproducing previous stimulation studies and supporting functional and anatomical literature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{"citationID":"KHn5HioZ","properties":{"formattedCitation":"({\\i{}4}, {\\i{}35})","plainCitation":"(4, 35)","noteIndex":0},"citationItems":[{"id":3364,"uris":["http://zotero.org/users/7023408/items/S35QUQE3"],"itemData":{"id":3364,"type":"article-journal","abstract":"The cingulate cortex is part of the limbic system. Its function and connectivity are organized in a rostro-caudal and ventral-dorsal manner which was addressed by various other studies using rather coarse cortical parcellations. In this study, we aim at describing its function and connectivity using invasive recordings from patients explored for focal drug-resistant epilepsy. We included patients that underwent stereo-electroencephalographic recordings using intracranial electrodes in the University Emergency Hospital Bucharest between 2012 and 2019. We reviewed all high frequency stimulations (50 ​Hz) performed for functional mapping of the cingulate cortex. We used two methods to characterize brain connectivity. Effective connectivity was inferred based on the analysis of cortico-cortical potentials (CCEPs) evoked by single pulse electrical stimulation (SPES) (15 ​s inter-pulse interval). Functional connectivity was estimated using the non-linear regression method applied to 60 ​s spontaneous electrical brain signal intervals. The effective (stimulation-evoked) and functional (non-evoked) connectivity analyses highlight brain networks in a different way. While non-evoked connectivity evidences areas having related activity, often in close proximity to each other, evoked connectivity highlights spatially extended networks. To highlight in a comprehensive way the cingulate cortex’s network, we have performed a bi-modal connectivity analysis that combines the resting-state broadband h2 non-linear correlation with cortico-cortical evoked potentials. We co-registered the patient’s anatomy with the fsaverage FreeSurfer template to perform the automatic labeling based on HCP-MMP parcellation. At a group level, connectivity was estimated by averaging responses over stimulated/recorded or recorded sites in each pair of parcels. Finally, for multiple regions that evoked a clinical response during high frequency stimulation, we combined the connectivity of individual pairs using maximum intensity projection. Connectivity was assessed by applying SPES on 2094 contact pairs and recording CCEPs on 3580 contacts out of 8582 contacts of 660 electrodes implanted in 47 patients. Clinical responses elicited by high frequency stimulations in 107 sites (pairs of contacts) located in the cingulate cortex were divided in 10 groups: affective, motor behavior, motor elementary, versive, speech, vestibular, autonomic, somatosensory, visual and changes in body perception. Anterior cingulate cortex was shown to be connected to the mesial temporal, orbitofrontal and prefrontal cortex. In the middle cingulate cortex, we located affective, motor behavior in the anterior region, and elementary motor and somatosensory in the posterior part. This region is connected to the prefrontal, premotor and primary motor network. Finally, the posterior cingulate was shown to be connected with the visual areas, mesial and lateral parietal and temporal cortex.","container-title":"NeuroImage","DOI":"10.1016/j.neuroimage.2020.117059","ISSN":"1053-8119","journalAbbreviation":"NeuroImage","language":"en","page":"117059","source":"ScienceDirect","title":"Cingulate cortex function and multi-modal connectivity mapped using intracranial stimulation","volume":"220","author":[{"family":"Oane","given":"Irina"},{"family":"Barborica","given":"Andrei"},{"family":"Chetan","given":"Filip"},{"family":"Donos","given":"Cristian"},{"family":"Maliia","given":"Mihai Dragos"},{"family":"Arbune","given":"Anca Adriana"},{"family":"Daneasa","given":"Andrei"},{"family":"Pistol","given":"Constantin"},{"family":"Nica","given":"Adriana Elena"},{"family":"Bajenaru","given":"Ovidiu Alexandru"},{"family":"Mindruta","given":"Ioana"}],"issued":{"date-parts":[["2020",10,15]]},"citation-key":"oaneCingulateCortexFunction2020"}},{"id":3368,"uris":["http://zotero.org/users/7023408/items/9NJXW7ZV"],"itemData":{"id":3368,"type":"article-journal","abstract":"Summary: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35</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Interestingly, of all three stimulation conditions, the ACC was the only subregion to show significant connections to the superior temporal gyrus, possibly reflecting the ACC’s top-down attentional and conflict-monitoring modulation of auditory and language processing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{"citationID":"QlFzWwpg","properties":{"formattedCitation":"({\\i{}38}, {\\i{}39})","plainCitation":"(38, 39)","noteIndex":0},"citationItems":[{"id":4283,"uris":["http://zotero.org/users/7023408/items/VB63KAP3"],"itemData":{"id":4283,"type":"article-journal","abstract":"It has been hypothesized that the anterior cingulate cortex (ACC) contributes to cognition by detecting conflicts that might occur during information processing, to signal the need to engage top-down attentional processes. The present study was designed to investigate which levels of processing are being monitored by the ACC for the presence of conflict. Event-related fMRI was used to measure the response of the ACC during an interference task in which distracting information could be congruent, conflicting at the level of stimulus identification, or conflicting at the response level. Although both types of conflict caused reaction time interference, the fMRI data showed that the ACC is responsive only to response conflict, even when controlling for reaction times. These results suggest a highly specific contribution of the ACC to executive functions, through the detection of conflicts occurring at later or response-related levels of processing.","container-title":"NeuroImage","DOI":"10.1006/nimg.2001.0923","ISSN":"1053-8119","issue":"6","journalAbbreviation":"Neuroimage","language":"eng","note":"PMID: 11707086","page":"1302-1308","source":"PubMed","title":"Anterior cingulate cortex, conflict monitoring, and levels of processing","volume":"14","author":[{"family":"Veen","given":"V.","non-dropping-particle":"van"},{"family":"Cohen","given":"J. D."},{"family":"Botvinick","given":"M. M."},{"family":"Stenger","given":"V. A."},{"family":"Carter","given":"C. S."}],"issued":{"date-parts":[["2001",12]]},"citation-key":"vanveenAnteriorCingulateCortex2001"}},{"id":4284,"uris":["http://zotero.org/users/7023408/items/WC7HJ5HG"],"itemData":{"id":4284,"type":"article-journal","abstract":"We often exert greater cognitive resources (i.e., listening effort) to understand speech under challenging acoustic conditions. This mechanism can be overwhelmed in those with hearing loss, resulting in cognitive fatigue in adults, and potentially impeding language acquisition in children. However, the neural mechanisms that support listening effort are uncertain. Evidence from human studies suggest that the cingulate cortex is engaged under difficult listening conditions, and may exert top-down modulation of the auditory cortex (AC). Here, we asked whether the gerbil cingulate cortex (Cg) sends anatomical projections to the AC that facilitate perceptual performance. To model challenging listening conditions, we used a sound discrimination task in which stimulus parameters were presented in either 'Easy' or 'Hard' blocks (i.e., long or short stimulus duration, respectively). Gerbils achieved statistically identical psychometric performance in Easy and Hard blocks. Anatomical tracing experiments revealed a strong, descending projection from layer 2/3 of the Cg1 subregion of the cingulate cortex to superficial and deep layers of primary and dorsal AC. To determine whether Cg improves task performance under challenging conditions, we bilaterally infused muscimol to inactivate Cg1, and found that psychometric thresholds were degraded for only Hard blocks. To test whether the Cg-to-AC projection facilitates task performance, we chemogenetically inactivated these inputs and found that performance was only degraded during Hard blocks. Taken together, the results reveal a descending cortical pathway that facilitates perceptual performance during challenging listening conditions.\nSIGNIFICANCE STATEMENT: Sensory perception often occurs under challenging conditions, such a noisy background or dim environment, yet stimulus sensitivity can remain unaffected. One hypothesis is that cognitive resources are recruited to the task, thereby facilitating perceptual performance. Here, we identify a top-down cortical circuit, from cingulate to auditory cortex in the gerbils, that supports auditory perceptual performance under challenging listening conditions. This pathway is a plausible circuit that supports effortful listening, and may be degraded by hearing loss.","container-title":"bioRxiv: The Preprint Server for Biology","DOI":"10.1101/2023.11.10.566668","ISSN":"2692-8205","journalAbbreviation":"bioRxiv","language":"eng","note":"PMID: 38014324\nPMCID: PMC10680599","page":"2023.11.10.566668","source":"PubMed","title":"Cingulate cortex facilitates auditory perception under challenging listening conditions","author":[{"family":"Anbuhl","given":"Kelsey L."},{"family":"Diez Castro","given":"Marielisa"},{"family":"Lee","given":"Nikki A."},{"family":"Lee","given":"Vivian S."},{"family":"Sanes","given":"Dan H."}],"issued":{"date-parts":[["2023",11,14]]},"citation-key":"anbuhlCingulateCortexFacilitates2023"}}],"schema":"https://github.com/citation-style-language/schema/raw/master/csl-citation.json"}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38</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39</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While functional and anatomical links between these two regions have been noted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{"citationID":"IfhPuOIE","properties":{"formattedCitation":"({\\i{}4}, {\\i{}40}, {\\i{}41})","plainCitation":"(4, 40, 41)","noteIndex":0},"citationItems":[{"id":3368,"uris":["http://zotero.org/users/7023408/items/9NJXW7ZV"],"itemData":{"id":3368,"type":"article-journal","abstract":"Summary: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Connectivity"}},{"id":4281,"uris":["http://zotero.org/users/7023408/items/E36PW4XZ"],"itemData":{"id":4281,"type":"article-journal","abstract":"Patients with later-life depression (LLD) show abnormal gray matter (GM) volume, white matter (WM) integrity and functional connectivity in the anterior cingulate cortex (ACC) and posterior superior temporal gyrus (pSTG), but it remains unclear whether these abnormalities persist over time. We examined whether structural and functional abnormalities in these two regions are present within the same subjects during depressed vs. remitted phases. Sixteen patients with LLD and 30 healthy subjects were studied over a period of 1.5 years. Brain images obtained with a 3-Tesla magnetic resonance imaging (MRI) system were analyzed by voxel-based morphometry of the GM volume, and diffusion tensor imaging (DTI) and resting-state functional MRI were used to assess ACC-pSTG connectivity. Patients with LLD in the depressed and remitted phases showed significantly smaller GM volume in the left ACC and left pSTG than healthy subjects. Both patients with LLD in the depressed and remitted phases had significantly higher diffusivities in the WM tract of the left ACC-pSTG than healthy subjects. Remitted patients with LLD showed lower functional ACC-pSTG connectivity compared to healthy subjects. No difference was found in the two regions between depressed and remitted patients in GM volume, structural or functional connectivity. Functional ACC-pSTG connectivity was positively correlated with lower global function during remission. Our preliminary data show that structural and functional abnormalities of the ACC and pSTG occur during LLD remission. Our findings tentatively reveal the brain pathophysiology involved in LLD and may aid in developing neuroanatomical biomarkers for this condition.","container-title":"Frontiers in Aging Neuroscience","DOI":"10.3389/fnagi.2018.00031","ISSN":"1663-4365","journalAbbreviation":"Front Aging Neurosci","language":"eng","note":"PMID: 29472854\nPMCID: PMC5809471","page":"31","source":"PubMed","title":"Altered Connectivity of the Anterior Cingulate and the Posterior Superior Temporal Gyrus in a Longitudinal Study of Later-life Depression","volume":"10","author":[{"family":"Harada","given":"Kenichiro"},{"family":"Ikuta","given":"Toshikazu"},{"family":"Nakashima","given":"Mami"},{"family":"Watanuki","given":"Toshio"},{"family":"Hirotsu","given":"Masako"},{"family":"Matsubara","given":"Toshio"},{"family":"Yamagata","given":"Hirotaka"},{"family":"Watanabe","given":"Yoshifumi"},{"family":"Matsuo","given":"Koji"}],"issued":{"date-parts":[["2018"]]},"citation-key":"haradaAlteredConnectivityAnterior2018"}},{"id":4282,"uris":["http://zotero.org/users/7023408/items/A2MSDMFA"],"itemData":{"id":4282,"type":"article-journal","abstract":"Objective\nCorrelation of white matter microstructure with various cognitive processing tasks and with overall intelligence has been previously demonstrated. We investigate the correlation of white matter microstructure with various higher-order auditory processing tasks, including interpretation of speech-in-noise, recognition of low-pass frequency filtered words, and interpretation of time-compressed sentences at two different values of compression. These tests are typically used to diagnose auditory processing disorder (APD) in children. Our hypothesis is that correlations between white matter microstructure in tracts connecting the temporal, frontal, and parietal lobes, as well as callosal pathways, will be seen. Previous functional imaging studies have shown correlations between activation in temporal, frontal and parietal regions from higher-order auditory processing tasks. Additionally, we hypothesize that the regions displaying correlations will vary according to the task, as each task uses a different set of skills.\n\nDesign\nDiffusion tensor imaging (DTI) data was acquired in a cohort of 17 normal-hearing children ages 9-11. Fractional anisotropy (FA), a measure of white matter fiber tract integrity and organization was computed and correlated on a voxelwise basis with performance on the auditory processing tasks, controlling for age, sex, and full-scale IQ.\n\nResults\nDivergent correlations of white matter FA depending on the particular auditory processing task were found. Positive correlations were found between FA and speech-in-noise in white matter adjoining prefrontal areas, and between FA and filtered words in the corpus callosum. Regions exhibiting correlations with time-compressed sentences varied depending on the degree of compression: the greater degree of compression (with the greatest difficulty) resulted in correlations in white matter adjoining prefrontal (dorsal and ventral) while the smaller degree of compression (with less difficulty) resulted in correlations in white matter adjoining audio-visual association areas and the posterior cingulate. Only the time-compressed sentences with the lowest degree of compression resulted in positive correlations in the centrum semiovale; all the other tasks resulted in negative correlations.\n\nConclusion\nThe dependence of performance on higher-order auditory processing tasks on brain anatomical connectivity was seen in normal-hearing children ages 9-11. Results support a previously hypothesized dual-stream (dorsal and ventral) model of auditory processing, and that higher-order processing tasks rely less on the dorsal stream related to articulatory networks, and more on the ventral stream related to semantic comprehension. Results also show that the regions correlating with auditory processing vary according to the specific task, indicating that the neurological bases for the various tests used to diagnose APD in children may be partially independent.","container-title":"Ear and hearing","DOI":"10.1097/AUD.0b013e3181f7a481","ISSN":"0196-0202","issue":"2","journalAbbreviation":"Ear Hear","note":"PMID: 21063207\nPMCID: PMC3057932","page":"156-167","source":"PubMed Central","title":"Diffusion tensor imaging reveals white matter microstructure correlations with auditory processing ability","volume":"32","author":[{"family":"Schmithorst","given":"Vincent J."},{"family":"Holland","given":"Scott K."},{"family":"Plante","given":"Elena"}],"issued":{"date-parts":[["2011"]]},"citation-key":"schmithorstDiffusionTensorImaging2011"}}],"schema":"https://github.com/citation-style-language/schema/raw/master/csl-citation.json"}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40</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41</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to our knowledge, the physiology and role of this effective connection ha</w:t>
      </w:r>
      <w:r w:rsidR="003E0D6A">
        <w:rPr>
          <w:rFonts w:ascii="Times New Roman" w:hAnsi="Times New Roman" w:cs="Times New Roman"/>
        </w:rPr>
        <w:t>ve</w:t>
      </w:r>
      <w:r>
        <w:rPr>
          <w:rFonts w:ascii="Times New Roman" w:hAnsi="Times New Roman" w:cs="Times New Roman"/>
        </w:rPr>
        <w:t xml:space="preserve"> yet to be studied. The MCC’s predominant connections to frontal, </w:t>
      </w:r>
      <w:proofErr w:type="spellStart"/>
      <w:r>
        <w:rPr>
          <w:rFonts w:ascii="Times New Roman" w:hAnsi="Times New Roman" w:cs="Times New Roman"/>
        </w:rPr>
        <w:t>somato</w:t>
      </w:r>
      <w:proofErr w:type="spellEnd"/>
      <w:r>
        <w:rPr>
          <w:rFonts w:ascii="Times New Roman" w:hAnsi="Times New Roman" w:cs="Times New Roman"/>
        </w:rPr>
        <w:t xml:space="preserve">-motor, insular, and mesial temporal structures, and the PCC’s connections to frontal, parietal, insular, and mesial temporal structures also support previous findings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{"citationID":"tjErRbWZ","properties":{"formattedCitation":"({\\i{}4}, {\\i{}35})","plainCitation":"(4, 35)","noteIndex":0},"citationItems":[{"id":3364,"uris":["http://zotero.org/users/7023408/items/S35QUQE3"],"itemData":{"id":3364,"type":"article-journal","abstract":"The cingulate cortex is part of the limbic system. Its function and connectivity are organized in a rostro-caudal and ventral-dorsal manner which was addressed by various other studies using rather coarse cortical parcellations. In this study, we aim at describing its function and connectivity using invasive recordings from patients explored for focal drug-resistant epilepsy. We included patients that underwent stereo-electroencephalographic recordings using intracranial electrodes in the University Emergency Hospital Bucharest between 2012 and 2019. We reviewed all high frequency stimulations (50 ​Hz) performed for functional mapping of the cingulate cortex. We used two methods to characterize brain connectivity. Effective connectivity was inferred based on the analysis of cortico-cortical potentials (CCEPs) evoked by single pulse electrical stimulation (SPES) (15 ​s inter-pulse interval). Functional connectivity was estimated using the non-linear regression method applied to 60 ​s spontaneous electrical brain signal intervals. The effective (stimulation-evoked) and functional (non-evoked) connectivity analyses highlight brain networks in a different way. While non-evoked connectivity evidences areas having related activity, often in close proximity to each other, evoked connectivity highlights spatially extended networks. To highlight in a comprehensive way the cingulate cortex’s network, we have performed a bi-modal connectivity analysis that combines the resting-state broadband h2 non-linear correlation with cortico-cortical evoked potentials. We co-registered the patient’s anatomy with the fsaverage FreeSurfer template to perform the automatic labeling based on HCP-MMP parcellation. At a group level, connectivity was estimated by averaging responses over stimulated/recorded or recorded sites in each pair of parcels. Finally, for multiple regions that evoked a clinical response during high frequency stimulation, we combined the connectivity of individual pairs using maximum intensity projection. Connectivity was assessed by applying SPES on 2094 contact pairs and recording CCEPs on 3580 contacts out of 8582 contacts of 660 electrodes implanted in 47 patients. Clinical responses elicited by high frequency stimulations in 107 sites (pairs of contacts) located in the cingulate cortex were divided in 10 groups: affective, motor behavior, motor elementary, versive, speech, vestibular, autonomic, somatosensory, visual and changes in body perception. Anterior cingulate cortex was shown to be connected to the mesial temporal, orbitofrontal and prefrontal cortex. In the middle cingulate cortex, we located affective, motor behavior in the anterior region, and elementary motor and somatosensory in the posterior part. This region is connected to the prefrontal, premotor and primary motor network. Finally, the posterior cingulate was shown to be connected with the visual areas, mesial and lateral parietal and temporal cortex.","container-title":"NeuroImage","DOI":"10.1016/j.neuroimage.2020.117059","ISSN":"1053-8119","journalAbbreviation":"NeuroImage","language":"en","page":"117059","source":"ScienceDirect","title":"Cingulate cortex function and multi-modal connectivity mapped using intracranial stimulation","volume":"220","author":[{"family":"Oane","given":"Irina"},{"family":"Barborica","given":"Andrei"},{"family":"Chetan","given":"Filip"},{"family":"Donos","given":"Cristian"},{"family":"Maliia","given":"Mihai Dragos"},{"family":"Arbune","given":"Anca Adriana"},{"family":"Daneasa","given":"Andrei"},{"family":"Pistol","given":"Constantin"},{"family":"Nica","given":"Adriana Elena"},{"family":"Bajenaru","given":"Ovidiu Alexandru"},{"family":"Mindruta","given":"Ioana"}],"issued":{"date-parts":[["2020",10,15]]},"citation-key":"oaneCingulateCortexFunction2020"}},{"id":3368,"uris":["http://zotero.org/users/7023408/items/9NJXW7ZV"],"itemData":{"id":3368,"type":"article-journal","abstract":"Summary: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35</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w:t>
      </w:r>
    </w:p>
    <w:p w14:paraId="1220061C" w14:textId="3FAC6751" w:rsidR="005C5A95" w:rsidRDefault="005C5A95" w:rsidP="005C5A95">
      <w:pPr>
        <w:rPr>
          <w:rFonts w:ascii="Times New Roman" w:hAnsi="Times New Roman" w:cs="Times New Roman"/>
        </w:rPr>
      </w:pPr>
      <w:r>
        <w:rPr>
          <w:rFonts w:ascii="Times New Roman" w:hAnsi="Times New Roman" w:cs="Times New Roman"/>
        </w:rPr>
        <w:t xml:space="preserve">We were able to profile the relative connectivity of each cortical region to each of the CC subregions. Through this analysis, we found that the middle-frontal gyrus, the triangular part of the middle-frontal gyrus, and the gyrus rectus exhibited near-equivalent effective connectivity with all three CC subregions. This was true for both of our effective connectivity measures, meaning that the observed CCEPs in these regions had near-equal </w:t>
      </w:r>
      <w:r w:rsidR="00B5714F">
        <w:rPr>
          <w:rFonts w:ascii="Times New Roman" w:hAnsi="Times New Roman" w:cs="Times New Roman"/>
        </w:rPr>
        <w:t>magnitude</w:t>
      </w:r>
      <w:r>
        <w:rPr>
          <w:rFonts w:ascii="Times New Roman" w:hAnsi="Times New Roman" w:cs="Times New Roman"/>
        </w:rPr>
        <w:t xml:space="preserve"> (directional connectivity) and coherence (morphological diversity)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j9LsMwXm","properties":{"formattedCitation":"({\\i{}27})","plainCitation":"(27)","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27</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This finding reveals the existence of CC “hubs,” or regions with effective overlap between all three CC subregions. Specifically, the highly similar nature of connective input from each cingulate subregion to these regions (in both </w:t>
      </w:r>
      <w:r w:rsidR="00B5714F">
        <w:rPr>
          <w:rFonts w:ascii="Times New Roman" w:hAnsi="Times New Roman" w:cs="Times New Roman"/>
        </w:rPr>
        <w:t>magnitude</w:t>
      </w:r>
      <w:r>
        <w:rPr>
          <w:rFonts w:ascii="Times New Roman" w:hAnsi="Times New Roman" w:cs="Times New Roman"/>
        </w:rPr>
        <w:t xml:space="preserve"> and morphological diversity) suggests these regions may play a similar computational or functional role in all three CC effective networks.</w:t>
      </w:r>
    </w:p>
    <w:p w14:paraId="71972ACC" w14:textId="734CE88E" w:rsidR="005C5A95" w:rsidRDefault="005C5A95" w:rsidP="005C5A95">
      <w:pPr>
        <w:rPr>
          <w:rFonts w:ascii="Times New Roman" w:hAnsi="Times New Roman" w:cs="Times New Roman"/>
        </w:rPr>
      </w:pPr>
      <w:r>
        <w:rPr>
          <w:rFonts w:ascii="Times New Roman" w:hAnsi="Times New Roman" w:cs="Times New Roman"/>
        </w:rPr>
        <w:t xml:space="preserve">While current evidence cannot provide a concrete mechanistic explanation for why these regions share common effective connectivity with all three cingulate subregions, existing literature points towards potential explanations and future directions. For example, the middle frontal gyrus (nomenclature used in the anatomical parcellation for this study, commonly referred to as the </w:t>
      </w:r>
      <w:proofErr w:type="spellStart"/>
      <w:r>
        <w:rPr>
          <w:rFonts w:ascii="Times New Roman" w:hAnsi="Times New Roman" w:cs="Times New Roman"/>
        </w:rPr>
        <w:t>dlPFC</w:t>
      </w:r>
      <w:proofErr w:type="spellEnd"/>
      <w:r>
        <w:rPr>
          <w:rFonts w:ascii="Times New Roman" w:hAnsi="Times New Roman" w:cs="Times New Roman"/>
        </w:rPr>
        <w:t xml:space="preserve">) is functionally coupled with the ACC in cognitive control tasks as part of the executive control circuit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{"citationID":"7iVvkn1b","properties":{"formattedCitation":"({\\i{}42})","plainCitation":"(42)","noteIndex":0},"citationItems":[{"id":4275,"uris":["http://zotero.org/users/7023408/items/AY9GR95T"],"itemData":{"id":4275,"type":"article-journal","abstract":"Dorsal anterior cingulate cortex (dACC) is composed of functionally distinct subregions that may contribute to the top-down control of response selection and preparation. Multiple motor areas have been identified in dACC, including an anterior zone implicated in conflict monitoring and a caudal zone involved in movement execution. This study tested the involvement of a third cingulate area, the posterior zone of dACC, in the top-down control of response selection and preparation. Sixteen healthy young adults were scanned with event-related functional magnetic resonance imaging while performing a cued go/no-go task that was designed to minimize response conflicts. The activation and functional connectivity of dACC were tested with standard convolution models and psychophysiological interaction analyses, respectively. Ready cues that informed the direction of the impending response triggered preparatory neural activity in the posterior zone of dACC and strengthened functional connectivity with the anterior and caudal zones of dACC, as well as perigenual anterior cingulate cortex, frontal operculum, dorsolateral prefrontal cortex, sensory association cortices, and extra-pyramidal motor areas. The preparatory cues activated dACC above and beyond the general arousing effects common to cues despite negligible conflict in the go/no-go task. The integration of cognitive, sensorimotor, and incentive signals in dACC places the region in an ideal position to select and prepare appropriate behavioral responses to achieve higher-level goals.","container-title":"NeuroImage","DOI":"10.1016/j.neuroimage.2011.04.023","ISSN":"1053-8119","issue":"1","journalAbbreviation":"Neuroimage","note":"PMID: 21515388\nPMCID: PMC3101271","page":"242-250","source":"PubMed Central","title":"Preparatory Activity and Connectivity in Dorsal Anterior Cingulate Cortex for Cognitive Control","volume":"57","author":[{"family":"Schulz","given":"Kurt P."},{"family":"Bédard","given":"Anne-Claude V."},{"family":"Czarnecki","given":"Rosa"},{"family":"Fan","given":"Jin"}],"issued":{"date-parts":[["2011",7,1]]},"citation-key":"schulzPreparatoryActivityConnectivity2011"}}],"schema":"https://github.com/citation-style-language/schema/raw/master/csl-citation.json"}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42</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implicated in MCC function such as task anticipation and feedback mediated decision making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{"citationID":"1BOstraw","properties":{"formattedCitation":"({\\i{}17})","plainCitation":"(17)","noteIndex":0},"citationItems":[{"id":3640,"uris":["http://zotero.org/users/7023408/items/IA9TP3UA"],"itemData":{"id":3640,"type":"article-journal","abstract":"Midcingulate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17</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and co-activates with the PCC and precuneus as part of frontoparietal default mode regions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{"citationID":"gJXs28AA","properties":{"formattedCitation":"({\\i{}43})","plainCitation":"(43)","noteIndex":0},"citationItems":[{"id":4276,"uris":["http://zotero.org/users/7023408/items/6T6X7FML"],"itemData":{"id":4276,"type":"article-journal","abstract":"Tasks that demand externalized attention reliably suppress default network activity while activating the dorsal attention network. These networks have an intrinsic competitive relationship; activation of one suppresses activity of the other. Consequently, many assume that default network activity is suppressed during goal-directed cognition. We challenge this assumption in an fMRI study of planning. Recent studies link default network activity with internally focused cognition, such as imagining personal future events, suggesting a role in autobiographical planning. However, it is unclear how goal-directed cognition with an internal focus is mediated by these opposing networks. A third anatomically interposed ‘frontoparietal control network’ might mediate planning across domains, flexibly coupling with either the default or dorsal attention network in support of internally versus externally focused goal-directed cognition, respectively. We tested this hypothesis by comparing brain activity during autobiographical versus visuospatial planning. Autobiographical planning engaged the default network, whereas visuospatial planning engaged the dorsal attention network, consistent with the anti-correlated domains of internalized and externalized cognition. Critically, both planning tasks engaged the frontoparietal control network. Task-related activation of these three networks was anatomically consistent with independently defined resting-state functional connectivity MRI maps. Together, our findings suggest that the default network can be involved in goal-directed cognition when its activity is coupled with the frontoparietal control network. Additionally, the frontoparietal control network may flexibly couple with the default and dorsal attention networks according to task domain, serving as a cortical mediator linking the two networks in support of goal-directed cognitive processes.","container-title":"NeuroImage","DOI":"10.1016/j.neuroimage.2010.06.016","ISSN":"1053-8119","issue":"1","journalAbbreviation":"Neuroimage","note":"PMID: 20600998\nPMCID: PMC2914129","page":"303-317","source":"PubMed Central","title":"Default network activity, coupled with the frontoparietal control network, supports goal-directed cognition","volume":"53","author":[{"family":"Spreng","given":"R. Nathan"},{"family":"Stevens","given":"W. Dale"},{"family":"Chamberlain","given":"Jon P."},{"family":"Gilmore","given":"Adrian W."},{"family":"Schacter","given":"Daniel L."}],"issued":{"date-parts":[["2010",10,15]]},"citation-key":"sprengDefaultNetworkActivity2010"}}],"schema":"https://github.com/citation-style-language/schema/raw/master/csl-citation.json"}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43</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However, it is unknown as to whether this overlap is due to region-specific domain-general computations that are inherently required by all three CC networks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{"citationID":"zOrDd6pG","properties":{"formattedCitation":"({\\i{}44})","plainCitation":"(44)","noteIndex":0},"citationItems":[{"id":4277,"uris":["http://zotero.org/users/7023408/items/VR52W8VX"],"itemData":{"id":4277,"type":"article-journal","abstract":"Numerous brain imaging studies identified a domain-general or \"multiple-demand\" (MD) activation pattern accompanying many tasks and may play a core role in cognitive control. Though this finding is well established, the limited spatial localization provided by traditional imaging methods precluded a consensus regarding the precise anatomy, functional differentiation, and connectivity of the MD system. To address these limitations, we used data from 449 subjects from the Human Connectome Project, with the cortex of each individual parcellated using neurobiologically grounded multimodal MRI features. The conjunction of three cognitive contrasts reveals a core of 10 widely distributed MD parcels per hemisphere that are most strongly activated and functionally interconnected, surrounded by a penumbra of 17 additional areas. Outside cerebral cortex, MD activation is most prominent in the caudate and cerebellum. Comparison with canonical resting-state networks shows MD regions concentrated in the fronto-parietal network but also engaging three other networks. MD activations show modest relative task preferences accompanying strong co-recruitment. With distributed anatomical organization, mosaic functional preferences, and strong interconnectivity, we suggest MD regions are well positioned to integrate and assemble the diverse components of cognitive operations. Our precise delineation of MD regions provides a basis for refined analyses of their functions.","container-title":"Cerebral Cortex (New York, N.Y.: 1991)","DOI":"10.1093/cercor/bhaa023","ISSN":"1460-2199","issue":"8","journalAbbreviation":"Cereb Cortex","language":"eng","note":"PMID: 32244253\nPMCID: PMC7325801","page":"4361-4380","source":"PubMed","title":"A Domain-General Cognitive Core Defined in Multimodally Parcellated Human Cortex","volume":"30","author":[{"family":"Assem","given":"Moataz"},{"family":"Glasser","given":"Matthew F."},{"family":"Van Essen","given":"David C."},{"family":"Duncan","given":"John"}],"issued":{"date-parts":[["2020",6,30]]},"citation-key":"assemDomainGeneralCognitiveCore2020"}}],"schema":"https://github.com/citation-style-language/schema/raw/master/csl-citation.json"}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44</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or whether there is a coordination role of the </w:t>
      </w:r>
      <w:proofErr w:type="spellStart"/>
      <w:r>
        <w:rPr>
          <w:rFonts w:ascii="Times New Roman" w:hAnsi="Times New Roman" w:cs="Times New Roman"/>
        </w:rPr>
        <w:t>dlPFC</w:t>
      </w:r>
      <w:proofErr w:type="spellEnd"/>
      <w:r>
        <w:rPr>
          <w:rFonts w:ascii="Times New Roman" w:hAnsi="Times New Roman" w:cs="Times New Roman"/>
        </w:rPr>
        <w:t xml:space="preserve"> which mediates dynamic interactions between these networks, potentially through top-down neurophysiological and cognitive processes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{"citationID":"5omt8KuC","properties":{"formattedCitation":"({\\i{}45})","plainCitation":"(45)","noteIndex":0},"citationItems":[{"id":4278,"uris":["http://zotero.org/users/7023408/items/IWALX2PZ"],"itemData":{"id":4278,"type":"article-journal","abstract":"Executive functions, or cognitive control, are higher-order cognitive functions needed for adaptive goal-directed behaviours and are significantly impaired in majority of neuropsychiatric disorders. Different models and approaches are proposed for describing how executive functions are functionally organised in the brain. One popular and recently proposed organising principle of executive functions is the distinction between hot (i.e. reward or affective-related) versus cold (i.e. purely cognitive) domains of executive functions. The prefrontal cortex is traditionally linked to executive functions, but on the other hand, anterior and posterior cingulate cortices are hugely involved in executive functions as well. In this review, we first define executive functions, their domains, and the appropriate methods for studying them. Second, we discuss how hot and cold executive functions are linked to different areas of the prefrontal cortex. Next, we discuss the association of hot versus cold executive functions with the cingulate cortex, focusing on the anterior and posterior compartments. Finally, we propose a functional model for hot and cold executive function organisation in the brain with a specific focus on the fronto-cingular network. We also discuss clinical implications of hot versus cold cognition in major neuropsychiatric disorders (depression, schizophrenia, anxiety disorders, substance use disorder, attention-deficit hyperactivity disorder, and autism) and attempt to characterise their profile according to the functional dominance or manifest of hot-cold cognition. Our model proposes that the lateral prefrontal cortex along with the dorsal anterior cingulate cortex are more relevant for cold executive functions, while the medial-orbital prefrontal cortex along with the ventral anterior cingulate cortex, and the posterior cingulate cortex are more closely involved in hot executive functions. This functional distinction, however, is not absolute and depends on several factors including task features, context, and the extent to which the measured function relies on cognition and emotion or both.","container-title":"Brain and Neuroscience Advances","DOI":"10.1177/23982128211007769","ISSN":"2398-2128","journalAbbreviation":"Brain Neurosci Adv","language":"eng","note":"PMID: 33997292\nPMCID: PMC8076773","page":"23982128211007769","source":"PubMed","title":"Hot and cold executive functions in the brain: A prefrontal-cingular network","title-short":"Hot and cold executive functions in the brain","volume":"5","author":[{"family":"Salehinejad","given":"Mohammad Ali"},{"family":"Ghanavati","given":"Elham"},{"family":"Rashid","given":"Md Harun Ar"},{"family":"Nitsche","given":"Michael A."}],"issued":{"date-parts":[["2021"]]},"citation-key":"salehinejadHotColdExecutive2021"}}],"schema":"https://github.com/citation-style-language/schema/raw/master/csl-citation.json"}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45</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Future work incorporating relevant behavioral paradigms during effective connectivity mapping or direct high-frequency stimulation of these CC hub regions will be essential to resolve their mechanistic function across each CC network. Further, convergent </w:t>
      </w:r>
      <w:r>
        <w:rPr>
          <w:rFonts w:ascii="Times New Roman" w:hAnsi="Times New Roman" w:cs="Times New Roman"/>
        </w:rPr>
        <w:lastRenderedPageBreak/>
        <w:t>models evaluating the CCEP character at each CC subregion in response to stimulation of these hub regions will provide insight into the directionality and character of these connections.</w:t>
      </w:r>
    </w:p>
    <w:p w14:paraId="4F51D104" w14:textId="624EC257" w:rsidR="005C5A95" w:rsidRDefault="005C5A95" w:rsidP="005C5A95">
      <w:pPr>
        <w:rPr>
          <w:rFonts w:ascii="Times New Roman" w:hAnsi="Times New Roman" w:cs="Times New Roman"/>
        </w:rPr>
      </w:pPr>
      <w:r>
        <w:rPr>
          <w:rFonts w:ascii="Times New Roman" w:hAnsi="Times New Roman" w:cs="Times New Roman"/>
        </w:rPr>
        <w:t xml:space="preserve">Beyond direct connectivity measures, we analyzed spatial patterns of effective connectivity to provide insight into high-level spatial trends of the CC networks. </w:t>
      </w:r>
      <w:bookmarkStart w:id="0" w:name="OLE_LINK1"/>
      <w:r>
        <w:rPr>
          <w:rFonts w:ascii="Times New Roman" w:hAnsi="Times New Roman" w:cs="Times New Roman"/>
        </w:rPr>
        <w:t>Since CCEPs represent synaptic input into regions connected to the site of stimulation, we would expect that the spatial profiles of our CC effective networks would follow similar trends to known CC tractography and white-matter anatomy</w:t>
      </w:r>
      <w:bookmarkEnd w:id="0"/>
      <w:r>
        <w:rPr>
          <w:rFonts w:ascii="Times New Roman" w:hAnsi="Times New Roman" w:cs="Times New Roman"/>
        </w:rPr>
        <w:t xml:space="preserve">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{"citationID":"VLH0fszL","properties":{"formattedCitation":"({\\i{}46})","plainCitation":"(46)","noteIndex":0},"citationItems":[{"id":4285,"uris":["http://zotero.org/users/7023408/items/MDNIHGVL"],"itemData":{"id":4285,"type":"article-journal","abstract":"INTRODUCTION: Cortico-cortical evoked potentials (CCEPs) are utilized to identify effective networks in the human brain. Following single-pulse electrical stimulation of cortical electrodes, evoked responses are recorded from distant cortical areas. A negative deflection (N1) which occurs 10-50 ​ms post-stimulus is considered to be a marker for direct cortico-cortical connectivity. However, with CCEPs alone it is not possible to observe the white matter pathways that conduct the signal or accurately predict N1 amplitude and latency at downstream recoding sites. Here, we develop a new approach, termed \"dynamic tractography,\" which integrates CCEP data with diffusion-weighted imaging (DWI) data collected from the same patients. This innovative method allows greater insights into cortico-cortical networks than provided by each method alone and may improve the understanding of large-scale networks that support cognitive functions. The dynamic tractography model produces several fundamental hypotheses which we investigate: 1) DWI-based pathlength predicts N1 latency; 2) DWI-based pathlength negatively predicts N1 voltage; and 3) fractional anisotropy (FA) along the white matter path predicts N1 propagation velocity.\nMETHODS: Twenty-three neurosurgical patients with drug-resistant epilepsy underwent both extraoperative CCEP recordings and preoperative DWI scans. Subdural grids of 3 ​mm diameter electrodes were used for stimulation and recording, with 98-128 eligible electrodes per patient. CCEPs were elicited by trains of 1 ​Hz stimuli with an intensity of 5 ​mA and recorded at a sample rate of 1 ​kHz. N1 peak and latency were defined as the maximum of a negative deflection within 10-50 ​ms post-stimulus with a z-score &gt; 5 relative to baseline. Electrodes and DWI were coregistered to construct electrode connectomes for white matter quantification.\nRESULTS: Clinical variables (age, sex, number of anti-epileptic drugs, handedness, and stimulated hemisphere) did not correlate with the key outcome measures (N1 peak amplitude, latency, velocity, or DWI pathlength). All subjects and electrodes were therefore pooled into a group-level analysis to determine overall patterns. As hypothesized, DWI path length positively predicted N1 latency (R2 ​= ​0.81, β ​= ​1.51, p ​= ​4.76e-16) and negatively predicted N1 voltage (R2 ​= ​0.79, β ​= ​-0.094, p ​= ​9.30e-15), while FA predicted N1 propagation velocity (R2 ​= ​0.35, β ​= ​48.0, p ​= ​0.001).\nCONCLUSION: We have demonstrated that the strength and timing of the CCEP N1 is dependent on the properties of the underlying white matter network. Integrated CCEP and DWI visualization allows robust localization of intact axonal pathways which effectively interconnect eloquent cortex.","container-title":"NeuroImage","DOI":"10.1016/j.neuroimage.2020.116763","ISSN":"1095-9572","journalAbbreviation":"Neuroimage","language":"eng","note":"PMID: 32294537\nPMCID: PMC7292749","page":"116763","source":"PubMed","title":"Dynamic tractography: Integrating cortico-cortical evoked potentials and diffusion imaging","title-short":"Dynamic tractography","volume":"215","author":[{"family":"Silverstein","given":"Brian H."},{"family":"Asano","given":"Eishi"},{"family":"Sugiura","given":"Ayaka"},{"family":"Sonoda","given":"Masaki"},{"family":"Lee","given":"Min-Hee"},{"family":"Jeong","given":"Jeong-Won"}],"issued":{"date-parts":[["2020",7,15]]},"citation-key":"silversteinDynamicTractographyIntegrating2020"}}],"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46</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As such, we hypothesized that the effective connectivity distribution of the human CC would follow a correspond</w:t>
      </w:r>
      <w:r w:rsidR="006F47F3">
        <w:rPr>
          <w:rFonts w:ascii="Times New Roman" w:hAnsi="Times New Roman" w:cs="Times New Roman"/>
        </w:rPr>
        <w:t>ing</w:t>
      </w:r>
      <w:r>
        <w:rPr>
          <w:rFonts w:ascii="Times New Roman" w:hAnsi="Times New Roman" w:cs="Times New Roman"/>
        </w:rPr>
        <w:t xml:space="preserve"> anterior-posterior gradient, specifically that distributions of connectivity would be most anteriorly weighted for the ACC stimulation condition, and most posteriorly weighted for the PCC stimulation condition. Indeed, our results support this hypothesis, demonstrating a statistically significant relationship between the anterior-posterior spatial distribution of connectivity for each CC network and the anatomical positions of the human CC </w:t>
      </w:r>
      <w:r>
        <w:rPr>
          <w:rFonts w:ascii="Times New Roman" w:hAnsi="Times New Roman" w:cs="Times New Roman"/>
        </w:rPr>
        <w:fldChar w:fldCharType="begin"/>
      </w:r>
      <w:r w:rsidR="009C464E">
        <w:rPr>
          <w:rFonts w:ascii="Times New Roman" w:hAnsi="Times New Roman" w:cs="Times New Roman"/>
        </w:rPr>
        <w:instrText xml:space="preserve"> ADDIN ZOTERO_ITEM CSL_CITATION {"citationID":"TZh3EPze","properties":{"formattedCitation":"({\\i{}2})","plainCitation":"(2)","noteIndex":0},"citationItems":[{"id":4286,"uris":["http://zotero.org/users/7023408/items/U7I4MQ49"],"itemData":{"id":4286,"type":"article-journal","abstract":"Introduction\nHuman cingulate cortex (CC) has been implicated in many functions, which is highly suggestive of the existence of functional subregions.\n\nMethods\nIn this study, we used resting‐state functional magnetic resonance imaging (rs‐fMRI) and diffusion tensor imaging (DTI) to parcellate the human cingulate cortex (CC) based on resting‐state functional connectivity (rsFC) patterns and anatomical connectivity (AC) patterns, to analyze the rsFC patterns and the AC patterns of different subregions, and to recognize whether the parcellation results obtained by the two different methods were consistent.\n\nResults\nThe CC was divided into six functional subregions, including the anterior cingulate cortex, dorsal anterior midcingulate cortex, ventral anterior midcingulate cortex, posterior midcingulate cortex, dorsal posterior cingulate cortex, and ventral posterior cingulate cortex. The CC was also divided into ten anatomical subregions, termed Subregion 1 (S1) to Subregion 10 (S10). Each subregion showed specific connectivity patterns, although the functional subregions and the anatomical subregions were internally consistent.\n\nConclusions\nUsing different model MRI images, we established a parcellation scheme, which is internally consistent for the human CC, which may provide an in vivo guide for subregion‐level studies and improve our understanding of this brain area at subregional levels.","container-title":"Brain and Behavior","DOI":"10.1002/brb3.1070","ISSN":"2162-3279","issue":"8","journalAbbreviation":"Brain Behav","note":"PMID: 30039643\nPMCID: PMC6085915","page":"e01070","source":"PubMed Central","title":"Functional and anatomical connectivity‐based parcellation of human cingulate cortex","volume":"8","author":[{"family":"Jin","given":"Fei"},{"family":"Zheng","given":"Pengpeng"},{"family":"Liu","given":"Huaigui"},{"family":"Guo","given":"Hui"},{"family":"Sun","given":"Zhihua"}],"issued":{"date-parts":[["2018",7,24]]},"citation-key":"jinFunctionalAnatomicalConnectivitybased2018"}}],"schema":"https://github.com/citation-style-language/schema/raw/master/csl-citation.json"} </w:instrText>
      </w:r>
      <w:r>
        <w:rPr>
          <w:rFonts w:ascii="Times New Roman" w:hAnsi="Times New Roman" w:cs="Times New Roman"/>
        </w:rPr>
        <w:fldChar w:fldCharType="separate"/>
      </w:r>
      <w:r w:rsidR="009C464E" w:rsidRPr="009C464E">
        <w:rPr>
          <w:rFonts w:ascii="Times New Roman" w:hAnsi="Times New Roman" w:cs="Times New Roman"/>
          <w:kern w:val="0"/>
        </w:rPr>
        <w:t>(</w:t>
      </w:r>
      <w:r w:rsidR="009C464E" w:rsidRPr="009C464E">
        <w:rPr>
          <w:rFonts w:ascii="Times New Roman" w:hAnsi="Times New Roman" w:cs="Times New Roman"/>
          <w:i/>
          <w:iCs/>
          <w:kern w:val="0"/>
        </w:rPr>
        <w:t>2</w:t>
      </w:r>
      <w:r w:rsidR="009C464E" w:rsidRPr="009C464E">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This finding not only demonstrates the utility of emergent profiling of effective connectivity networks but also its potential in bridging measures of connectivity.</w:t>
      </w:r>
    </w:p>
    <w:p w14:paraId="10CC5881" w14:textId="6E8E1CA9" w:rsidR="005C5A95" w:rsidRDefault="005C5A95" w:rsidP="005C5A95">
      <w:pPr>
        <w:rPr>
          <w:rFonts w:ascii="Times New Roman" w:hAnsi="Times New Roman" w:cs="Times New Roman"/>
        </w:rPr>
      </w:pPr>
      <w:r>
        <w:rPr>
          <w:rFonts w:ascii="Times New Roman" w:hAnsi="Times New Roman" w:cs="Times New Roman"/>
        </w:rPr>
        <w:t xml:space="preserve">Following similar evidence profiling hemispheric differences in white matter tractography and cingulate network functional asymmetry, we evaluated the differences in CC effective connectivity between hemispheres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{"citationID":"Wis29Oyw","properties":{"formattedCitation":"({\\i{}47})","plainCitation":"(47)","noteIndex":0},"citationItems":[{"id":4287,"uris":["http://zotero.org/users/7023408/items/V5C629H3"],"itemData":{"id":4287,"type":"article-journal","abstract":"The diffusion tensor model for diffusion MRI has been used extensively to study asymmetry in the human brain white matter. However, given the limitations of the tensor model, the nature of any underlying asymmetries remains uncertain, particularly in crossing fibre regions. Here, we provide a more robust characterisation of human brain white matter asymmetries based on fibre-specific diffusion MRI metrics and a whole-brain data-driven approach. We used high-quality diffusion MRI data (n = 100) from the Human Connectome Project, the spherical deconvolution model for fibre orientation distribution estimation, and the Fixel-Based Analysis framework to utilise crossing fibre information in registration, data smoothing and statistical inference. We found many significant asymmetries, widespread throughout the brain white matter, with both left&gt;right and right&gt;left dominances observed in different pathways. No influences of sex, age, or handedness on asymmetry were found. We also report on the relative contributions of microstructural and morphological white matter properties toward the asymmetry findings. Our findings should provide important information to future studies focussing on how these asymmetries are affected by disease, development/ageing, or how they correlate to functional/cognitive measures.","container-title":"NeuroImage","DOI":"10.1016/j.neuroimage.2020.117505","ISSN":"1053-8119","journalAbbreviation":"NeuroImage","page":"117505","source":"ScienceDirect","title":"Characterisation of white matter asymmetries in the healthy human brain using diffusion MRI fixel-based analysis","volume":"225","author":[{"family":"Honnedevasthana Arun","given":"Arush"},{"family":"Connelly","given":"Alan"},{"family":"Smith","given":"Robert E."},{"family":"Calamante","given":"Fernando"}],"issued":{"date-parts":[["2021",1,15]]},"citation-key":"honnedevasthanaarunCharacterisationWhiteMatter2021"}}],"schema":"https://github.com/citation-style-language/schema/raw/master/csl-citation.json"}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47</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Of significant comparisons between hemispheres, CC networks showed ipsilateral right-hemisphere dominance across most major regions, except for the frontal cortex, which had significantly higher left-hemisphere connectivity in the ACC and MCC networks. Frontal asymmetries related to ACC and MCC network functions have been documented in functional imaging and electrophysiological studies, with left hemisphere frontal dominance being associated with grey matter volume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{"citationID":"uCvgBiCp","properties":{"formattedCitation":"({\\i{}48})","plainCitation":"(48)","noteIndex":0},"citationItems":[{"id":4288,"uris":["http://zotero.org/users/7023408/items/6V6YQ4D7"],"itemData":{"id":4288,"type":"article-journal","abstract":"Resting state networks such as the default mode network have been widely reported. Although a plethora of information on its functional relevance has been generated, little is known about lateralization or hemisphere asymmetry within the DMN. We used high-resolution resting state fMRI and T1 3D data to investigate such asymmetries in two groups of healthy subjects, one right-handed and one left-handed. Independent component analysis and the dual regression approach were carried out to identify functional asymmetries, while voxel-based morphometry was used to identify structural asymmetries in grey matter volume within the DMN. Greater leftward functional connectivity was observed in the posterior cingulate gyrus (PCG) for both groups. Leftward functional asymmetry was observed in the thalamus and rightward functional asymmetries were observed in the middle frontal and middle/superior temporal gyrus in the right-handed group. Rightward asymmetries in grey matter volume were observed in the posterior portion of the PCG for both groups. The right-handed group exhibited leftward structural asymmetries in the anterior portion of the PCG and in the middle frontal and posterior portion of the middle temporal gyrus, while rightward asymmetries were observed in the posterior portion of the PCG and anterior portions of temporal regions. These results suggest that functional connectivity and grey matter volume are not equally distributed between hemispheres within the DMN, and that functional asymmetries are not always reflected or determined by structural asymmetries.","container-title":"Neuropsychologia","DOI":"10.1016/j.neuropsychologia.2012.02.014","ISSN":"0028-3932","issue":"7","journalAbbreviation":"Neuropsychologia","page":"1308-1315","source":"ScienceDirect","title":"Hemispheric asymmetries of functional connectivity and grey matter volume in the default mode network","volume":"50","author":[{"family":"Saenger","given":"Victor M."},{"family":"Barrios","given":"Fernando A."},{"family":"Martínez-Gudiño","given":"María L."},{"family":"Alcauter","given":"Sarael"}],"issued":{"date-parts":[["2012",6,1]]},"citation-key":"saengerHemisphericAsymmetriesFunctional2012"}}],"schema":"https://github.com/citation-style-language/schema/raw/master/csl-citation.json"}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48</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emotion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{"citationID":"vC1NkmBs","properties":{"formattedCitation":"({\\i{}49})","plainCitation":"(49)","noteIndex":0},"citationItems":[{"id":4289,"uris":["http://zotero.org/users/7023408/items/DSIKQH6F"],"itemData":{"id":4289,"type":"article-journal","abstract":"The present mini-review was aimed at exploring the frontal EEG asymmetry of mood. With respect to emotion, interpreted as a discrete affective process, mood is more controllable, more nebulous, and more related to mind/cognition; in addition, causes are less well-defined than those eliciting emotion. Therefore, firstly, the rational for the distinction between emotion and mood was provided. Then, the main frontal EEG asymmetry models were presented, such as the motivational approach/withdrawal, valence/arousal, capability, and inhibition asymmetric models. Afterward, the frontal EEG asymmetry of mood was investigated following three research lines, that is considering studies involving different mood induction procedures, dispositional mood (positive and negative affect), and mood alterations in both healthy and clinical populations. In general, results were found to be contradictory, no model is unequivocally supported regardless the research line considered. Different methodological issues were raised, such as: the composition of samples used across studies, in particular, gender and age were found to be critical variables that should be better addressed in future studies; the importance of third variables that might mediate the relationship between frontal EEG asymmetries and mood, for example bodily states and hormonal responses; the role of cognition, namely the interplay between mood and executive functions. In light of these issues, future research directions were proposed. Amongst others, the need to explore the neural connectivity that underpins EEG asymmetries, and the need to include both positive and negative mood conditions in the experimental designs have been highlighted.","container-title":"Frontiers in Behavioral Neuroscience","DOI":"10.3389/fnbeh.2017.00224","ISSN":"1662-5153","journalAbbreviation":"Front Behav Neurosci","note":"PMID: 29209180\nPMCID: PMC5701669","page":"224","source":"PubMed Central","title":"Frontal EEG Asymmetry of Mood: A Mini-Review","title-short":"Frontal EEG Asymmetry of Mood","volume":"11","author":[{"family":"Palmiero","given":"Massimiliano"},{"family":"Piccardi","given":"Laura"}],"issued":{"date-parts":[["2017",11,6]]},"citation-key":"palmieroFrontalEEGAsymmetry2017"}}],"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49</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pain perception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{"citationID":"H0HHl8io","properties":{"formattedCitation":"({\\i{}50}, {\\i{}51})","plainCitation":"(50, 51)","noteIndex":0},"citationItems":[{"id":3641,"uris":["http://zotero.org/users/7023408/items/9VF3SJBR"],"itemData":{"id":3641,"type":"manuscript","note":"DOI: 10.21203/rs.3.rs-2973437/v1","title":"A novel theta-controlled vibrotactile brain-computer interface to treat chronic pain: A pilot study","URL":"https://www.researchsquare.com/article/rs-2973437/v1","author":[{"family":"Demarest","given":"Phillip"},{"family":"Rustamov","given":"Nabi"},{"family":"Swift","given":"James"},{"family":"Tao","given":"Xie"},{"family":"Adamek","given":"Markus"},{"family":"Cho","given":"Hohyun"},{"family":"Wilson","given":"Elizabeth"},{"family":"Han","given":"Zhuangyu"},{"family":"Belsten","given":"Alexander"},{"family":"Luczak","given":"Nicholas"},{"family":"Brunner","given":"Peter"},{"family":"Haroutounian","given":"Simon"},{"family":"Leuthardt","given":"Eric"}],"issued":{"date-parts":[["2023",5]]},"citation-key":"demarestNovelThetacontrolledVibrotactile2023"}},{"id":6,"uris":["http://zotero.org/users/7023408/items/5I44UEFZ"],"itemData":{"id":6,"type":"article-journal","abstract":"The objective of this study was to comprehensively investigate patterns of brain activities associated with pain recovery following experimental tonic pain in humans. Specific electrophysiological features of pain recovery may either be monitored or be modulated through neurofeedback (NF) as a novel chronic pain treatment. The cold pressor test was applied with simultaneous electroencephalogram (EEG) recording. EEG data were acquired, and analyzed to define: (1) EEG power topography patterns of pain recovery; (2) source generators of pain recovery at cortical level; (3) changes in functional connectivity associated with pain recovery; (4) features of phase-amplitude coupling (PAC) as it relates to pain recovery. The novel finding of this study is that recovery from pain was characterized by significant theta power rebound at the left fronto-central area. The sources of theta power over-recovery were located in the left dorsolateral prefrontal cortex (DLPFC), cingulate cortex, left insula and contralateral sensorimotor cortex. These effects were paralleled by theta band connectivity increase within hemispheres in a prefrontal–somatosensory network and interhemispherically between prefrontal and parietal areas. In addition, this study revealed significant reduction in PAC between theta/alpha and gamma oscillations during recovery period following tonic pain. These findings have largely been replicated across two identical sessions. Our study emphasizes the association between pain recovery and left lateral prefrontal theta power rebound, and significant over-recovery of functional connectivity in prefrontal-sensorimotor neural network synchronized at theta frequencies. These findings may provide basis for chronic pain treatment by modulating neural oscillations at theta frequencies in left prefrontal cortex.","container-title":"Neuroscience","DOI":"10.1016/j.neuroscience.2021.04.008","ISSN":"0306-4522","journalAbbreviation":"Neuroscience","language":"en","page":"23-37","source":"ScienceDirect","title":"Spatial and Frequency-specific Electrophysiological Signatures of Tonic Pain Recovery in Humans","volume":"465","author":[{"family":"Rustamov","given":"Nabi"},{"family":"Sharma","given":"Lokesh"},{"family":"Chiang","given":"Sarah N."},{"family":"Burk","given":"Carrie"},{"family":"Haroutounian","given":"Simon"},{"family":"Leuthardt","given":"Eric C."}],"issued":{"date-parts":[["2021",6,15]]},"citation-key":"rustamovSpatialFrequencyspecificElectrophysiological2021"}}],"schema":"https://github.com/citation-style-language/schema/raw/master/csl-citation.json"}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50</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51</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and cognition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{"citationID":"eBAzf9wD","properties":{"formattedCitation":"({\\i{}52})","plainCitation":"(52)","noteIndex":0},"citationItems":[{"id":4290,"uris":["http://zotero.org/users/7023408/items/5NEETSJG"],"itemData":{"id":4290,"type":"article-journal","abstract":"Frontal electroencephalographic (EEG) alpha asymmetry is widely researched in studies of emotion, motivation, and psychopathology, yet it is a metric that has been quantified and analyzed using diverse procedures, and diversity in procedures muddles cross-study interpretation. The aim of this article is to provide an updated tutorial for EEG alpha asymmetry recording, processing, analysis, and interpretation, with an eye towards improving consistency of results across studies. First, a brief background in alpha asymmetry findings is provided. Then, some guidelines for recording, processing, and analyzing alpha asymmetry are presented with an emphasis on the creation of asymmetry scores, referencing choices, and artifact removal. Processing steps are explained in detail, and references to MATLAB-based toolboxes that are helpful for creating and investigating alpha asymmetry are noted. Then, conceptual challenges and interpretative issues are reviewed, including a discussion of alpha asymmetry as a mediator/moderator of emotion and psychopathology. Finally, the effects of two automated component-based artifact correction algorithms—MARA and ADJUST—on frontal alpha asymmetry are evaluated.","container-title":"International journal of psychophysiology : official journal of the International Organization of Psychophysiology","DOI":"10.1016/j.ijpsycho.2016.11.005","ISSN":"0167-8760","journalAbbreviation":"Int J Psychophysiol","note":"PMID: 27865882\nPMCID: PMC6449497","page":"98-114","source":"PubMed Central","title":"Assessing and Conceptualizing Frontal EEG Asymmetry: An Updated Primer on Recording, Processing, Analyzing, and Interpreting Frontal Alpha Asymmetry","title-short":"Assessing and Conceptualizing Frontal EEG Asymmetry","volume":"111","author":[{"family":"Smith","given":"Ezra E."},{"family":"Reznik","given":"Samantha J."},{"family":"Stewart","given":"Jennifer L."},{"family":"Allen","given":"John J. B."}],"issued":{"date-parts":[["2017",1]]},"citation-key":"smithAssessingConceptualizingFrontal2017"}}],"schema":"https://github.com/citation-style-language/schema/raw/master/csl-citation.json"}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52</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Our observations of significant ipsilateral right-hemisphere dominance coincide with previous evaluations of hemispheric asymmetries in the DMN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{"citationID":"GPGs9oFo","properties":{"formattedCitation":"({\\i{}48})","plainCitation":"(48)","noteIndex":0},"citationItems":[{"id":4288,"uris":["http://zotero.org/users/7023408/items/6V6YQ4D7"],"itemData":{"id":4288,"type":"article-journal","abstract":"Resting state networks such as the default mode network have been widely reported. Although a plethora of information on its functional relevance has been generated, little is known about lateralization or hemisphere asymmetry within the DMN. We used high-resolution resting state fMRI and T1 3D data to investigate such asymmetries in two groups of healthy subjects, one right-handed and one left-handed. Independent component analysis and the dual regression approach were carried out to identify functional asymmetries, while voxel-based morphometry was used to identify structural asymmetries in grey matter volume within the DMN. Greater leftward functional connectivity was observed in the posterior cingulate gyrus (PCG) for both groups. Leftward functional asymmetry was observed in the thalamus and rightward functional asymmetries were observed in the middle frontal and middle/superior temporal gyrus in the right-handed group. Rightward asymmetries in grey matter volume were observed in the posterior portion of the PCG for both groups. The right-handed group exhibited leftward structural asymmetries in the anterior portion of the PCG and in the middle frontal and posterior portion of the middle temporal gyrus, while rightward asymmetries were observed in the posterior portion of the PCG and anterior portions of temporal regions. These results suggest that functional connectivity and grey matter volume are not equally distributed between hemispheres within the DMN, and that functional asymmetries are not always reflected or determined by structural asymmetries.","container-title":"Neuropsychologia","DOI":"10.1016/j.neuropsychologia.2012.02.014","ISSN":"0028-3932","issue":"7","journalAbbreviation":"Neuropsychologia","page":"1308-1315","source":"ScienceDirect","title":"Hemispheric asymmetries of functional connectivity and grey matter volume in the default mode network","volume":"50","author":[{"family":"Saenger","given":"Victor M."},{"family":"Barrios","given":"Fernando A."},{"family":"Martínez-Gudiño","given":"María L."},{"family":"Alcauter","given":"Sarael"}],"issued":{"date-parts":[["2012",6,1]]},"citation-key":"saengerHemisphericAsymmetriesFunctional2012"}}],"schema":"https://github.com/citation-style-language/schema/raw/master/csl-citation.json"}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48</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In contrast, another study characterizing the asymmetries of cingulum bundle connections revealed left-hemisphere dominance across most cortical regions; however, their stimulation targets, parameters, and measures of connectivity differed from ours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{"citationID":"DWpnxt70","properties":{"formattedCitation":"({\\i{}53})","plainCitation":"(53)","noteIndex":0},"citationItems":[{"id":4291,"uris":["http://zotero.org/users/7023408/items/GBPK9RLF"],"itemData":{"id":4291,"type":"article-journal","abstract":"The cingulum bundle (CB) is a group of axons supporting connectivity among several functional brain networks relevant in healthy and diseased states. The paracingulate sulcus (PCS) is present in at least one cerebral hemisphere across 70% of the population. PCS presence versus absence is linked to differences in structure and function of the anterior cingulate cortex, though the influence of PCS on the white matter of the CB remains unknown. The objective of this work was to define the CB electrographic connectivity profile and determine the impact of PCS morphology on CB engagement. Single‐pulse electrical stimulation in combination with stereo‐electroencephalography recordings was used to measure neural responses to left and right CB stimulation in 19 patients undergoing intracranial monitoring for treatment of refractory epilepsy. Evoked potential responses were extracted from brain areas, and a connectivity robustness ratio was computed. Network‐level responses were compared across left and right CB, and with consideration of PCS morphology. CB electrographic connectivity demonstrated leftward dominance, but this was strongly impacted by PCS morphology in both cerebral hemispheres. Maximal left CB connectivity was observed in the presence of left PCS morphology, while right CB connectivity was strongest in its absence. These data strongly suggest that bilateral CB engagement is modulated by PCS morphology in the left hemisphere. These findings are particularly relevant when considering the CB as a target for treating neuropsychiatric disorders., Electrical stimulation reveals hemispheric asymmetry in cingulum bundle connectivity, which is further modulated by variability in paracingulate sulcus morphology. Differences in cingulum bundle connectivity across hemispheres may support functional specialization, and the impact of paracingulate sulcus morphology may suggest differences in fiber organization.","container-title":"Human Brain Mapping","DOI":"10.1002/hbm.70230","ISSN":"1065-9471","issue":"9","journalAbbreviation":"Hum Brain Mapp","note":"PMID: 40525815\nPMCID: PMC12172119","page":"e70230","source":"PubMed Central","title":"Asymmetric Cingulum Bundle Connectivity Is Modulated by Paracingulate Sulcus Morphology","volume":"46","author":[{"family":"Danstrom","given":"Isabel A."},{"family":"Adkinson","given":"Joshua A."},{"family":"Robinson","given":"Meghan E."},{"family":"Lin","given":"Lu"},{"family":"Maheshwari","given":"Atul"},{"family":"Shofty","given":"Ben"},{"family":"Banks","given":"Garrett"},{"family":"Hasen","given":"Mohammed"},{"family":"Sheth","given":"Sameer A."},{"family":"Goldman","given":"Alica M."},{"family":"Bartoli","given":"Eleonora"},{"family":"Heilbronner","given":"Sarah R."},{"family":"Bijanki","given":"Kelly R."}],"issued":{"date-parts":[["2025",6,17]]},"citation-key":"danstromAsymmetricCingulumBundle2025"}}],"schema":"https://github.com/citation-style-language/schema/raw/master/csl-citation.json"}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53</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While our results reinforce the utility of effective modeling in understanding the overlap between functional and anatomical connectivity and further elucidate the spatial dimension of CC effective connectivity, future work with higher spatial sampling and symmetrical coverage will be necessary to fully understand hemispheric asymmetries of CC networks. </w:t>
      </w:r>
    </w:p>
    <w:p w14:paraId="0A6BFC5F" w14:textId="69AB0863" w:rsidR="005C5A95" w:rsidRDefault="005C5A95" w:rsidP="005C5A95">
      <w:pPr>
        <w:rPr>
          <w:rFonts w:ascii="Times New Roman" w:hAnsi="Times New Roman" w:cs="Times New Roman"/>
        </w:rPr>
      </w:pPr>
      <w:r>
        <w:rPr>
          <w:rFonts w:ascii="Times New Roman" w:hAnsi="Times New Roman" w:cs="Times New Roman"/>
        </w:rPr>
        <w:t xml:space="preserve">Studies of effective connectivity resulting from the analysis of CCEPs are often constrained to a subset of approaches </w:t>
      </w:r>
      <w:r w:rsidR="006F47F3">
        <w:rPr>
          <w:rFonts w:ascii="Times New Roman" w:hAnsi="Times New Roman" w:cs="Times New Roman"/>
        </w:rPr>
        <w:t>that</w:t>
      </w:r>
      <w:r>
        <w:rPr>
          <w:rFonts w:ascii="Times New Roman" w:hAnsi="Times New Roman" w:cs="Times New Roman"/>
        </w:rPr>
        <w:t xml:space="preserve"> specifically evaluate the interactions between sites of stimulation and recording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{"citationID":"0kDj8DgG","properties":{"formattedCitation":"({\\i{}25}, {\\i{}31})","plainCitation":"(25, 31)","noteIndex":0},"citationItems":[{"id":3036,"uris":["http://zotero.org/users/7023408/items/CUSVQH4H"],"itemData":{"id":3036,"type":"article-journal","abstract":"Brain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25</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31</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Since the morphological content of CCEPs </w:t>
      </w:r>
      <w:r w:rsidR="006F47F3">
        <w:rPr>
          <w:rFonts w:ascii="Times New Roman" w:hAnsi="Times New Roman" w:cs="Times New Roman"/>
        </w:rPr>
        <w:t>is</w:t>
      </w:r>
      <w:r>
        <w:rPr>
          <w:rFonts w:ascii="Times New Roman" w:hAnsi="Times New Roman" w:cs="Times New Roman"/>
        </w:rPr>
        <w:t xml:space="preserve"> critical to modeling effective networks, we implemented an inter-regional model of morphological similarity and used a threshold-optimized hierarchical clustering approach to identify prevalent waveforms across CC subregion networks. This also allowed us to cluster regions by waveform character, further contributing to the utility of our comprehensive effective connectivity profiles of the CC. </w:t>
      </w:r>
      <w:r>
        <w:rPr>
          <w:rFonts w:ascii="Times New Roman" w:hAnsi="Times New Roman" w:cs="Times New Roman"/>
        </w:rPr>
        <w:lastRenderedPageBreak/>
        <w:t xml:space="preserve">Specifically, while divergent models of connectivity are often complicated due to the number of data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{"citationID":"TuWA51QS","properties":{"formattedCitation":"({\\i{}31})","plainCitation":"(31)","noteIndex":0},"citationItems":[{"id":3036,"uris":["http://zotero.org/users/7023408/items/CUSVQH4H"],"itemData":{"id":3036,"type":"article-journal","abstract":"Brain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31</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this inter-regional model allowed us to reduce the dimensionality of our divergent model to identify groups of regions with shared CCEP morphology. Thus, this analysis has tremendous utility in identifying regions of interest for hypothesis pre-selected studies, or for characterizing network-wide and regions-specific changes in CCEP morphological content.  </w:t>
      </w:r>
    </w:p>
    <w:p w14:paraId="6BBD8221" w14:textId="7689C5EF" w:rsidR="005C5A95" w:rsidRDefault="005C5A95" w:rsidP="005C5A95">
      <w:pPr>
        <w:rPr>
          <w:rFonts w:ascii="Times New Roman" w:hAnsi="Times New Roman" w:cs="Times New Roman"/>
        </w:rPr>
      </w:pPr>
      <w:r>
        <w:rPr>
          <w:rFonts w:ascii="Times New Roman" w:hAnsi="Times New Roman" w:cs="Times New Roman"/>
        </w:rPr>
        <w:t xml:space="preserve">The intuition behind this analysis is that the inter-regional landscape of morphological similarity can reveal additional information about the diversity of CCEPs within networks, which presents insights into the neural interactions and functions underlying effective networks. We found that the MCC network contained the highest morphological similarity between regions and the largest cluster of regions of the three CC networks. While all three CC subregions perform highly diverse and complex functions </w:t>
      </w:r>
      <w:r>
        <w:rPr>
          <w:rFonts w:ascii="Times New Roman" w:hAnsi="Times New Roman" w:cs="Times New Roman"/>
        </w:rPr>
        <w:fldChar w:fldCharType="begin"/>
      </w:r>
      <w:r>
        <w:rPr>
          <w:rFonts w:ascii="Times New Roman" w:hAnsi="Times New Roman" w:cs="Times New Roman"/>
        </w:rPr>
        <w:instrText xml:space="preserve"> ADDIN ZOTERO_ITEM CSL_CITATION {"citationID":"mjq9pbWS","properties":{"formattedCitation":"({\\i{}4})","plainCitation":"(4)","noteIndex":0},"citationItems":[{"id":3368,"uris":["http://zotero.org/users/7023408/items/9NJXW7ZV"],"itemData":{"id":3368,"type":"article-journal","abstract":"Summary: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Pr>
          <w:rFonts w:ascii="Times New Roman" w:hAnsi="Times New Roman" w:cs="Times New Roman"/>
        </w:rPr>
        <w:fldChar w:fldCharType="separate"/>
      </w:r>
      <w:r w:rsidRPr="008F73AE">
        <w:rPr>
          <w:rFonts w:ascii="Times New Roman" w:hAnsi="Times New Roman" w:cs="Times New Roman"/>
          <w:kern w:val="0"/>
        </w:rPr>
        <w:t>(</w:t>
      </w:r>
      <w:r w:rsidRPr="008F73AE">
        <w:rPr>
          <w:rFonts w:ascii="Times New Roman" w:hAnsi="Times New Roman" w:cs="Times New Roman"/>
          <w:i/>
          <w:iCs/>
          <w:kern w:val="0"/>
        </w:rPr>
        <w:t>4</w:t>
      </w:r>
      <w:r w:rsidRPr="008F73AE">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xml:space="preserve">, the MCC’s role in behaviors requiring rapid response selection (for example, response to pain, and orientating the body to stimuli) may support the notion that it requires sets of stereotyped neural interactions with other regions to produce rapid, stereotyped behaviors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{"citationID":"iQ7JUoWH","properties":{"formattedCitation":"({\\i{}17})","plainCitation":"(17)","noteIndex":0},"citationItems":[{"id":3640,"uris":["http://zotero.org/users/7023408/items/IA9TP3UA"],"itemData":{"id":3640,"type":"article-journal","abstract":"Midcingulate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17</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Thus, it is possible that out of the three CC subregions, the MCC network has the most stereotyped set of communication character and thus, requires less diversity in how it communicates with other regions when compared to the ACC or PCC. This, of course, is a preliminary and speculative, and does not account for the battery of complex cognitive functions of the MCC which likely require diverse communication protocols between regions. However, such studies evaluating the relationship between network function and diversity of inter-regional neural interactions can be supported through this analysis.</w:t>
      </w:r>
    </w:p>
    <w:p w14:paraId="60361FFA" w14:textId="1CC95DC8" w:rsidR="005C5A95" w:rsidRDefault="005C5A95" w:rsidP="005C5A95">
      <w:pPr>
        <w:rPr>
          <w:rFonts w:ascii="Times New Roman" w:hAnsi="Times New Roman" w:cs="Times New Roman"/>
        </w:rPr>
      </w:pPr>
      <w:r>
        <w:rPr>
          <w:rFonts w:ascii="Times New Roman" w:hAnsi="Times New Roman" w:cs="Times New Roman"/>
        </w:rPr>
        <w:t xml:space="preserve">This inter-regional analysis also presents CCEP clusters organized by morphological similarity between regions. We found that the morphology of some clusters followed the N1/N2 shape often described in contemporary analyses of CCEPs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{"citationID":"eVC5tDOh","properties":{"formattedCitation":"({\\i{}25}, {\\i{}27}, {\\i{}54}, {\\i{}55})","plainCitation":"(25, 27, 54, 55)","noteIndex":0},"citationItems":[{"id":4268,"uris":["http://zotero.org/users/7023408/items/ZAVRVS7A"],"itemData":{"id":4268,"type":"article-journal","abstract":"Background\nCortico-cortical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D."}],"issued":{"date-parts":[["2014",10,5]]},"citation-key":"kellerMappingHumanBrain2014"}},{"id":3366,"uris":["http://zotero.org/users/7023408/items/IT2T88K7"],"itemData":{"id":3366,"type":"article-journal","abstract":"Objective\nTo investigate the human limbic system using cortico-cortical evoked potential (CCEP), which reveals the brain networks.\nMethods\nFive patients with nonlesional medically intractable focal epilepsy with ictal onset outside the limbic system were enrolled. All patients underwent stereoelectroencephalogram electrode implantation in order to delineate the epileptogenic zone. Alternating 1Hz electrical stimuli were delivered to the hippocampus and posterior cingulate gyrus. A total of sixty stimuli were averaged in each trial to obtain CCEP responses.\nResults\nHippocampal stimulation elicited prominent CCEP responses in the posterior cingulate gyrus. The latencies of early (N1) and late (N2) negative peak ranged 20–60ms and 102–175ms respectively. In addition, CCEP responses were observed in the posterior parahippocampal gyrus, medial superior frontal gyrus (SFG) and orbitofrontal cortex. Stimulation of posterior cingulate contacts induced CCEPs in the hippocampus with N1 and N2 latencies of 25–43ms and 90–234ms respectively in all five patients.\nConclusion\nThis finding supports the assertion that the hippocampus is connected with the posterior cingulate gyrus, posterior parahippocampal gyrus, medial SFG and orbitofrontal cortex. The hippocampus and posterior cingulate gyrus have a bidirectional network through the cingulum.\nSignificance\nThe present study provides new insight into the human limbic network.","container-title":"Clinical Neurophysiology","DOI":"10.1016/j.clinph.2013.01.024","ISSN":"1388-2457","issue":"8","journalAbbreviation":"Clinical Neurophysiology","language":"en","page":"1547-1556","source":"ScienceDirect","title":"In vivo human hippocampal cingulate connectivity: A corticocortical evoked potentials (CCEPs) study","title-short":"In vivo human hippocampal cingulate connectivity","volume":"124","author":[{"family":"Kubota","given":"Yuichi"},{"family":"Enatsu","given":"Rei"},{"family":"Gonzalez-Martinez","given":"Jorge"},{"family":"Bulacio","given":"Juan"},{"family":"Mosher","given":"John"},{"family":"Burgess","given":"Richard C."},{"family":"Nair","given":"Dileep R."}],"issued":{"date-parts":[["2013",8,1]]},"citation-key":"kubotaVivoHumanHippocampal2013"}},{"id":4294,"uris":["http://zotero.org/users/7023408/items/G9VYCQ54"],"itemData":{"id":4294,"type":"article-journal","abstract":"Epilepsy presurgical investigation may include focal intracortical single-pulse electrical stimulations with depth electrodes, which induce cortico-cortical evoked potentials at distant sites because of white matter connectivity. Cortico-cortical evoked potentials provide a unique window on functional brain networks because they contain sufficient information to infer dynamical properties of large-scale brain connectivity, such as preferred directionality and propagation latencies.  Here, we developed a biologically informed modelling approach to estimate the neural physiological parameters of brain functional networks from the cortico-cortical evoked potentials recorded in a large multicentric database. Specifically, we considered each cortico-cortical evoked potential as the output of a transient stimulus entering the stimulated region, which directly propagated to the recording region. Both regions were modelled as coupled neural mass models, the parameters of which were estimated from the first cortico-cortical evoked potential component, occurring before 80 ms, using dynamic causal modelling and Bayesian model inversion. This methodology was applied to the data of 780 patients with epilepsy from the F-TRACT database, providing a total of 34 354 bipolar stimulations and 774 445 cortico-cortical evoked potentials. The cortical mapping of the local excitatory and inhibitory synaptic time constants and of the axonal conduction delays between cortical regions was obtained at the population level using anatomy-based averaging procedures, based on the Lausanne2008 and the HCP-MMP1 parcellation schemes, containing 130 and 360 parcels, respectively. To rule out brain maturation effects, a separate analysis was performed for older (&gt;15 years) and younger patients (&lt;15 years). In the group of older subjects, we found that the cortico-cortical axonal conduction delays between parcels were globally short (median = 10.2 ms) and only 16% were larger than 20 ms. This was associated to a median velocity of 3.9 m/s. Although a general lengthening of these delays with the distance between the stimulating and recording contacts was observed across the cortex, some regions were less affected by this rule, such as the insula for which almost all efferent and afferent connections were faster than 10 ms. Synaptic time constants were found to be shorter in the sensorimotor, medial occipital and latero-temporal regions, than in other cortical areas. Finally, we found that axonal conduction delays were significantly larger in the group of subjects younger than 15 years, which corroborates that brain maturation increases the speed of brain dynamics. To our knowledge, this study is the first to provide a local estimation of axonal conduction delays and synaptic time constants across the whole human cortex in vivo, based on intracerebral electrophysiological recordings.","container-title":"Brain: A Journal of Neurology","DOI":"10.1093/brain/awab362","ISSN":"1460-2156","issue":"5","journalAbbreviation":"Brain","language":"eng","note":"PMID: 35416942\nPMCID: PMC9166555","page":"1653-1667","source":"PubMed","title":"A brain atlas of axonal and synaptic delays based on modelling of cortico-cortical evoked potentials","volume":"145","author":[{"family":"Lemaréchal","given":"Jean-Didier"},{"family":"Jedynak","given":"Maciej"},{"family":"Trebaul","given":"Lena"},{"family":"Boyer","given":"Anthony"},{"family":"Tadel","given":"François"},{"family":"Bhattacharjee","given":"Manik"},{"family":"Deman","given":"Pierre"},{"family":"Tuyisenge","given":"Viateur"},{"family":"Ayoubian","given":"Leila"},{"family":"Hugues","given":"Etienne"},{"family":"Chanteloup-Forêt","given":"Blandine"},{"family":"Saubat","given":"Carole"},{"family":"Zouglech","given":"Raouf"},{"family":"Reyes Mejia","given":"Gina Catalina"},{"family":"Tourbier","given":"Sébastien"},{"family":"Hagmann","given":"Patric"},{"family":"Adam","given":"Claude"},{"family":"Barba","given":"Carmen"},{"family":"Bartolomei","given":"Fabrice"},{"family":"Blauwblomme","given":"Thomas"},{"family":"Curot","given":"Jonathan"},{"family":"Dubeau","given":"François"},{"family":"Francione","given":"Stefano"},{"family":"Garcés","given":"Mercedes"},{"family":"Hirsch","given":"Edouard"},{"family":"Landré","given":"Elizabeth"},{"family":"Liu","given":"Sinclair"},{"family":"Maillard","given":"Louis"},{"family":"Metsähonkala","given":"Eeva-Liisa"},{"family":"Mindruta","given":"Ioana"},{"family":"Nica","given":"Anca"},{"family":"Pail","given":"Martin"},{"family":"Petrescu","given":"Ana Maria"},{"family":"Rheims","given":"Sylvain"},{"family":"Rocamora","given":"Rodrigo"},{"family":"Schulze-Bonhage","given":"Andreas"},{"family":"Szurhaj","given":"William"},{"family":"Taussig","given":"Delphine"},{"family":"Valentin","given":"Antonio"},{"family":"Wang","given":"Haixiang"},{"family":"Kahane","given":"Philippe"},{"family":"George","given":"Nathalie"},{"family":"David","given":"Olivier"},{"literal":"F-TRACT consortium"}],"issued":{"date-parts":[["2022",6,3]]},"citation-key":"lemarechalBrainAtlasAxonal2022"}}],"schema":"https://github.com/citation-style-language/schema/raw/master/csl-citation.json"}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25</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27</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54</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55</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especially clusters with the highest inter-regional morphological similarity. However, other clusters expressed CCEP morphologies beyond the commonly assumed N1/N2 shape. Others have noted CCEP morphologies that do not rely on pre-defined assumptions about shape, the limitations of such assumptions on characterizing effective networks, and the utility of assumption</w:t>
      </w:r>
      <w:r w:rsidR="009C464E">
        <w:rPr>
          <w:rFonts w:ascii="Times New Roman" w:hAnsi="Times New Roman" w:cs="Times New Roman"/>
        </w:rPr>
        <w:t>-</w:t>
      </w:r>
      <w:r>
        <w:rPr>
          <w:rFonts w:ascii="Times New Roman" w:hAnsi="Times New Roman" w:cs="Times New Roman"/>
        </w:rPr>
        <w:t xml:space="preserve">free approaches for formalizing CCEP analysis </w:t>
      </w:r>
      <w:r>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{"citationID":"Gi599aCE","properties":{"formattedCitation":"({\\i{}28}, {\\i{}34}, {\\i{}56})","plainCitation":"(28, 34, 56)","noteIndex":0},"citationItems":[{"id":4293,"uris":["http://zotero.org/users/7023408/items/DUZJRH6R"],"itemData":{"id":4293,"type":"article-journal","abstract":"Single-pulse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3668,"uris":["http://zotero.org/users/7023408/items/A74SVIDZ"],"itemData":{"id":3668,"type":"article-journal","abstract":"Stimulation-evoked signals are starting to be used as biomarkers to indicate the state and health of brain networks. The human limbic network, often targeted for brain stimulation therapy, is involved in emotion and memory processing. Previous anatomic, neurophysiological, and functional studies suggest distinct subsystems within the limbic network (Rolls, 2015). Studies using intracranial electrical stimulation, however, have emphasized the similarities of the evoked waveforms across the limbic network. We test whether these subsystems have distinct stimulation-driven signatures. In eight patients (four male, four female) with drug-resistant epilepsy, we stimulated the limbic system with single-pulse electrical stimulation. Reliable corticocortical evoked potentials (CCEPs) were measured between hippocampus and the posterior cingulate cortex (PCC) and between the amygdala and the anterior cingulate cortex (ACC). However, the CCEP waveform in the PCC after hippocampal stimulation showed a unique and reliable morphology, which we term the “limbic Hippocampus-Anterior nucleus of the thalamus-Posterior cingulate, HAP-wave.” This limbic HAP-wave was visually distinct and separately decoded from the CCEP waveform in ACC after amygdala stimulation. Diffusion MRI data show that the measured end points in the PCC overlap with the end points of the parolfactory cingulum bundle rather than the parahippocampal cingulum, suggesting that the limbic HAP-wave may travel through fornix, mammillary bodies, and the anterior nucleus of the thalamus (ANT). This was further confirmed by stimulating the ANT, which evoked the same limbic HAP-wave but with an earlier latency. Limbic subsystems have unique stimulation-evoked signatures that may be used in the future to help network pathology diagnosis.\n            \n              SIGNIFICANCE STATEMENT\n              The limbic system is often compromised in diverse clinical conditions, such as epilepsy or Alzheimer’s disease, and characterizing its typical circuit responses may provide diagnostic insight. Stimulation-evoked waveforms have been used in the motor system to diagnose circuit pathology. We translate this framework to limbic subsystems using human intracranial stereo EEG (sEEG) recordings that measure deeper brain areas. Our sEEG recordings describe a stimulation-evoked waveform characteristic to the memory and spatial subsystem of the limbic network that we term the “limbic HAP-wave.” The limbic HAP-wave follows anatomic white matter pathways from hippocampus to thalamus to the posterior cingulum and shows promise as a distinct biomarker of signaling in the human brain memory and spatial limbic network.","container-title":"The Journal of Neuroscience","DOI":"10.1523/JNEUROSCI.2201-22.2023","ISSN":"0270-6474, 1529-2401","issue":"39","journalAbbreviation":"J. Neurosci.","language":"en","page":"6697-6711","source":"DOI.org (Crossref)","title":"Signatures of Electrical Stimulation Driven Network Interactions in the Human Limbic System","volume":"43","author":[{"family":"Ojeda Valencia","given":"Gabriela"},{"family":"Gregg","given":"Nicholas M."},{"family":"Huang","given":"Harvey"},{"family":"Lundstrom","given":"Brian N."},{"family":"Brinkmann","given":"Benjamin H."},{"family":"Pal Attia","given":"Tal"},{"family":"Van Gompel","given":"Jamie J."},{"family":"Bernstein","given":"Matt A."},{"family":"In","given":"Myung-Ho"},{"family":"Huston","given":"John"},{"family":"Worrell","given":"Gregory A."},{"family":"Miller","given":"Kai J."},{"family":"Hermes","given":"Dora"}],"issued":{"date-parts":[["2023",9,27]]},"citation-key":"ojedavalenciaSignaturesElectricalStimulation2023"}},{"id":4295,"uris":["http://zotero.org/users/7023408/items/3L4MQ25G"],"itemData":{"id":4295,"type":"article-journal","abstract":"Theta-burst stimulation (TBS), a patterned brain stimulation technique that mimics rhythmic bursts of 3-8 Hz endogenous brain rhythms, has emerged as a promising therapeutic approach for treating a wide range of brain disorders, though the neural mechanism of TBS action remains poorly understood. We investigated the neural effects of TBS using intracranial EEG (iEEG) in 10 pre-surgical epilepsy participants undergoing intracranial monitoring. Here we show that individual bursts of direct electrical TBS at 29 frontal and temporal sites evoked strong neural responses spanning broad cortical regions. These responses exhibited dynamic local field potential voltage changes over the course of stimulation presentations, including either increasing or decreasing responses, suggestive of short-term plasticity. Stronger stimulation augmented the mean TBS response amplitude and spread with more recording sites demonstrating short-term plasticity. TBS responses were stimulation site-specific with stronger TBS responses observed in regions with strong baseline stimulation effective (cortico-cortical evoked potentials) and functional (low frequency phase locking) connectivity. Further, we could use these measures to predict stable and varying (e.g. short-term plasticity) TBS response locations. Future work may integrate pre-treatment connectivity alongside other biophysical factors to personalize stimulation parameters, thereby optimizing induction of neuroplasticity within disease-relevant brain networks.","container-title":"Nature Communications","DOI":"10.1038/s41467-024-51443-1","ISSN":"2041-1723","issue":"1","journalAbbreviation":"Nat Commun","language":"eng","note":"PMID: 39143083\nPMCID: PMC11324911","page":"6982","source":"PubMed","title":"Theta-burst direct electrical stimulation remodels human brain networks","volume":"15","author":[{"family":"Huang","given":"Yuhao"},{"family":"Zelmann","given":"Rina"},{"family":"Hadar","given":"Peter"},{"family":"Dezha-Peralta","given":"Jaquelin"},{"family":"Richardson","given":"R. Mark"},{"family":"Williams","given":"Ziv M."},{"family":"Cash","given":"Sydney S."},{"family":"Keller","given":"Corey J."},{"family":"Paulk","given":"Angelique C."}],"issued":{"date-parts":[["2024",8,14]]},"citation-key":"huangThetaburstDirectElectrical2024"}}],"schema":"https://github.com/citation-style-language/schema/raw/master/csl-citation.json"} </w:instrText>
      </w:r>
      <w:r>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28</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34</w:t>
      </w:r>
      <w:r w:rsidR="00A219C5" w:rsidRPr="00A219C5">
        <w:rPr>
          <w:rFonts w:ascii="Times New Roman" w:hAnsi="Times New Roman" w:cs="Times New Roman"/>
          <w:kern w:val="0"/>
        </w:rPr>
        <w:t xml:space="preserve">, </w:t>
      </w:r>
      <w:r w:rsidR="00A219C5" w:rsidRPr="00A219C5">
        <w:rPr>
          <w:rFonts w:ascii="Times New Roman" w:hAnsi="Times New Roman" w:cs="Times New Roman"/>
          <w:i/>
          <w:iCs/>
          <w:kern w:val="0"/>
        </w:rPr>
        <w:t>56</w:t>
      </w:r>
      <w:r w:rsidR="00A219C5" w:rsidRPr="00A219C5">
        <w:rPr>
          <w:rFonts w:ascii="Times New Roman" w:hAnsi="Times New Roman" w:cs="Times New Roman"/>
          <w:kern w:val="0"/>
        </w:rPr>
        <w:t>)</w:t>
      </w:r>
      <w:r>
        <w:rPr>
          <w:rFonts w:ascii="Times New Roman" w:hAnsi="Times New Roman" w:cs="Times New Roman"/>
        </w:rPr>
        <w:fldChar w:fldCharType="end"/>
      </w:r>
      <w:r>
        <w:rPr>
          <w:rFonts w:ascii="Times New Roman" w:hAnsi="Times New Roman" w:cs="Times New Roman"/>
        </w:rPr>
        <w:t>. This aligns with our findings</w:t>
      </w:r>
      <w:r w:rsidR="009C464E">
        <w:rPr>
          <w:rFonts w:ascii="Times New Roman" w:hAnsi="Times New Roman" w:cs="Times New Roman"/>
        </w:rPr>
        <w:t>;</w:t>
      </w:r>
      <w:r>
        <w:rPr>
          <w:rFonts w:ascii="Times New Roman" w:hAnsi="Times New Roman" w:cs="Times New Roman"/>
        </w:rPr>
        <w:t xml:space="preserve"> however, to our knowledge, no other study has directly supported this notion with quantitative evidence. To this end, we used a random forest model to assess the predictive strength across a </w:t>
      </w:r>
      <w:r w:rsidR="009C464E">
        <w:rPr>
          <w:rFonts w:ascii="Times New Roman" w:hAnsi="Times New Roman" w:cs="Times New Roman"/>
        </w:rPr>
        <w:t>panel</w:t>
      </w:r>
      <w:r>
        <w:rPr>
          <w:rFonts w:ascii="Times New Roman" w:hAnsi="Times New Roman" w:cs="Times New Roman"/>
        </w:rPr>
        <w:t xml:space="preserve"> of CCEP features </w:t>
      </w:r>
      <w:r w:rsidR="00622A7C">
        <w:rPr>
          <w:rFonts w:ascii="Times New Roman" w:hAnsi="Times New Roman" w:cs="Times New Roman"/>
        </w:rPr>
        <w:t>for</w:t>
      </w:r>
      <w:r>
        <w:rPr>
          <w:rFonts w:ascii="Times New Roman" w:hAnsi="Times New Roman" w:cs="Times New Roman"/>
        </w:rPr>
        <w:t xml:space="preserve"> classifying which cingulate subregion was stimulated. This approach </w:t>
      </w:r>
      <w:r w:rsidR="00622A7C">
        <w:rPr>
          <w:rFonts w:ascii="Times New Roman" w:hAnsi="Times New Roman" w:cs="Times New Roman"/>
        </w:rPr>
        <w:t>revealed</w:t>
      </w:r>
      <w:r>
        <w:rPr>
          <w:rFonts w:ascii="Times New Roman" w:hAnsi="Times New Roman" w:cs="Times New Roman"/>
        </w:rPr>
        <w:t xml:space="preserve"> </w:t>
      </w:r>
      <w:r w:rsidR="00622A7C">
        <w:rPr>
          <w:rFonts w:ascii="Times New Roman" w:hAnsi="Times New Roman" w:cs="Times New Roman"/>
        </w:rPr>
        <w:t>the</w:t>
      </w:r>
      <w:r>
        <w:rPr>
          <w:rFonts w:ascii="Times New Roman" w:hAnsi="Times New Roman" w:cs="Times New Roman"/>
        </w:rPr>
        <w:t xml:space="preserve"> CCEP features </w:t>
      </w:r>
      <w:r w:rsidR="00622A7C">
        <w:rPr>
          <w:rFonts w:ascii="Times New Roman" w:hAnsi="Times New Roman" w:cs="Times New Roman"/>
        </w:rPr>
        <w:t>with</w:t>
      </w:r>
      <w:r>
        <w:rPr>
          <w:rFonts w:ascii="Times New Roman" w:hAnsi="Times New Roman" w:cs="Times New Roman"/>
        </w:rPr>
        <w:t xml:space="preserve"> the highest predictive strength for characterizing CC effective networks. We found that assumption-based waveform features consisting of qualities of N1 and N2 peaks had the lowest predictor strength for classifying the </w:t>
      </w:r>
      <w:r w:rsidR="00622A7C">
        <w:rPr>
          <w:rFonts w:ascii="Times New Roman" w:hAnsi="Times New Roman" w:cs="Times New Roman"/>
        </w:rPr>
        <w:t>stimulated</w:t>
      </w:r>
      <w:r>
        <w:rPr>
          <w:rFonts w:ascii="Times New Roman" w:hAnsi="Times New Roman" w:cs="Times New Roman"/>
        </w:rPr>
        <w:t xml:space="preserve"> CC subregio</w:t>
      </w:r>
      <w:r w:rsidR="00622A7C">
        <w:rPr>
          <w:rFonts w:ascii="Times New Roman" w:hAnsi="Times New Roman" w:cs="Times New Roman"/>
        </w:rPr>
        <w:t>n</w:t>
      </w:r>
      <w:r>
        <w:rPr>
          <w:rFonts w:ascii="Times New Roman" w:hAnsi="Times New Roman" w:cs="Times New Roman"/>
        </w:rPr>
        <w:t xml:space="preserve">. This result indicates </w:t>
      </w:r>
      <w:r w:rsidR="00622A7C">
        <w:rPr>
          <w:rFonts w:ascii="Times New Roman" w:hAnsi="Times New Roman" w:cs="Times New Roman"/>
        </w:rPr>
        <w:t>that these assumption-based features do not contain distinguishable quantitative content that enables differentiation between</w:t>
      </w:r>
      <w:r>
        <w:rPr>
          <w:rFonts w:ascii="Times New Roman" w:hAnsi="Times New Roman" w:cs="Times New Roman"/>
        </w:rPr>
        <w:t xml:space="preserve"> CC networks compared to other measures</w:t>
      </w:r>
      <w:r w:rsidR="00622A7C">
        <w:rPr>
          <w:rFonts w:ascii="Times New Roman" w:hAnsi="Times New Roman" w:cs="Times New Roman"/>
        </w:rPr>
        <w:t>,</w:t>
      </w:r>
      <w:r>
        <w:rPr>
          <w:rFonts w:ascii="Times New Roman" w:hAnsi="Times New Roman" w:cs="Times New Roman"/>
        </w:rPr>
        <w:t xml:space="preserve"> such as coherence or </w:t>
      </w:r>
      <w:r w:rsidR="00B5714F">
        <w:rPr>
          <w:rFonts w:ascii="Times New Roman" w:hAnsi="Times New Roman" w:cs="Times New Roman"/>
        </w:rPr>
        <w:t>magnitude</w:t>
      </w:r>
      <w:r w:rsidR="00622A7C">
        <w:rPr>
          <w:rFonts w:ascii="Times New Roman" w:hAnsi="Times New Roman" w:cs="Times New Roman"/>
        </w:rPr>
        <w:t>. This further</w:t>
      </w:r>
      <w:r>
        <w:rPr>
          <w:rFonts w:ascii="Times New Roman" w:hAnsi="Times New Roman" w:cs="Times New Roman"/>
        </w:rPr>
        <w:t xml:space="preserve"> supports previous assertions that formalized, assumption-free methods of analyzing CCEPs will be essential to characterize and compare effective networks</w:t>
      </w:r>
      <w:r w:rsidR="00622A7C">
        <w:rPr>
          <w:rFonts w:ascii="Times New Roman" w:hAnsi="Times New Roman" w:cs="Times New Roman"/>
        </w:rPr>
        <w:t xml:space="preserve"> </w:t>
      </w:r>
      <w:r w:rsidR="00622A7C">
        <w:rPr>
          <w:rFonts w:ascii="Times New Roman" w:hAnsi="Times New Roman" w:cs="Times New Roman"/>
        </w:rPr>
        <w:fldChar w:fldCharType="begin"/>
      </w:r>
      <w:r w:rsidR="00A219C5">
        <w:rPr>
          <w:rFonts w:ascii="Times New Roman" w:hAnsi="Times New Roman" w:cs="Times New Roman"/>
        </w:rPr>
        <w:instrText xml:space="preserve"> ADDIN ZOTERO_ITEM CSL_CITATION {"citationID":"1NXi1vGh","properties":{"formattedCitation":"({\\i{}28})","plainCitation":"(28)","noteIndex":0},"citationItems":[{"id":4293,"uris":["http://zotero.org/users/7023408/items/DUZJRH6R"],"itemData":{"id":4293,"type":"article-journal","abstract":"Single-pulse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00622A7C">
        <w:rPr>
          <w:rFonts w:ascii="Times New Roman" w:hAnsi="Times New Roman" w:cs="Times New Roman"/>
        </w:rPr>
        <w:fldChar w:fldCharType="separate"/>
      </w:r>
      <w:r w:rsidR="00A219C5" w:rsidRPr="00A219C5">
        <w:rPr>
          <w:rFonts w:ascii="Times New Roman" w:hAnsi="Times New Roman" w:cs="Times New Roman"/>
          <w:kern w:val="0"/>
        </w:rPr>
        <w:t>(</w:t>
      </w:r>
      <w:r w:rsidR="00A219C5" w:rsidRPr="00A219C5">
        <w:rPr>
          <w:rFonts w:ascii="Times New Roman" w:hAnsi="Times New Roman" w:cs="Times New Roman"/>
          <w:i/>
          <w:iCs/>
          <w:kern w:val="0"/>
        </w:rPr>
        <w:t>28</w:t>
      </w:r>
      <w:r w:rsidR="00A219C5" w:rsidRPr="00A219C5">
        <w:rPr>
          <w:rFonts w:ascii="Times New Roman" w:hAnsi="Times New Roman" w:cs="Times New Roman"/>
          <w:kern w:val="0"/>
        </w:rPr>
        <w:t>)</w:t>
      </w:r>
      <w:r w:rsidR="00622A7C">
        <w:rPr>
          <w:rFonts w:ascii="Times New Roman" w:hAnsi="Times New Roman" w:cs="Times New Roman"/>
        </w:rPr>
        <w:fldChar w:fldCharType="end"/>
      </w:r>
      <w:r>
        <w:rPr>
          <w:rFonts w:ascii="Times New Roman" w:hAnsi="Times New Roman" w:cs="Times New Roman"/>
        </w:rPr>
        <w:t>.</w:t>
      </w:r>
    </w:p>
    <w:p w14:paraId="17759A8E" w14:textId="5CD8486A" w:rsidR="005C5A95" w:rsidRDefault="005C5A95" w:rsidP="005C5A95">
      <w:pPr>
        <w:rPr>
          <w:rFonts w:ascii="Times New Roman" w:hAnsi="Times New Roman" w:cs="Times New Roman"/>
        </w:rPr>
      </w:pPr>
      <w:r>
        <w:rPr>
          <w:rFonts w:ascii="Times New Roman" w:hAnsi="Times New Roman" w:cs="Times New Roman"/>
        </w:rPr>
        <w:lastRenderedPageBreak/>
        <w:t>When evaluating the classification accuracy of our model across cortical regions, we hypothesized that CC “hub” regions, i.e.</w:t>
      </w:r>
      <w:r w:rsidR="00622A7C">
        <w:rPr>
          <w:rFonts w:ascii="Times New Roman" w:hAnsi="Times New Roman" w:cs="Times New Roman"/>
        </w:rPr>
        <w:t>,</w:t>
      </w:r>
      <w:r>
        <w:rPr>
          <w:rFonts w:ascii="Times New Roman" w:hAnsi="Times New Roman" w:cs="Times New Roman"/>
        </w:rPr>
        <w:t xml:space="preserve"> regions with near identical primary measures of effective connectivity, would have the lowest classification accuracy, especially due to the high predictive strength of these features in classifying CC networks. We did not observe this in our results, indicating that the statistical content of features beyond primary measures of effective connectivity is useful for distinguishing CC subregion networks. Instead, hippocampal and amygdala structures had the lowest classification accuracy, demonstrating low distinguishability between the statistical content extracted from CCEPs in this region. Interestingly, when comparing the frequency of statistical significance between correctly and incorrectly classified CCEPs, we found that while statistical significance was more prevalent in correctly classified responses, only 18-26% of these responses showed statistical significance. This finding may challenge the notion that traditional statistics are sufficient to fully describe effective networks, and instead, multi-modal approaches consisting of a breadth of features will be necessary in characterizing them.</w:t>
      </w:r>
    </w:p>
    <w:p w14:paraId="15B7002C" w14:textId="77777777" w:rsidR="005C5A95" w:rsidRDefault="005C5A95" w:rsidP="005C5A95">
      <w:pPr>
        <w:rPr>
          <w:rFonts w:ascii="Times New Roman" w:hAnsi="Times New Roman" w:cs="Times New Roman"/>
        </w:rPr>
      </w:pPr>
      <w:r>
        <w:rPr>
          <w:rFonts w:ascii="Times New Roman" w:hAnsi="Times New Roman" w:cs="Times New Roman"/>
          <w:i/>
          <w:iCs/>
        </w:rPr>
        <w:t>Limitations and Future Directions</w:t>
      </w:r>
    </w:p>
    <w:p w14:paraId="288E4F82" w14:textId="7F6F208C" w:rsidR="005C5A95" w:rsidRDefault="005C5A95" w:rsidP="005C5A95">
      <w:pPr>
        <w:rPr>
          <w:rFonts w:ascii="Times New Roman" w:hAnsi="Times New Roman" w:cs="Times New Roman"/>
        </w:rPr>
      </w:pPr>
      <w:r>
        <w:rPr>
          <w:rFonts w:ascii="Times New Roman" w:hAnsi="Times New Roman" w:cs="Times New Roman"/>
        </w:rPr>
        <w:t>Our study provides a comprehensive profile of the CC effective connectivity networks. These profiles were constructed using a divergent model of effective connectivity, meaning that the character of the features we extracted reflects the connections from the CC subregion to regions of the cortex. Since effective networks consist of complex, often multidirectional neural interactions, our results do not reflect a complete model of the human CC effective networks. To form a complete model of the human cingulate cortex’s effective connectivity, future convergent models following similar frameworks will be necessary to characterize all directional patterns of neural interactions</w:t>
      </w:r>
      <w:r w:rsidR="00A219C5">
        <w:rPr>
          <w:rFonts w:ascii="Times New Roman" w:hAnsi="Times New Roman" w:cs="Times New Roman"/>
        </w:rPr>
        <w:t xml:space="preserve"> </w:t>
      </w:r>
      <w:r w:rsidR="00A219C5">
        <w:rPr>
          <w:rFonts w:ascii="Times New Roman" w:hAnsi="Times New Roman" w:cs="Times New Roman"/>
        </w:rPr>
        <w:fldChar w:fldCharType="begin"/>
      </w:r>
      <w:r w:rsidR="00B5714F">
        <w:rPr>
          <w:rFonts w:ascii="Times New Roman" w:hAnsi="Times New Roman" w:cs="Times New Roman"/>
        </w:rPr>
        <w:instrText xml:space="preserve"> ADDIN ZOTERO_ITEM CSL_CITATION {"citationID":"ErrpNGwl","properties":{"formattedCitation":"({\\i{}31})","plainCitation":"(31)","noteIndex":0},"citationItems":[{"id":3036,"uris":["http://zotero.org/users/7023408/items/CUSVQH4H"],"itemData":{"id":3036,"type":"article-journal","abstract":"Brain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J."},{"family":"Müller","given":"Klaus-Robert"},{"family":"Hermes","given":"Dora"}],"issued":{"date-parts":[["2021",9,2]]},"citation-key":"millerBasisProfileCurve2021"}}],"schema":"https://github.com/citation-style-language/schema/raw/master/csl-citation.json"} </w:instrText>
      </w:r>
      <w:r w:rsidR="00A219C5">
        <w:rPr>
          <w:rFonts w:ascii="Times New Roman" w:hAnsi="Times New Roman" w:cs="Times New Roman"/>
        </w:rPr>
        <w:fldChar w:fldCharType="separate"/>
      </w:r>
      <w:r w:rsidR="00B5714F" w:rsidRPr="00B5714F">
        <w:rPr>
          <w:rFonts w:ascii="Times New Roman" w:hAnsi="Times New Roman" w:cs="Times New Roman"/>
          <w:kern w:val="0"/>
        </w:rPr>
        <w:t>(</w:t>
      </w:r>
      <w:r w:rsidR="00B5714F" w:rsidRPr="00B5714F">
        <w:rPr>
          <w:rFonts w:ascii="Times New Roman" w:hAnsi="Times New Roman" w:cs="Times New Roman"/>
          <w:i/>
          <w:iCs/>
          <w:kern w:val="0"/>
        </w:rPr>
        <w:t>31</w:t>
      </w:r>
      <w:r w:rsidR="00B5714F" w:rsidRPr="00B5714F">
        <w:rPr>
          <w:rFonts w:ascii="Times New Roman" w:hAnsi="Times New Roman" w:cs="Times New Roman"/>
          <w:kern w:val="0"/>
        </w:rPr>
        <w:t>)</w:t>
      </w:r>
      <w:r w:rsidR="00A219C5">
        <w:rPr>
          <w:rFonts w:ascii="Times New Roman" w:hAnsi="Times New Roman" w:cs="Times New Roman"/>
        </w:rPr>
        <w:fldChar w:fldCharType="end"/>
      </w:r>
      <w:r>
        <w:rPr>
          <w:rFonts w:ascii="Times New Roman" w:hAnsi="Times New Roman" w:cs="Times New Roman"/>
        </w:rPr>
        <w:t xml:space="preserve">. </w:t>
      </w:r>
    </w:p>
    <w:p w14:paraId="768CF88D" w14:textId="02DFDD4F" w:rsidR="005C5A95" w:rsidRDefault="005C5A95" w:rsidP="005C5A95">
      <w:pPr>
        <w:rPr>
          <w:rFonts w:ascii="Times New Roman" w:hAnsi="Times New Roman" w:cs="Times New Roman"/>
        </w:rPr>
      </w:pPr>
      <w:r>
        <w:rPr>
          <w:rFonts w:ascii="Times New Roman" w:hAnsi="Times New Roman" w:cs="Times New Roman"/>
        </w:rPr>
        <w:t xml:space="preserve">Further, “one-to-all” (divergent) and “all-to-one” (convergent) studies produce data that are often high-dimensional, making interpretation of specific connections difficult. While our present work provides a whole-network profile of CC effective connectivity, we do not present detailed qualities of single connections. We believe that future work, centered on single or </w:t>
      </w:r>
      <w:r w:rsidR="00A219C5">
        <w:rPr>
          <w:rFonts w:ascii="Times New Roman" w:hAnsi="Times New Roman" w:cs="Times New Roman"/>
        </w:rPr>
        <w:t xml:space="preserve">a </w:t>
      </w:r>
      <w:r>
        <w:rPr>
          <w:rFonts w:ascii="Times New Roman" w:hAnsi="Times New Roman" w:cs="Times New Roman"/>
        </w:rPr>
        <w:t>few effective pathways</w:t>
      </w:r>
      <w:r w:rsidR="00A219C5">
        <w:rPr>
          <w:rFonts w:ascii="Times New Roman" w:hAnsi="Times New Roman" w:cs="Times New Roman"/>
        </w:rPr>
        <w:t>,</w:t>
      </w:r>
      <w:r>
        <w:rPr>
          <w:rFonts w:ascii="Times New Roman" w:hAnsi="Times New Roman" w:cs="Times New Roman"/>
        </w:rPr>
        <w:t xml:space="preserve"> will be essential to fostering a comprehensive understanding of the CC’s effective networks. However, our work provides a comprehensive, methodologically sound profile that we believe will be useful to any future work evaluating CC connectivity or function.</w:t>
      </w:r>
    </w:p>
    <w:p w14:paraId="605558F3" w14:textId="0331A49F" w:rsidR="00B5714F" w:rsidRPr="00B5714F" w:rsidRDefault="005C5A95">
      <w:pPr>
        <w:rPr>
          <w:rFonts w:ascii="Times New Roman" w:hAnsi="Times New Roman" w:cs="Times New Roman"/>
        </w:rPr>
      </w:pPr>
      <w:r>
        <w:rPr>
          <w:rFonts w:ascii="Times New Roman" w:hAnsi="Times New Roman" w:cs="Times New Roman"/>
        </w:rPr>
        <w:t>Another limitation of this study is contact coverage. Invasive studies of human effective connectivity are limited by several factors, including biases in contact placement due to clinical needs. While our study addresses other confounding factors, the resolution of our CC networks is limited by the placement and density of contacts. The subregions of the CC consist of parcellations more granular than the level of resolution presented in this study. However, as the formalization of CCEP analysis and effective network modeling improves within the field, we will be able to produce effective connectivity models with higher resolution and investigate the profile of the CC in greater detail.</w:t>
      </w:r>
    </w:p>
    <w:sectPr w:rsidR="00B5714F" w:rsidRPr="00B57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E09"/>
    <w:rsid w:val="000B3C68"/>
    <w:rsid w:val="000E2E8D"/>
    <w:rsid w:val="00141965"/>
    <w:rsid w:val="00163B2E"/>
    <w:rsid w:val="0016546D"/>
    <w:rsid w:val="001C2AFF"/>
    <w:rsid w:val="001D7F02"/>
    <w:rsid w:val="001E1DF5"/>
    <w:rsid w:val="00264DC0"/>
    <w:rsid w:val="002C1334"/>
    <w:rsid w:val="0030740F"/>
    <w:rsid w:val="00316B8A"/>
    <w:rsid w:val="0032668E"/>
    <w:rsid w:val="00383111"/>
    <w:rsid w:val="003A0B7E"/>
    <w:rsid w:val="003C683E"/>
    <w:rsid w:val="003E0D6A"/>
    <w:rsid w:val="0044184B"/>
    <w:rsid w:val="005C23D3"/>
    <w:rsid w:val="005C5A95"/>
    <w:rsid w:val="005F6B66"/>
    <w:rsid w:val="00622A7C"/>
    <w:rsid w:val="00635E07"/>
    <w:rsid w:val="006A7E09"/>
    <w:rsid w:val="006F47F3"/>
    <w:rsid w:val="007657A0"/>
    <w:rsid w:val="00895377"/>
    <w:rsid w:val="008A29EC"/>
    <w:rsid w:val="008C7BCB"/>
    <w:rsid w:val="008F6A65"/>
    <w:rsid w:val="009C464E"/>
    <w:rsid w:val="009D6DCF"/>
    <w:rsid w:val="00A219C5"/>
    <w:rsid w:val="00A23DA2"/>
    <w:rsid w:val="00AE2C3B"/>
    <w:rsid w:val="00B02CEB"/>
    <w:rsid w:val="00B0343D"/>
    <w:rsid w:val="00B5714F"/>
    <w:rsid w:val="00BB2F8E"/>
    <w:rsid w:val="00C333AE"/>
    <w:rsid w:val="00C3425B"/>
    <w:rsid w:val="00C70053"/>
    <w:rsid w:val="00D81356"/>
    <w:rsid w:val="00D82768"/>
    <w:rsid w:val="00DF1294"/>
    <w:rsid w:val="00E070E3"/>
    <w:rsid w:val="00E64738"/>
    <w:rsid w:val="00ED7ED2"/>
    <w:rsid w:val="00EE5A29"/>
    <w:rsid w:val="00EE6B1F"/>
    <w:rsid w:val="00F10E84"/>
    <w:rsid w:val="00F36528"/>
    <w:rsid w:val="00F57A54"/>
    <w:rsid w:val="00F74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68C09C"/>
  <w15:chartTrackingRefBased/>
  <w15:docId w15:val="{9CC26136-79B6-3541-89F6-BA86BF89E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E09"/>
    <w:rPr>
      <w:rFonts w:eastAsiaTheme="majorEastAsia" w:cstheme="majorBidi"/>
      <w:color w:val="272727" w:themeColor="text1" w:themeTint="D8"/>
    </w:rPr>
  </w:style>
  <w:style w:type="paragraph" w:styleId="Title">
    <w:name w:val="Title"/>
    <w:basedOn w:val="Normal"/>
    <w:next w:val="Normal"/>
    <w:link w:val="TitleChar"/>
    <w:uiPriority w:val="10"/>
    <w:qFormat/>
    <w:rsid w:val="006A7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E09"/>
    <w:pPr>
      <w:spacing w:before="160"/>
      <w:jc w:val="center"/>
    </w:pPr>
    <w:rPr>
      <w:i/>
      <w:iCs/>
      <w:color w:val="404040" w:themeColor="text1" w:themeTint="BF"/>
    </w:rPr>
  </w:style>
  <w:style w:type="character" w:customStyle="1" w:styleId="QuoteChar">
    <w:name w:val="Quote Char"/>
    <w:basedOn w:val="DefaultParagraphFont"/>
    <w:link w:val="Quote"/>
    <w:uiPriority w:val="29"/>
    <w:rsid w:val="006A7E09"/>
    <w:rPr>
      <w:i/>
      <w:iCs/>
      <w:color w:val="404040" w:themeColor="text1" w:themeTint="BF"/>
    </w:rPr>
  </w:style>
  <w:style w:type="paragraph" w:styleId="ListParagraph">
    <w:name w:val="List Paragraph"/>
    <w:basedOn w:val="Normal"/>
    <w:uiPriority w:val="34"/>
    <w:qFormat/>
    <w:rsid w:val="006A7E09"/>
    <w:pPr>
      <w:ind w:left="720"/>
      <w:contextualSpacing/>
    </w:pPr>
  </w:style>
  <w:style w:type="character" w:styleId="IntenseEmphasis">
    <w:name w:val="Intense Emphasis"/>
    <w:basedOn w:val="DefaultParagraphFont"/>
    <w:uiPriority w:val="21"/>
    <w:qFormat/>
    <w:rsid w:val="006A7E09"/>
    <w:rPr>
      <w:i/>
      <w:iCs/>
      <w:color w:val="0F4761" w:themeColor="accent1" w:themeShade="BF"/>
    </w:rPr>
  </w:style>
  <w:style w:type="paragraph" w:styleId="IntenseQuote">
    <w:name w:val="Intense Quote"/>
    <w:basedOn w:val="Normal"/>
    <w:next w:val="Normal"/>
    <w:link w:val="IntenseQuoteChar"/>
    <w:uiPriority w:val="30"/>
    <w:qFormat/>
    <w:rsid w:val="006A7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E09"/>
    <w:rPr>
      <w:i/>
      <w:iCs/>
      <w:color w:val="0F4761" w:themeColor="accent1" w:themeShade="BF"/>
    </w:rPr>
  </w:style>
  <w:style w:type="character" w:styleId="IntenseReference">
    <w:name w:val="Intense Reference"/>
    <w:basedOn w:val="DefaultParagraphFont"/>
    <w:uiPriority w:val="32"/>
    <w:qFormat/>
    <w:rsid w:val="006A7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1045</TotalTime>
  <Pages>7</Pages>
  <Words>43007</Words>
  <Characters>245146</Characters>
  <Application>Microsoft Office Word</Application>
  <DocSecurity>0</DocSecurity>
  <Lines>2042</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8</cp:revision>
  <dcterms:created xsi:type="dcterms:W3CDTF">2025-05-22T16:41:00Z</dcterms:created>
  <dcterms:modified xsi:type="dcterms:W3CDTF">2025-07-29T04:19:00Z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id="pJ7yyPP3"/&gt;&lt;style id="http://www.zotero.org/styles/science" hasBibliography="1" bibliographyStyleHasBeenSet="0"/&gt;&lt;prefs&gt;&lt;pref name="fieldType" value="Field"/&gt;&lt;/prefs&gt;&lt;/data&gt;</vt:lpwstr>
  </property>
</Properties>
</file>