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EC7D" w14:textId="66065AF7" w:rsidR="00E6133D" w:rsidRPr="005B4F50" w:rsidRDefault="00474D11" w:rsidP="00750445">
      <w:pPr>
        <w:jc w:val="both"/>
        <w:rPr>
          <w:rFonts w:ascii="Arial" w:hAnsi="Arial" w:cs="Arial"/>
          <w:i/>
          <w:sz w:val="20"/>
          <w:szCs w:val="20"/>
        </w:rPr>
      </w:pPr>
      <w:r w:rsidRPr="005B4F50">
        <w:rPr>
          <w:rFonts w:ascii="Arial" w:hAnsi="Arial" w:cs="Arial"/>
          <w:i/>
          <w:sz w:val="20"/>
          <w:szCs w:val="20"/>
        </w:rPr>
        <w:t xml:space="preserve">Updated </w:t>
      </w:r>
      <w:r w:rsidR="005C58AA" w:rsidRPr="005B4F50">
        <w:rPr>
          <w:rFonts w:ascii="Arial" w:hAnsi="Arial" w:cs="Arial"/>
          <w:i/>
          <w:sz w:val="20"/>
          <w:szCs w:val="20"/>
        </w:rPr>
        <w:t xml:space="preserve">August </w:t>
      </w:r>
      <w:r w:rsidR="00DF48AE" w:rsidRPr="005B4F50">
        <w:rPr>
          <w:rFonts w:ascii="Arial" w:hAnsi="Arial" w:cs="Arial"/>
          <w:i/>
          <w:sz w:val="20"/>
          <w:szCs w:val="20"/>
        </w:rPr>
        <w:t>202</w:t>
      </w:r>
      <w:r w:rsidR="002C1563" w:rsidRPr="005B4F50">
        <w:rPr>
          <w:rFonts w:ascii="Arial" w:hAnsi="Arial" w:cs="Arial"/>
          <w:i/>
          <w:sz w:val="20"/>
          <w:szCs w:val="20"/>
        </w:rPr>
        <w:t>5</w:t>
      </w:r>
    </w:p>
    <w:p w14:paraId="1570751D" w14:textId="418A4989" w:rsidR="00E6133D" w:rsidRPr="005B4F50" w:rsidRDefault="007527BE" w:rsidP="00750445">
      <w:pPr>
        <w:rPr>
          <w:rFonts w:ascii="Arial" w:hAnsi="Arial" w:cs="Arial"/>
          <w:sz w:val="20"/>
          <w:szCs w:val="20"/>
        </w:rPr>
      </w:pPr>
      <w:r w:rsidRPr="005B4F50">
        <w:rPr>
          <w:rFonts w:ascii="Arial" w:hAnsi="Arial" w:cs="Arial"/>
          <w:noProof/>
          <w:sz w:val="20"/>
          <w:szCs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Pr="005B4F50" w:rsidRDefault="00DF48AE" w:rsidP="00750445">
      <w:pPr>
        <w:jc w:val="center"/>
        <w:rPr>
          <w:rFonts w:ascii="Arial" w:hAnsi="Arial" w:cs="Arial"/>
          <w:sz w:val="20"/>
          <w:szCs w:val="20"/>
        </w:rPr>
      </w:pPr>
    </w:p>
    <w:p w14:paraId="1649890B" w14:textId="77777777" w:rsidR="00E6133D" w:rsidRPr="0037732D" w:rsidRDefault="00E6133D" w:rsidP="00750445">
      <w:pPr>
        <w:rPr>
          <w:rFonts w:ascii="Arial" w:hAnsi="Arial" w:cs="Arial"/>
          <w:b/>
          <w:sz w:val="28"/>
          <w:szCs w:val="28"/>
        </w:rPr>
      </w:pPr>
      <w:r w:rsidRPr="0037732D">
        <w:rPr>
          <w:rFonts w:ascii="Arial" w:hAnsi="Arial" w:cs="Arial"/>
          <w:b/>
          <w:sz w:val="28"/>
          <w:szCs w:val="28"/>
        </w:rPr>
        <w:t>Main Manuscript for</w:t>
      </w:r>
    </w:p>
    <w:p w14:paraId="12588F07" w14:textId="2B79EC14" w:rsidR="00E6133D" w:rsidRPr="0037732D" w:rsidRDefault="00CA4747" w:rsidP="00750445">
      <w:pPr>
        <w:rPr>
          <w:rFonts w:ascii="Arial" w:hAnsi="Arial" w:cs="Arial"/>
          <w:sz w:val="28"/>
          <w:szCs w:val="28"/>
        </w:rPr>
      </w:pPr>
      <w:r w:rsidRPr="0037732D">
        <w:rPr>
          <w:rFonts w:ascii="Arial" w:hAnsi="Arial" w:cs="Arial"/>
          <w:sz w:val="28"/>
          <w:szCs w:val="28"/>
        </w:rPr>
        <w:t>Effective Network Profiles of the Human Cingulate Gyrus</w:t>
      </w:r>
    </w:p>
    <w:p w14:paraId="18A4A23B" w14:textId="5A36BEFA" w:rsidR="00CA4747" w:rsidRPr="0037732D" w:rsidRDefault="00CA4747" w:rsidP="00750445">
      <w:pPr>
        <w:contextualSpacing/>
        <w:rPr>
          <w:rFonts w:ascii="Arial" w:hAnsi="Arial" w:cs="Arial"/>
          <w:sz w:val="24"/>
          <w:szCs w:val="24"/>
          <w:vertAlign w:val="superscript"/>
        </w:rPr>
      </w:pPr>
      <w:r w:rsidRPr="0037732D">
        <w:rPr>
          <w:rFonts w:ascii="Arial" w:hAnsi="Arial" w:cs="Arial"/>
          <w:sz w:val="24"/>
          <w:szCs w:val="24"/>
        </w:rPr>
        <w:t>Phillip Demarest</w:t>
      </w:r>
      <w:r w:rsidRPr="0037732D">
        <w:rPr>
          <w:rFonts w:ascii="Arial" w:hAnsi="Arial" w:cs="Arial"/>
          <w:sz w:val="24"/>
          <w:szCs w:val="24"/>
          <w:vertAlign w:val="superscript"/>
        </w:rPr>
        <w:t>1,2,3</w:t>
      </w:r>
      <w:r w:rsidRPr="0037732D">
        <w:rPr>
          <w:rFonts w:ascii="Arial" w:hAnsi="Arial" w:cs="Arial"/>
          <w:sz w:val="24"/>
          <w:szCs w:val="24"/>
        </w:rPr>
        <w:t>; Patrick Luckett</w:t>
      </w:r>
      <w:r w:rsidRPr="0037732D">
        <w:rPr>
          <w:rFonts w:ascii="Arial" w:hAnsi="Arial" w:cs="Arial"/>
          <w:sz w:val="24"/>
          <w:szCs w:val="24"/>
          <w:vertAlign w:val="superscript"/>
        </w:rPr>
        <w:t>1,3</w:t>
      </w:r>
      <w:r w:rsidRPr="0037732D">
        <w:rPr>
          <w:rFonts w:ascii="Arial" w:hAnsi="Arial" w:cs="Arial"/>
          <w:sz w:val="24"/>
          <w:szCs w:val="24"/>
        </w:rPr>
        <w:t xml:space="preserve">; </w:t>
      </w:r>
      <w:proofErr w:type="spellStart"/>
      <w:r w:rsidRPr="0037732D">
        <w:rPr>
          <w:rFonts w:ascii="Arial" w:hAnsi="Arial" w:cs="Arial"/>
          <w:sz w:val="24"/>
          <w:szCs w:val="24"/>
        </w:rPr>
        <w:t>Gansheng</w:t>
      </w:r>
      <w:proofErr w:type="spellEnd"/>
      <w:r w:rsidRPr="0037732D">
        <w:rPr>
          <w:rFonts w:ascii="Arial" w:hAnsi="Arial" w:cs="Arial"/>
          <w:sz w:val="24"/>
          <w:szCs w:val="24"/>
        </w:rPr>
        <w:t xml:space="preserve"> Tan</w:t>
      </w:r>
      <w:r w:rsidRPr="0037732D">
        <w:rPr>
          <w:rFonts w:ascii="Arial" w:hAnsi="Arial" w:cs="Arial"/>
          <w:sz w:val="24"/>
          <w:szCs w:val="24"/>
          <w:vertAlign w:val="superscript"/>
        </w:rPr>
        <w:t>1,2,3</w:t>
      </w:r>
      <w:r w:rsidRPr="0037732D">
        <w:rPr>
          <w:rFonts w:ascii="Arial" w:hAnsi="Arial" w:cs="Arial"/>
          <w:sz w:val="24"/>
          <w:szCs w:val="24"/>
        </w:rPr>
        <w:t xml:space="preserve">; </w:t>
      </w:r>
      <w:proofErr w:type="spellStart"/>
      <w:r w:rsidRPr="0037732D">
        <w:rPr>
          <w:rFonts w:ascii="Arial" w:hAnsi="Arial" w:cs="Arial"/>
          <w:sz w:val="24"/>
          <w:szCs w:val="24"/>
        </w:rPr>
        <w:t>Xiaoxuan</w:t>
      </w:r>
      <w:proofErr w:type="spellEnd"/>
      <w:r w:rsidRPr="0037732D">
        <w:rPr>
          <w:rFonts w:ascii="Arial" w:hAnsi="Arial" w:cs="Arial"/>
          <w:sz w:val="24"/>
          <w:szCs w:val="24"/>
        </w:rPr>
        <w:t xml:space="preserve"> Liu</w:t>
      </w:r>
      <w:r w:rsidRPr="0037732D">
        <w:rPr>
          <w:rFonts w:ascii="Arial" w:hAnsi="Arial" w:cs="Arial"/>
          <w:sz w:val="24"/>
          <w:szCs w:val="24"/>
          <w:vertAlign w:val="superscript"/>
        </w:rPr>
        <w:t>1,2,3</w:t>
      </w:r>
      <w:r w:rsidRPr="0037732D">
        <w:rPr>
          <w:rFonts w:ascii="Arial" w:hAnsi="Arial" w:cs="Arial"/>
          <w:sz w:val="24"/>
          <w:szCs w:val="24"/>
        </w:rPr>
        <w:t>;</w:t>
      </w:r>
      <w:r w:rsidRPr="0037732D">
        <w:rPr>
          <w:rFonts w:ascii="Arial" w:hAnsi="Arial" w:cs="Arial"/>
          <w:sz w:val="24"/>
          <w:szCs w:val="24"/>
          <w:vertAlign w:val="superscript"/>
        </w:rPr>
        <w:t xml:space="preserve"> </w:t>
      </w:r>
      <w:r w:rsidRPr="0037732D">
        <w:rPr>
          <w:rFonts w:ascii="Arial" w:hAnsi="Arial" w:cs="Arial"/>
          <w:sz w:val="24"/>
          <w:szCs w:val="24"/>
        </w:rPr>
        <w:t>Siddharth S. Sivakumar</w:t>
      </w:r>
      <w:r w:rsidRPr="0037732D">
        <w:rPr>
          <w:rFonts w:ascii="Arial" w:hAnsi="Arial" w:cs="Arial"/>
          <w:sz w:val="24"/>
          <w:szCs w:val="24"/>
          <w:vertAlign w:val="superscript"/>
        </w:rPr>
        <w:t>1,2,3</w:t>
      </w:r>
      <w:r w:rsidRPr="0037732D">
        <w:rPr>
          <w:rFonts w:ascii="Arial" w:hAnsi="Arial" w:cs="Arial"/>
          <w:sz w:val="24"/>
          <w:szCs w:val="24"/>
        </w:rPr>
        <w:t>; Tao Xie</w:t>
      </w:r>
      <w:r w:rsidRPr="0037732D">
        <w:rPr>
          <w:rFonts w:ascii="Arial" w:hAnsi="Arial" w:cs="Arial"/>
          <w:sz w:val="24"/>
          <w:szCs w:val="24"/>
          <w:vertAlign w:val="superscript"/>
        </w:rPr>
        <w:t>1,3</w:t>
      </w:r>
      <w:r w:rsidRPr="0037732D">
        <w:rPr>
          <w:rFonts w:ascii="Arial" w:hAnsi="Arial" w:cs="Arial"/>
          <w:sz w:val="24"/>
          <w:szCs w:val="24"/>
        </w:rPr>
        <w:t xml:space="preserve">; </w:t>
      </w:r>
      <w:proofErr w:type="spellStart"/>
      <w:r w:rsidRPr="0037732D">
        <w:rPr>
          <w:rFonts w:ascii="Arial" w:hAnsi="Arial" w:cs="Arial"/>
          <w:sz w:val="24"/>
          <w:szCs w:val="24"/>
        </w:rPr>
        <w:t>Hohyun</w:t>
      </w:r>
      <w:proofErr w:type="spellEnd"/>
      <w:r w:rsidRPr="0037732D">
        <w:rPr>
          <w:rFonts w:ascii="Arial" w:hAnsi="Arial" w:cs="Arial"/>
          <w:sz w:val="24"/>
          <w:szCs w:val="24"/>
        </w:rPr>
        <w:t xml:space="preserve"> Cho</w:t>
      </w:r>
      <w:r w:rsidRPr="0037732D">
        <w:rPr>
          <w:rFonts w:ascii="Arial" w:hAnsi="Arial" w:cs="Arial"/>
          <w:sz w:val="24"/>
          <w:szCs w:val="24"/>
          <w:vertAlign w:val="superscript"/>
        </w:rPr>
        <w:t>1,3</w:t>
      </w:r>
      <w:r w:rsidRPr="0037732D">
        <w:rPr>
          <w:rFonts w:ascii="Arial" w:hAnsi="Arial" w:cs="Arial"/>
          <w:sz w:val="24"/>
          <w:szCs w:val="24"/>
        </w:rPr>
        <w:t xml:space="preserve">; James </w:t>
      </w:r>
      <w:r w:rsidR="00A00857">
        <w:rPr>
          <w:rFonts w:ascii="Arial" w:hAnsi="Arial" w:cs="Arial"/>
          <w:sz w:val="24"/>
          <w:szCs w:val="24"/>
        </w:rPr>
        <w:t xml:space="preserve">R. </w:t>
      </w:r>
      <w:r w:rsidRPr="0037732D">
        <w:rPr>
          <w:rFonts w:ascii="Arial" w:hAnsi="Arial" w:cs="Arial"/>
          <w:sz w:val="24"/>
          <w:szCs w:val="24"/>
        </w:rPr>
        <w:t>Swift</w:t>
      </w:r>
      <w:r w:rsidRPr="0037732D">
        <w:rPr>
          <w:rFonts w:ascii="Arial" w:hAnsi="Arial" w:cs="Arial"/>
          <w:sz w:val="24"/>
          <w:szCs w:val="24"/>
          <w:vertAlign w:val="superscript"/>
        </w:rPr>
        <w:t>1,3</w:t>
      </w:r>
      <w:r w:rsidRPr="0037732D">
        <w:rPr>
          <w:rFonts w:ascii="Arial" w:hAnsi="Arial" w:cs="Arial"/>
          <w:sz w:val="24"/>
          <w:szCs w:val="24"/>
        </w:rPr>
        <w:t>; Markus Adamek</w:t>
      </w:r>
      <w:r w:rsidRPr="0037732D">
        <w:rPr>
          <w:rFonts w:ascii="Arial" w:hAnsi="Arial" w:cs="Arial"/>
          <w:sz w:val="24"/>
          <w:szCs w:val="24"/>
          <w:vertAlign w:val="superscript"/>
        </w:rPr>
        <w:t>1,3</w:t>
      </w:r>
      <w:r w:rsidRPr="0037732D">
        <w:rPr>
          <w:rFonts w:ascii="Arial" w:hAnsi="Arial" w:cs="Arial"/>
          <w:sz w:val="24"/>
          <w:szCs w:val="24"/>
        </w:rPr>
        <w:t>; William Engelhardt</w:t>
      </w:r>
      <w:r w:rsidRPr="0037732D">
        <w:rPr>
          <w:rFonts w:ascii="Arial" w:hAnsi="Arial" w:cs="Arial"/>
          <w:sz w:val="24"/>
          <w:szCs w:val="24"/>
          <w:vertAlign w:val="superscript"/>
        </w:rPr>
        <w:t>1,3</w:t>
      </w:r>
      <w:r w:rsidRPr="0037732D">
        <w:rPr>
          <w:rFonts w:ascii="Arial" w:hAnsi="Arial" w:cs="Arial"/>
          <w:sz w:val="24"/>
          <w:szCs w:val="24"/>
        </w:rPr>
        <w:t>; Simon Haroutounian</w:t>
      </w:r>
      <w:r w:rsidRPr="0037732D">
        <w:rPr>
          <w:rFonts w:ascii="Arial" w:hAnsi="Arial" w:cs="Arial"/>
          <w:sz w:val="24"/>
          <w:szCs w:val="24"/>
          <w:vertAlign w:val="superscript"/>
        </w:rPr>
        <w:t>4,5</w:t>
      </w:r>
      <w:r w:rsidRPr="0037732D">
        <w:rPr>
          <w:rFonts w:ascii="Arial" w:hAnsi="Arial" w:cs="Arial"/>
          <w:sz w:val="24"/>
          <w:szCs w:val="24"/>
        </w:rPr>
        <w:t>; Lawrence N. Eisenman</w:t>
      </w:r>
      <w:r w:rsidRPr="0037732D">
        <w:rPr>
          <w:rFonts w:ascii="Arial" w:hAnsi="Arial" w:cs="Arial"/>
          <w:sz w:val="24"/>
          <w:szCs w:val="24"/>
          <w:vertAlign w:val="superscript"/>
        </w:rPr>
        <w:t>6</w:t>
      </w:r>
      <w:r w:rsidRPr="0037732D">
        <w:rPr>
          <w:rFonts w:ascii="Arial" w:hAnsi="Arial" w:cs="Arial"/>
          <w:sz w:val="24"/>
          <w:szCs w:val="24"/>
        </w:rPr>
        <w:t>; Adam S. Greenblatt</w:t>
      </w:r>
      <w:r w:rsidRPr="0037732D">
        <w:rPr>
          <w:rFonts w:ascii="Arial" w:hAnsi="Arial" w:cs="Arial"/>
          <w:sz w:val="24"/>
          <w:szCs w:val="24"/>
          <w:vertAlign w:val="superscript"/>
        </w:rPr>
        <w:t>6</w:t>
      </w:r>
      <w:r w:rsidRPr="0037732D">
        <w:rPr>
          <w:rFonts w:ascii="Arial" w:hAnsi="Arial" w:cs="Arial"/>
          <w:sz w:val="24"/>
          <w:szCs w:val="24"/>
        </w:rPr>
        <w:t>; *Jon T. Willie</w:t>
      </w:r>
      <w:r w:rsidRPr="0037732D">
        <w:rPr>
          <w:rFonts w:ascii="Arial" w:hAnsi="Arial" w:cs="Arial"/>
          <w:sz w:val="24"/>
          <w:szCs w:val="24"/>
          <w:vertAlign w:val="superscript"/>
        </w:rPr>
        <w:t>7</w:t>
      </w:r>
      <w:r w:rsidRPr="0037732D">
        <w:rPr>
          <w:rFonts w:ascii="Arial" w:hAnsi="Arial" w:cs="Arial"/>
          <w:sz w:val="24"/>
          <w:szCs w:val="24"/>
        </w:rPr>
        <w:t>; *Peter Brunner</w:t>
      </w:r>
      <w:r w:rsidRPr="0037732D">
        <w:rPr>
          <w:rFonts w:ascii="Arial" w:hAnsi="Arial" w:cs="Arial"/>
          <w:sz w:val="24"/>
          <w:szCs w:val="24"/>
          <w:vertAlign w:val="superscript"/>
        </w:rPr>
        <w:t>1,3</w:t>
      </w:r>
      <w:r w:rsidRPr="0037732D">
        <w:rPr>
          <w:rFonts w:ascii="Arial" w:hAnsi="Arial" w:cs="Arial"/>
          <w:sz w:val="24"/>
          <w:szCs w:val="24"/>
        </w:rPr>
        <w:t>; *Eric C. Leuthardt</w:t>
      </w:r>
      <w:r w:rsidRPr="0037732D">
        <w:rPr>
          <w:rFonts w:ascii="Arial" w:hAnsi="Arial" w:cs="Arial"/>
          <w:sz w:val="24"/>
          <w:szCs w:val="24"/>
          <w:vertAlign w:val="superscript"/>
        </w:rPr>
        <w:t>1,2,3</w:t>
      </w:r>
    </w:p>
    <w:p w14:paraId="622193B6" w14:textId="77777777" w:rsidR="00CA4747" w:rsidRPr="005B4F50" w:rsidRDefault="00CA4747" w:rsidP="00750445">
      <w:pPr>
        <w:contextualSpacing/>
        <w:rPr>
          <w:rFonts w:ascii="Arial" w:hAnsi="Arial" w:cs="Arial"/>
          <w:sz w:val="20"/>
          <w:szCs w:val="20"/>
          <w:u w:val="single"/>
        </w:rPr>
      </w:pPr>
    </w:p>
    <w:p w14:paraId="0AEB4DED"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Division of Neurotechnology, Department of Neurosurgery,</w:t>
      </w:r>
    </w:p>
    <w:p w14:paraId="0019244A" w14:textId="77777777" w:rsidR="0070618C" w:rsidRPr="005B4F50" w:rsidRDefault="0070618C" w:rsidP="00750445">
      <w:pPr>
        <w:pStyle w:val="ListParagraph"/>
        <w:spacing w:after="0" w:line="240" w:lineRule="auto"/>
        <w:ind w:left="360"/>
        <w:jc w:val="both"/>
        <w:rPr>
          <w:rFonts w:ascii="Arial" w:hAnsi="Arial" w:cs="Arial"/>
          <w:sz w:val="20"/>
          <w:szCs w:val="20"/>
        </w:rPr>
      </w:pPr>
      <w:r w:rsidRPr="005B4F50">
        <w:rPr>
          <w:rFonts w:ascii="Arial" w:hAnsi="Arial" w:cs="Arial"/>
          <w:sz w:val="20"/>
          <w:szCs w:val="20"/>
        </w:rPr>
        <w:t>Washington University in St. Louis School of Medicine, St Louis, MO, 63110, USA.</w:t>
      </w:r>
    </w:p>
    <w:p w14:paraId="5F91DE48"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Department of Biomedical Engineering, McKelvey School of Engineering,</w:t>
      </w:r>
    </w:p>
    <w:p w14:paraId="7A096139" w14:textId="77777777" w:rsidR="0070618C" w:rsidRPr="005B4F50" w:rsidRDefault="0070618C" w:rsidP="00750445">
      <w:pPr>
        <w:pStyle w:val="ListParagraph"/>
        <w:spacing w:after="0" w:line="240" w:lineRule="auto"/>
        <w:ind w:left="360"/>
        <w:jc w:val="both"/>
        <w:rPr>
          <w:rFonts w:ascii="Arial" w:hAnsi="Arial" w:cs="Arial"/>
          <w:sz w:val="20"/>
          <w:szCs w:val="20"/>
        </w:rPr>
      </w:pPr>
      <w:r w:rsidRPr="005B4F50">
        <w:rPr>
          <w:rFonts w:ascii="Arial" w:hAnsi="Arial" w:cs="Arial"/>
          <w:sz w:val="20"/>
          <w:szCs w:val="20"/>
        </w:rPr>
        <w:t>Washington University in St. Louis, St Louis, MO, 63130, USA.</w:t>
      </w:r>
    </w:p>
    <w:p w14:paraId="54E3B2DB"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Department of Neurosurgery, Washington University in St. Louis School of Medicine, St Louis, MO, 63110, USA.</w:t>
      </w:r>
    </w:p>
    <w:p w14:paraId="3E514BA8"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Division of Clinical and Translational Research, Department of Anesthesiology,</w:t>
      </w:r>
    </w:p>
    <w:p w14:paraId="4FD04C8A" w14:textId="77777777" w:rsidR="0070618C" w:rsidRPr="005B4F50" w:rsidRDefault="0070618C" w:rsidP="00750445">
      <w:pPr>
        <w:pStyle w:val="ListParagraph"/>
        <w:spacing w:after="0" w:line="240" w:lineRule="auto"/>
        <w:ind w:left="360"/>
        <w:jc w:val="both"/>
        <w:rPr>
          <w:rFonts w:ascii="Arial" w:hAnsi="Arial" w:cs="Arial"/>
          <w:sz w:val="20"/>
          <w:szCs w:val="20"/>
        </w:rPr>
      </w:pPr>
      <w:r w:rsidRPr="005B4F50">
        <w:rPr>
          <w:rFonts w:ascii="Arial" w:hAnsi="Arial" w:cs="Arial"/>
          <w:sz w:val="20"/>
          <w:szCs w:val="20"/>
        </w:rPr>
        <w:t>Washington University in St. Louis School of Medicine, St Louis, MO, 63110, USA.</w:t>
      </w:r>
    </w:p>
    <w:p w14:paraId="0515222D"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Washington University Pain Center, Washington University in St. Louis School of</w:t>
      </w:r>
    </w:p>
    <w:p w14:paraId="16CCDC3C" w14:textId="77777777" w:rsidR="0070618C" w:rsidRPr="005B4F50" w:rsidRDefault="0070618C" w:rsidP="00750445">
      <w:pPr>
        <w:pStyle w:val="ListParagraph"/>
        <w:spacing w:after="0" w:line="240" w:lineRule="auto"/>
        <w:ind w:left="360"/>
        <w:jc w:val="both"/>
        <w:rPr>
          <w:rFonts w:ascii="Arial" w:hAnsi="Arial" w:cs="Arial"/>
          <w:sz w:val="20"/>
          <w:szCs w:val="20"/>
        </w:rPr>
      </w:pPr>
      <w:r w:rsidRPr="005B4F50">
        <w:rPr>
          <w:rFonts w:ascii="Arial" w:hAnsi="Arial" w:cs="Arial"/>
          <w:sz w:val="20"/>
          <w:szCs w:val="20"/>
        </w:rPr>
        <w:t>Medicine, St Louis, MO, 63110, USA.</w:t>
      </w:r>
    </w:p>
    <w:p w14:paraId="4C29B300"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Department of Neurology, Washington University in St. Louis School of Medicine, St Louis, MO, 63110, USA.</w:t>
      </w:r>
    </w:p>
    <w:p w14:paraId="76C4F298" w14:textId="77777777" w:rsidR="0070618C" w:rsidRPr="005B4F50" w:rsidRDefault="0070618C" w:rsidP="00750445">
      <w:pPr>
        <w:pStyle w:val="ListParagraph"/>
        <w:numPr>
          <w:ilvl w:val="0"/>
          <w:numId w:val="3"/>
        </w:numPr>
        <w:spacing w:after="0" w:line="240" w:lineRule="auto"/>
        <w:jc w:val="both"/>
        <w:rPr>
          <w:rFonts w:ascii="Arial" w:hAnsi="Arial" w:cs="Arial"/>
          <w:sz w:val="20"/>
          <w:szCs w:val="20"/>
        </w:rPr>
      </w:pPr>
      <w:r w:rsidRPr="005B4F50">
        <w:rPr>
          <w:rFonts w:ascii="Arial" w:hAnsi="Arial" w:cs="Arial"/>
          <w:sz w:val="20"/>
          <w:szCs w:val="20"/>
        </w:rPr>
        <w:t>Department of Neurosurgery, The University of Texas at Austin, Dell Medical School, Austin, Texas, 78712, USA.</w:t>
      </w:r>
    </w:p>
    <w:p w14:paraId="5B161668" w14:textId="77777777" w:rsidR="0046535B" w:rsidRPr="005B4F50" w:rsidRDefault="0046535B" w:rsidP="00750445">
      <w:pPr>
        <w:pStyle w:val="ListParagraph"/>
        <w:spacing w:after="0" w:line="240" w:lineRule="auto"/>
        <w:ind w:left="360"/>
        <w:jc w:val="both"/>
        <w:rPr>
          <w:rFonts w:ascii="Arial" w:hAnsi="Arial" w:cs="Arial"/>
          <w:sz w:val="20"/>
          <w:szCs w:val="20"/>
        </w:rPr>
      </w:pPr>
    </w:p>
    <w:p w14:paraId="20DFDABE" w14:textId="45AEDFEB" w:rsidR="00E6133D" w:rsidRPr="005B4F50" w:rsidRDefault="00E6133D" w:rsidP="00750445">
      <w:pPr>
        <w:rPr>
          <w:rFonts w:ascii="Arial" w:hAnsi="Arial" w:cs="Arial"/>
          <w:sz w:val="20"/>
          <w:szCs w:val="20"/>
        </w:rPr>
      </w:pPr>
      <w:r w:rsidRPr="005B4F50">
        <w:rPr>
          <w:rFonts w:ascii="Arial" w:hAnsi="Arial" w:cs="Arial"/>
          <w:sz w:val="20"/>
          <w:szCs w:val="20"/>
        </w:rPr>
        <w:t>*</w:t>
      </w:r>
      <w:r w:rsidR="0070618C" w:rsidRPr="005B4F50">
        <w:rPr>
          <w:rFonts w:ascii="Arial" w:hAnsi="Arial" w:cs="Arial"/>
          <w:sz w:val="20"/>
          <w:szCs w:val="20"/>
        </w:rPr>
        <w:t xml:space="preserve">Corresponding Author Eric C. </w:t>
      </w:r>
      <w:proofErr w:type="spellStart"/>
      <w:r w:rsidR="0070618C" w:rsidRPr="005B4F50">
        <w:rPr>
          <w:rFonts w:ascii="Arial" w:hAnsi="Arial" w:cs="Arial"/>
          <w:sz w:val="20"/>
          <w:szCs w:val="20"/>
        </w:rPr>
        <w:t>Leuthardt</w:t>
      </w:r>
      <w:proofErr w:type="spellEnd"/>
    </w:p>
    <w:p w14:paraId="46D7756D" w14:textId="15C7B220" w:rsidR="00E6133D" w:rsidRPr="005B4F50" w:rsidRDefault="00E6133D" w:rsidP="00750445">
      <w:pPr>
        <w:rPr>
          <w:rFonts w:ascii="Arial" w:hAnsi="Arial" w:cs="Arial"/>
          <w:sz w:val="20"/>
          <w:szCs w:val="20"/>
        </w:rPr>
      </w:pPr>
      <w:r w:rsidRPr="005B4F50">
        <w:rPr>
          <w:rFonts w:ascii="Arial" w:hAnsi="Arial" w:cs="Arial"/>
          <w:b/>
          <w:sz w:val="20"/>
          <w:szCs w:val="20"/>
        </w:rPr>
        <w:t xml:space="preserve">Email: </w:t>
      </w:r>
      <w:r w:rsidRPr="005B4F50">
        <w:rPr>
          <w:rFonts w:ascii="Arial" w:hAnsi="Arial" w:cs="Arial"/>
          <w:sz w:val="20"/>
          <w:szCs w:val="20"/>
        </w:rPr>
        <w:t xml:space="preserve"> </w:t>
      </w:r>
      <w:r w:rsidR="00DE28A6" w:rsidRPr="005B4F50">
        <w:rPr>
          <w:rFonts w:ascii="Arial" w:hAnsi="Arial" w:cs="Arial"/>
          <w:sz w:val="20"/>
          <w:szCs w:val="20"/>
        </w:rPr>
        <w:t>leuthardte@wustl.edu</w:t>
      </w:r>
    </w:p>
    <w:p w14:paraId="3A5183BA" w14:textId="52165660" w:rsidR="002A7053" w:rsidRPr="005B4F50" w:rsidRDefault="0000153A" w:rsidP="00750445">
      <w:pPr>
        <w:rPr>
          <w:rFonts w:ascii="Arial" w:hAnsi="Arial" w:cs="Arial"/>
          <w:sz w:val="20"/>
          <w:szCs w:val="20"/>
        </w:rPr>
      </w:pPr>
      <w:r w:rsidRPr="005B4F50">
        <w:rPr>
          <w:rFonts w:ascii="Arial" w:hAnsi="Arial" w:cs="Arial"/>
          <w:sz w:val="20"/>
          <w:szCs w:val="20"/>
        </w:rPr>
        <w:t xml:space="preserve">PNAS requires the corresponding author to provide an </w:t>
      </w:r>
      <w:r w:rsidR="00A84DC9" w:rsidRPr="005B4F50">
        <w:rPr>
          <w:rFonts w:ascii="Arial" w:hAnsi="Arial" w:cs="Arial"/>
          <w:sz w:val="20"/>
          <w:szCs w:val="20"/>
        </w:rPr>
        <w:t>ORCID identifier</w:t>
      </w:r>
      <w:r w:rsidR="002A7053" w:rsidRPr="005B4F50">
        <w:rPr>
          <w:rFonts w:ascii="Arial" w:hAnsi="Arial" w:cs="Arial"/>
          <w:sz w:val="20"/>
          <w:szCs w:val="20"/>
        </w:rPr>
        <w:t> </w:t>
      </w:r>
      <w:r w:rsidRPr="005B4F50">
        <w:rPr>
          <w:rFonts w:ascii="Arial" w:hAnsi="Arial" w:cs="Arial"/>
          <w:sz w:val="20"/>
          <w:szCs w:val="20"/>
        </w:rPr>
        <w:t>at submission and strongly encourages all authors to use an ORCID ID</w:t>
      </w:r>
      <w:r w:rsidR="002A7053" w:rsidRPr="005B4F50">
        <w:rPr>
          <w:rFonts w:ascii="Arial" w:hAnsi="Arial" w:cs="Arial"/>
          <w:sz w:val="20"/>
          <w:szCs w:val="20"/>
        </w:rPr>
        <w:t>.</w:t>
      </w:r>
      <w:r w:rsidR="003830A5" w:rsidRPr="005B4F50">
        <w:rPr>
          <w:rFonts w:ascii="Arial" w:hAnsi="Arial" w:cs="Arial"/>
          <w:sz w:val="20"/>
          <w:szCs w:val="20"/>
        </w:rPr>
        <w:t xml:space="preserve"> Do not include ORCIDs in the manuscript file; i</w:t>
      </w:r>
      <w:r w:rsidR="002A7053" w:rsidRPr="005B4F50">
        <w:rPr>
          <w:rFonts w:ascii="Arial" w:hAnsi="Arial" w:cs="Arial"/>
          <w:sz w:val="20"/>
          <w:szCs w:val="20"/>
        </w:rPr>
        <w:t xml:space="preserve">ndividual authors must link their ORCID account to their PNAS </w:t>
      </w:r>
      <w:r w:rsidR="00A84DC9" w:rsidRPr="005B4F50">
        <w:rPr>
          <w:rFonts w:ascii="Arial" w:hAnsi="Arial" w:cs="Arial"/>
          <w:sz w:val="20"/>
          <w:szCs w:val="20"/>
        </w:rPr>
        <w:t xml:space="preserve">profile </w:t>
      </w:r>
      <w:r w:rsidR="002A7053" w:rsidRPr="005B4F50">
        <w:rPr>
          <w:rFonts w:ascii="Arial" w:hAnsi="Arial" w:cs="Arial"/>
          <w:sz w:val="20"/>
          <w:szCs w:val="20"/>
        </w:rPr>
        <w:t xml:space="preserve">at </w:t>
      </w:r>
      <w:hyperlink r:id="rId9" w:history="1">
        <w:r w:rsidR="002A7053" w:rsidRPr="005B4F50">
          <w:rPr>
            <w:rStyle w:val="Hyperlink"/>
            <w:rFonts w:ascii="Arial" w:hAnsi="Arial" w:cs="Arial"/>
            <w:sz w:val="20"/>
            <w:szCs w:val="20"/>
          </w:rPr>
          <w:t>www.pnascentral.org</w:t>
        </w:r>
      </w:hyperlink>
      <w:r w:rsidR="002A7053" w:rsidRPr="005B4F50">
        <w:rPr>
          <w:rFonts w:ascii="Arial" w:hAnsi="Arial" w:cs="Arial"/>
          <w:sz w:val="20"/>
          <w:szCs w:val="20"/>
        </w:rPr>
        <w:t>. For proper authentication, authors are not permitted to add ORCIDs on proofs.</w:t>
      </w:r>
      <w:r w:rsidR="00A84DC9" w:rsidRPr="005B4F50">
        <w:rPr>
          <w:rFonts w:ascii="Arial" w:hAnsi="Arial" w:cs="Arial"/>
          <w:color w:val="FF0000"/>
          <w:sz w:val="20"/>
          <w:szCs w:val="20"/>
        </w:rPr>
        <w:t xml:space="preserve"> </w:t>
      </w:r>
      <w:bookmarkStart w:id="0" w:name="_Hlk205559148"/>
      <w:r w:rsidR="00A84DC9" w:rsidRPr="005B4F50">
        <w:rPr>
          <w:rFonts w:ascii="Arial" w:hAnsi="Arial" w:cs="Arial"/>
          <w:sz w:val="20"/>
          <w:szCs w:val="20"/>
        </w:rPr>
        <w:fldChar w:fldCharType="begin"/>
      </w:r>
      <w:r w:rsidR="00A84DC9" w:rsidRPr="005B4F50">
        <w:rPr>
          <w:rFonts w:ascii="Arial" w:hAnsi="Arial" w:cs="Arial"/>
          <w:sz w:val="20"/>
          <w:szCs w:val="20"/>
        </w:rPr>
        <w:instrText>HYPERLINK "https://orcid.org/"</w:instrText>
      </w:r>
      <w:r w:rsidR="00A84DC9" w:rsidRPr="005B4F50">
        <w:rPr>
          <w:rFonts w:ascii="Arial" w:hAnsi="Arial" w:cs="Arial"/>
          <w:sz w:val="20"/>
          <w:szCs w:val="20"/>
        </w:rPr>
      </w:r>
      <w:r w:rsidR="00A84DC9" w:rsidRPr="005B4F50">
        <w:rPr>
          <w:rFonts w:ascii="Arial" w:hAnsi="Arial" w:cs="Arial"/>
          <w:sz w:val="20"/>
          <w:szCs w:val="20"/>
        </w:rPr>
        <w:fldChar w:fldCharType="separate"/>
      </w:r>
      <w:r w:rsidR="00A84DC9" w:rsidRPr="005B4F50">
        <w:rPr>
          <w:rStyle w:val="Hyperlink"/>
          <w:rFonts w:ascii="Arial" w:hAnsi="Arial" w:cs="Arial"/>
          <w:sz w:val="20"/>
          <w:szCs w:val="20"/>
        </w:rPr>
        <w:t>Learn more or register for ORCID</w:t>
      </w:r>
      <w:r w:rsidR="00A84DC9" w:rsidRPr="005B4F50">
        <w:rPr>
          <w:rFonts w:ascii="Arial" w:hAnsi="Arial" w:cs="Arial"/>
          <w:sz w:val="20"/>
          <w:szCs w:val="20"/>
        </w:rPr>
        <w:fldChar w:fldCharType="end"/>
      </w:r>
      <w:r w:rsidR="00A84DC9" w:rsidRPr="005B4F50">
        <w:rPr>
          <w:rFonts w:ascii="Arial" w:hAnsi="Arial" w:cs="Arial"/>
          <w:sz w:val="20"/>
          <w:szCs w:val="20"/>
        </w:rPr>
        <w:t>.</w:t>
      </w:r>
      <w:bookmarkEnd w:id="0"/>
    </w:p>
    <w:p w14:paraId="1A4002EE" w14:textId="61343E36" w:rsidR="00623869" w:rsidRPr="005B4F50" w:rsidRDefault="00623869" w:rsidP="00750445">
      <w:pPr>
        <w:rPr>
          <w:rFonts w:ascii="Arial" w:hAnsi="Arial" w:cs="Arial"/>
          <w:b/>
          <w:sz w:val="20"/>
          <w:szCs w:val="20"/>
        </w:rPr>
      </w:pPr>
      <w:r w:rsidRPr="005B4F50">
        <w:rPr>
          <w:rFonts w:ascii="Arial" w:hAnsi="Arial" w:cs="Arial"/>
          <w:b/>
          <w:sz w:val="20"/>
          <w:szCs w:val="20"/>
        </w:rPr>
        <w:t>Author Contributions:</w:t>
      </w:r>
    </w:p>
    <w:p w14:paraId="2375DD83" w14:textId="1A2AD1D6" w:rsidR="00F27E41" w:rsidRPr="005B4F50" w:rsidRDefault="00F27E41" w:rsidP="00750445">
      <w:pPr>
        <w:pStyle w:val="Acknowledgement"/>
        <w:spacing w:before="0"/>
        <w:ind w:left="0" w:firstLine="0"/>
        <w:rPr>
          <w:rFonts w:ascii="Arial" w:hAnsi="Arial" w:cs="Arial"/>
          <w:sz w:val="20"/>
          <w:szCs w:val="20"/>
        </w:rPr>
      </w:pPr>
      <w:r w:rsidRPr="005B4F50">
        <w:rPr>
          <w:rFonts w:ascii="Arial" w:hAnsi="Arial" w:cs="Arial"/>
          <w:sz w:val="20"/>
          <w:szCs w:val="20"/>
        </w:rPr>
        <w:t>Conceptualization: PD, JTW, PB, ECL</w:t>
      </w:r>
    </w:p>
    <w:p w14:paraId="7BBFB5D1" w14:textId="77777777" w:rsidR="00F27E41" w:rsidRPr="005B4F50" w:rsidRDefault="00F27E41" w:rsidP="00750445">
      <w:pPr>
        <w:pStyle w:val="Acknowledgement"/>
        <w:spacing w:before="0"/>
        <w:rPr>
          <w:rFonts w:ascii="Arial" w:hAnsi="Arial" w:cs="Arial"/>
          <w:sz w:val="20"/>
          <w:szCs w:val="20"/>
        </w:rPr>
      </w:pPr>
      <w:r w:rsidRPr="005B4F50">
        <w:rPr>
          <w:rFonts w:ascii="Arial" w:hAnsi="Arial" w:cs="Arial"/>
          <w:sz w:val="20"/>
          <w:szCs w:val="20"/>
        </w:rPr>
        <w:t>Methodology: PD, PL, GT, XL, TX, HC, JS, WE, SH, MA, LNE, ASG, JTW, PB, ECL</w:t>
      </w:r>
    </w:p>
    <w:p w14:paraId="04AEFADB" w14:textId="2DF7BEF0" w:rsidR="00F27E41" w:rsidRPr="005B4F50" w:rsidRDefault="00F27E41" w:rsidP="00750445">
      <w:pPr>
        <w:pStyle w:val="Acknowledgement"/>
        <w:spacing w:before="0"/>
        <w:ind w:left="0" w:firstLine="0"/>
        <w:rPr>
          <w:rFonts w:ascii="Arial" w:hAnsi="Arial" w:cs="Arial"/>
          <w:sz w:val="20"/>
          <w:szCs w:val="20"/>
        </w:rPr>
      </w:pPr>
      <w:r w:rsidRPr="005B4F50">
        <w:rPr>
          <w:rFonts w:ascii="Arial" w:hAnsi="Arial" w:cs="Arial"/>
          <w:sz w:val="20"/>
          <w:szCs w:val="20"/>
        </w:rPr>
        <w:t>Investigation: PD, PL, JTW, PB, ECL</w:t>
      </w:r>
    </w:p>
    <w:p w14:paraId="47DA54A3" w14:textId="3305C0DA" w:rsidR="00F27E41" w:rsidRPr="005B4F50" w:rsidRDefault="00F27E41" w:rsidP="00750445">
      <w:pPr>
        <w:pStyle w:val="Acknowledgement"/>
        <w:spacing w:before="0"/>
        <w:ind w:left="0" w:firstLine="0"/>
        <w:rPr>
          <w:rFonts w:ascii="Arial" w:hAnsi="Arial" w:cs="Arial"/>
          <w:sz w:val="20"/>
          <w:szCs w:val="20"/>
        </w:rPr>
      </w:pPr>
      <w:r w:rsidRPr="005B4F50">
        <w:rPr>
          <w:rFonts w:ascii="Arial" w:hAnsi="Arial" w:cs="Arial"/>
          <w:sz w:val="20"/>
          <w:szCs w:val="20"/>
        </w:rPr>
        <w:t>Visualization: PD, PL, GT, SSS, JTW, PB, ECL</w:t>
      </w:r>
    </w:p>
    <w:p w14:paraId="1DEDCA15" w14:textId="6C323DD4" w:rsidR="00F27E41" w:rsidRPr="005B4F50" w:rsidRDefault="00F27E41" w:rsidP="00750445">
      <w:pPr>
        <w:pStyle w:val="Acknowledgement"/>
        <w:spacing w:before="0"/>
        <w:ind w:left="0" w:firstLine="0"/>
        <w:rPr>
          <w:rFonts w:ascii="Arial" w:hAnsi="Arial" w:cs="Arial"/>
          <w:sz w:val="20"/>
          <w:szCs w:val="20"/>
        </w:rPr>
      </w:pPr>
      <w:r w:rsidRPr="005B4F50">
        <w:rPr>
          <w:rFonts w:ascii="Arial" w:hAnsi="Arial" w:cs="Arial"/>
          <w:sz w:val="20"/>
          <w:szCs w:val="20"/>
        </w:rPr>
        <w:t>Supervision: JTW, PB, ECL</w:t>
      </w:r>
    </w:p>
    <w:p w14:paraId="466E4B70" w14:textId="04ED9739" w:rsidR="00F27E41" w:rsidRPr="005B4F50" w:rsidRDefault="00F27E41" w:rsidP="00750445">
      <w:pPr>
        <w:pStyle w:val="Acknowledgement"/>
        <w:spacing w:before="0"/>
        <w:ind w:left="0" w:firstLine="0"/>
        <w:rPr>
          <w:rFonts w:ascii="Arial" w:hAnsi="Arial" w:cs="Arial"/>
          <w:sz w:val="20"/>
          <w:szCs w:val="20"/>
        </w:rPr>
      </w:pPr>
      <w:r w:rsidRPr="005B4F50">
        <w:rPr>
          <w:rFonts w:ascii="Arial" w:hAnsi="Arial" w:cs="Arial"/>
          <w:sz w:val="20"/>
          <w:szCs w:val="20"/>
        </w:rPr>
        <w:t>Writing—original draft: PD, ECL</w:t>
      </w:r>
    </w:p>
    <w:p w14:paraId="1050F04A" w14:textId="77777777" w:rsidR="00F27E41" w:rsidRPr="005B4F50" w:rsidRDefault="00F27E41" w:rsidP="00750445">
      <w:pPr>
        <w:pStyle w:val="Acknowledgement"/>
        <w:spacing w:before="0"/>
        <w:rPr>
          <w:rFonts w:ascii="Arial" w:hAnsi="Arial" w:cs="Arial"/>
          <w:sz w:val="20"/>
          <w:szCs w:val="20"/>
        </w:rPr>
      </w:pPr>
      <w:r w:rsidRPr="005B4F50">
        <w:rPr>
          <w:rFonts w:ascii="Arial" w:hAnsi="Arial" w:cs="Arial"/>
          <w:sz w:val="20"/>
          <w:szCs w:val="20"/>
        </w:rPr>
        <w:t>Writing—review &amp; editing: PD, PL, GT, XL, SSS, TX, HC, JS, WE, SH, MA, LNE, ASG, JTW, PB, ECL</w:t>
      </w:r>
    </w:p>
    <w:p w14:paraId="38E0629B" w14:textId="77777777" w:rsidR="00F27E41" w:rsidRPr="005B4F50" w:rsidRDefault="00F27E41" w:rsidP="00750445">
      <w:pPr>
        <w:rPr>
          <w:rFonts w:ascii="Arial" w:hAnsi="Arial" w:cs="Arial"/>
          <w:sz w:val="20"/>
          <w:szCs w:val="20"/>
        </w:rPr>
      </w:pPr>
    </w:p>
    <w:p w14:paraId="7A5DDA98" w14:textId="5EC8551D" w:rsidR="00623869" w:rsidRPr="005B4F50" w:rsidRDefault="00623869" w:rsidP="00750445">
      <w:pPr>
        <w:rPr>
          <w:rFonts w:ascii="Arial" w:hAnsi="Arial" w:cs="Arial"/>
          <w:sz w:val="20"/>
          <w:szCs w:val="20"/>
        </w:rPr>
      </w:pPr>
      <w:r w:rsidRPr="005B4F50">
        <w:rPr>
          <w:rFonts w:ascii="Arial" w:hAnsi="Arial" w:cs="Arial"/>
          <w:b/>
          <w:sz w:val="20"/>
          <w:szCs w:val="20"/>
        </w:rPr>
        <w:t xml:space="preserve">Competing Interest Statement: </w:t>
      </w:r>
      <w:r w:rsidR="00F27E41" w:rsidRPr="005B4F50">
        <w:rPr>
          <w:rFonts w:ascii="Arial" w:hAnsi="Arial" w:cs="Arial"/>
          <w:sz w:val="20"/>
          <w:szCs w:val="20"/>
        </w:rPr>
        <w:t>The Authors declare that they have no competing interests.</w:t>
      </w:r>
    </w:p>
    <w:p w14:paraId="61606AE0" w14:textId="093C8A17" w:rsidR="00E6133D" w:rsidRPr="005B4F50" w:rsidRDefault="00E6133D" w:rsidP="00750445">
      <w:pPr>
        <w:rPr>
          <w:rFonts w:ascii="Arial" w:hAnsi="Arial" w:cs="Arial"/>
          <w:sz w:val="20"/>
          <w:szCs w:val="20"/>
        </w:rPr>
      </w:pPr>
      <w:r w:rsidRPr="005B4F50">
        <w:rPr>
          <w:rFonts w:ascii="Arial" w:hAnsi="Arial" w:cs="Arial"/>
          <w:b/>
          <w:sz w:val="20"/>
          <w:szCs w:val="20"/>
        </w:rPr>
        <w:t>Classification</w:t>
      </w:r>
      <w:r w:rsidR="00623869" w:rsidRPr="005B4F50">
        <w:rPr>
          <w:rFonts w:ascii="Arial" w:hAnsi="Arial" w:cs="Arial"/>
          <w:b/>
          <w:sz w:val="20"/>
          <w:szCs w:val="20"/>
        </w:rPr>
        <w:t xml:space="preserve">: </w:t>
      </w:r>
      <w:r w:rsidR="0060191F" w:rsidRPr="005B4F50">
        <w:rPr>
          <w:rFonts w:ascii="Arial" w:hAnsi="Arial" w:cs="Arial"/>
          <w:sz w:val="20"/>
          <w:szCs w:val="20"/>
        </w:rPr>
        <w:t>Biological Sciences: Neuroscience</w:t>
      </w:r>
    </w:p>
    <w:p w14:paraId="18812061" w14:textId="50C0AD3C" w:rsidR="00E6133D" w:rsidRPr="005B4F50" w:rsidRDefault="00E6133D" w:rsidP="00750445">
      <w:pPr>
        <w:rPr>
          <w:rFonts w:ascii="Arial" w:hAnsi="Arial" w:cs="Arial"/>
          <w:sz w:val="20"/>
          <w:szCs w:val="20"/>
        </w:rPr>
      </w:pPr>
      <w:r w:rsidRPr="005B4F50">
        <w:rPr>
          <w:rFonts w:ascii="Arial" w:hAnsi="Arial" w:cs="Arial"/>
          <w:b/>
          <w:sz w:val="20"/>
          <w:szCs w:val="20"/>
        </w:rPr>
        <w:t>Keywords</w:t>
      </w:r>
      <w:r w:rsidR="00623869" w:rsidRPr="005B4F50">
        <w:rPr>
          <w:rFonts w:ascii="Arial" w:hAnsi="Arial" w:cs="Arial"/>
          <w:b/>
          <w:sz w:val="20"/>
          <w:szCs w:val="20"/>
        </w:rPr>
        <w:t xml:space="preserve">: </w:t>
      </w:r>
      <w:r w:rsidR="00825485" w:rsidRPr="005B4F50">
        <w:rPr>
          <w:rFonts w:ascii="Arial" w:hAnsi="Arial" w:cs="Arial"/>
          <w:sz w:val="20"/>
          <w:szCs w:val="20"/>
        </w:rPr>
        <w:t xml:space="preserve">Cingulate Cortex, Cortico-cortical </w:t>
      </w:r>
      <w:r w:rsidR="00DE28A6" w:rsidRPr="005B4F50">
        <w:rPr>
          <w:rFonts w:ascii="Arial" w:hAnsi="Arial" w:cs="Arial"/>
          <w:sz w:val="20"/>
          <w:szCs w:val="20"/>
        </w:rPr>
        <w:t>evoked potentials, effective connectivity</w:t>
      </w:r>
    </w:p>
    <w:p w14:paraId="1265A261" w14:textId="77777777" w:rsidR="00623869" w:rsidRPr="005B4F50" w:rsidRDefault="00623869" w:rsidP="00750445">
      <w:pPr>
        <w:rPr>
          <w:rFonts w:ascii="Arial" w:hAnsi="Arial" w:cs="Arial"/>
          <w:b/>
          <w:sz w:val="20"/>
          <w:szCs w:val="20"/>
        </w:rPr>
      </w:pPr>
    </w:p>
    <w:p w14:paraId="788EAF02" w14:textId="21CEB795" w:rsidR="00E6133D" w:rsidRPr="005B4F50" w:rsidRDefault="00E6133D" w:rsidP="00750445">
      <w:pPr>
        <w:rPr>
          <w:rFonts w:ascii="Arial" w:hAnsi="Arial" w:cs="Arial"/>
          <w:b/>
          <w:sz w:val="20"/>
          <w:szCs w:val="20"/>
        </w:rPr>
      </w:pPr>
      <w:r w:rsidRPr="005B4F50">
        <w:rPr>
          <w:rFonts w:ascii="Arial" w:hAnsi="Arial" w:cs="Arial"/>
          <w:b/>
          <w:sz w:val="20"/>
          <w:szCs w:val="20"/>
        </w:rPr>
        <w:t>This PDF file includes:</w:t>
      </w:r>
    </w:p>
    <w:p w14:paraId="14DCCC60" w14:textId="77777777" w:rsidR="00E6133D" w:rsidRPr="005B4F50" w:rsidRDefault="00E6133D" w:rsidP="00750445">
      <w:pPr>
        <w:ind w:left="720"/>
        <w:contextualSpacing/>
        <w:rPr>
          <w:rFonts w:ascii="Arial" w:hAnsi="Arial" w:cs="Arial"/>
          <w:sz w:val="20"/>
          <w:szCs w:val="20"/>
        </w:rPr>
      </w:pPr>
      <w:r w:rsidRPr="005B4F50">
        <w:rPr>
          <w:rFonts w:ascii="Arial" w:hAnsi="Arial" w:cs="Arial"/>
          <w:sz w:val="20"/>
          <w:szCs w:val="20"/>
        </w:rPr>
        <w:t>Main Text</w:t>
      </w:r>
    </w:p>
    <w:p w14:paraId="4EEAF45F" w14:textId="49B9C33D" w:rsidR="00474D11" w:rsidRPr="005B4F50" w:rsidRDefault="00E6133D" w:rsidP="00750445">
      <w:pPr>
        <w:ind w:left="720"/>
        <w:contextualSpacing/>
        <w:rPr>
          <w:rFonts w:ascii="Arial" w:hAnsi="Arial" w:cs="Arial"/>
          <w:sz w:val="20"/>
          <w:szCs w:val="20"/>
        </w:rPr>
      </w:pPr>
      <w:r w:rsidRPr="005B4F50">
        <w:rPr>
          <w:rFonts w:ascii="Arial" w:hAnsi="Arial" w:cs="Arial"/>
          <w:sz w:val="20"/>
          <w:szCs w:val="20"/>
        </w:rPr>
        <w:t xml:space="preserve">Figures 1 to </w:t>
      </w:r>
      <w:r w:rsidR="0070618C" w:rsidRPr="005B4F50">
        <w:rPr>
          <w:rFonts w:ascii="Arial" w:hAnsi="Arial" w:cs="Arial"/>
          <w:sz w:val="20"/>
          <w:szCs w:val="20"/>
        </w:rPr>
        <w:t>5</w:t>
      </w:r>
    </w:p>
    <w:p w14:paraId="0A011A10" w14:textId="77777777" w:rsidR="0070618C" w:rsidRPr="005B4F50" w:rsidRDefault="0070618C" w:rsidP="00750445">
      <w:pPr>
        <w:keepNext/>
        <w:pBdr>
          <w:top w:val="nil"/>
          <w:left w:val="nil"/>
          <w:bottom w:val="nil"/>
          <w:right w:val="nil"/>
          <w:between w:val="nil"/>
        </w:pBdr>
        <w:spacing w:before="240" w:after="60"/>
        <w:rPr>
          <w:rFonts w:ascii="Arial" w:hAnsi="Arial" w:cs="Arial"/>
          <w:sz w:val="20"/>
          <w:szCs w:val="20"/>
        </w:rPr>
      </w:pPr>
      <w:bookmarkStart w:id="1" w:name="30j0zll" w:colFirst="0" w:colLast="0"/>
      <w:bookmarkStart w:id="2" w:name="1fob9te" w:colFirst="0" w:colLast="0"/>
      <w:bookmarkEnd w:id="1"/>
      <w:bookmarkEnd w:id="2"/>
    </w:p>
    <w:p w14:paraId="1022AED8" w14:textId="3F2BAFB9" w:rsidR="00E6133D" w:rsidRPr="005B4F50" w:rsidRDefault="00E6133D" w:rsidP="00750445">
      <w:pPr>
        <w:keepNext/>
        <w:pBdr>
          <w:top w:val="nil"/>
          <w:left w:val="nil"/>
          <w:bottom w:val="nil"/>
          <w:right w:val="nil"/>
          <w:between w:val="nil"/>
        </w:pBdr>
        <w:spacing w:before="240" w:after="60"/>
        <w:rPr>
          <w:rFonts w:ascii="Arial" w:hAnsi="Arial" w:cs="Arial"/>
          <w:b/>
          <w:color w:val="000000"/>
          <w:sz w:val="20"/>
          <w:szCs w:val="20"/>
        </w:rPr>
      </w:pPr>
      <w:r w:rsidRPr="005B4F50">
        <w:rPr>
          <w:rFonts w:ascii="Arial" w:hAnsi="Arial" w:cs="Arial"/>
          <w:b/>
          <w:color w:val="000000"/>
          <w:sz w:val="20"/>
          <w:szCs w:val="20"/>
        </w:rPr>
        <w:t>Abstract</w:t>
      </w:r>
    </w:p>
    <w:p w14:paraId="471EE85F" w14:textId="1308A410" w:rsidR="00107AC0" w:rsidRPr="005B4F50" w:rsidRDefault="00107AC0" w:rsidP="00750445">
      <w:pPr>
        <w:pStyle w:val="Paragraph"/>
        <w:spacing w:before="0"/>
        <w:rPr>
          <w:rFonts w:ascii="Arial" w:hAnsi="Arial" w:cs="Arial"/>
          <w:bCs/>
          <w:sz w:val="20"/>
          <w:szCs w:val="20"/>
        </w:rPr>
      </w:pPr>
      <w:r w:rsidRPr="005B4F50">
        <w:rPr>
          <w:rFonts w:ascii="Arial" w:hAnsi="Arial" w:cs="Arial"/>
          <w:bCs/>
          <w:sz w:val="20"/>
          <w:szCs w:val="20"/>
        </w:rPr>
        <w:t>The human cingulate gyrus supports diverse functions, yet its effective networks lack standardized, network-level models. We mapped the effective networks of the anterior, mid, and posterior cingulate in 15 resection-free patients</w:t>
      </w:r>
      <w:r w:rsidRPr="005B4F50">
        <w:rPr>
          <w:rFonts w:ascii="Arial" w:hAnsi="Arial" w:cs="Arial"/>
          <w:sz w:val="20"/>
          <w:szCs w:val="20"/>
        </w:rPr>
        <w:t xml:space="preserve"> </w:t>
      </w:r>
      <w:r w:rsidRPr="005B4F50">
        <w:rPr>
          <w:rFonts w:ascii="Arial" w:hAnsi="Arial" w:cs="Arial"/>
          <w:bCs/>
          <w:sz w:val="20"/>
          <w:szCs w:val="20"/>
        </w:rPr>
        <w:t xml:space="preserve">using single-pulse electrical stimulation and multimodal analysis of cortico-cortical evoked potentials (CCEPs). A morphology-based CCEP coherence measure complemented conventional amplitude-based measures, revealing connections undetected by amplitude alone. </w:t>
      </w:r>
      <w:r w:rsidR="009B0612">
        <w:rPr>
          <w:rFonts w:ascii="Arial" w:hAnsi="Arial" w:cs="Arial"/>
          <w:bCs/>
          <w:sz w:val="20"/>
          <w:szCs w:val="20"/>
        </w:rPr>
        <w:t xml:space="preserve">Across cingulate effective networks, we identified cortical hub regions with shared connectivity across all cingulate subregions, an anterior-posterior connectivity gradient consistent with known cingulum white-matter </w:t>
      </w:r>
      <w:proofErr w:type="gramStart"/>
      <w:r w:rsidR="009B0612">
        <w:rPr>
          <w:rFonts w:ascii="Arial" w:hAnsi="Arial" w:cs="Arial"/>
          <w:bCs/>
          <w:sz w:val="20"/>
          <w:szCs w:val="20"/>
        </w:rPr>
        <w:t>organization, and</w:t>
      </w:r>
      <w:proofErr w:type="gramEnd"/>
      <w:r w:rsidR="009B0612">
        <w:rPr>
          <w:rFonts w:ascii="Arial" w:hAnsi="Arial" w:cs="Arial"/>
          <w:bCs/>
          <w:sz w:val="20"/>
          <w:szCs w:val="20"/>
        </w:rPr>
        <w:t xml:space="preserve"> evaluated the morphological heterogeneity of CCEPs across the cortex for each effective network.</w:t>
      </w:r>
      <w:r w:rsidRPr="005B4F50">
        <w:rPr>
          <w:rFonts w:ascii="Arial" w:hAnsi="Arial" w:cs="Arial"/>
          <w:bCs/>
          <w:sz w:val="20"/>
          <w:szCs w:val="20"/>
        </w:rPr>
        <w:t xml:space="preserve"> Finally, a random forest classification model trained on CCEP features distinguished cingulate subregion networks with 75% accuracy and revealed that </w:t>
      </w:r>
      <w:r w:rsidR="009B0612">
        <w:rPr>
          <w:rFonts w:ascii="Arial" w:hAnsi="Arial" w:cs="Arial"/>
          <w:bCs/>
          <w:sz w:val="20"/>
          <w:szCs w:val="20"/>
        </w:rPr>
        <w:t>conventional</w:t>
      </w:r>
      <w:r w:rsidRPr="005B4F50">
        <w:rPr>
          <w:rFonts w:ascii="Arial" w:hAnsi="Arial" w:cs="Arial"/>
          <w:bCs/>
          <w:sz w:val="20"/>
          <w:szCs w:val="20"/>
        </w:rPr>
        <w:t xml:space="preserve"> assumption-based features had the lowest predictive strength. These results motivate multimodal, data-driven approaches to modeling effective connectivity and provide detailed, network-level models of the human cingu</w:t>
      </w:r>
      <w:r w:rsidR="009B0612">
        <w:rPr>
          <w:rFonts w:ascii="Arial" w:hAnsi="Arial" w:cs="Arial"/>
          <w:bCs/>
          <w:sz w:val="20"/>
          <w:szCs w:val="20"/>
        </w:rPr>
        <w:t>late</w:t>
      </w:r>
      <w:r w:rsidRPr="005B4F50">
        <w:rPr>
          <w:rFonts w:ascii="Arial" w:hAnsi="Arial" w:cs="Arial"/>
          <w:bCs/>
          <w:sz w:val="20"/>
          <w:szCs w:val="20"/>
        </w:rPr>
        <w:t>.</w:t>
      </w:r>
    </w:p>
    <w:p w14:paraId="45398465" w14:textId="77777777" w:rsidR="00E6133D" w:rsidRPr="005B4F50" w:rsidRDefault="00E6133D" w:rsidP="00750445">
      <w:pPr>
        <w:keepNext/>
        <w:pBdr>
          <w:top w:val="nil"/>
          <w:left w:val="nil"/>
          <w:bottom w:val="nil"/>
          <w:right w:val="nil"/>
          <w:between w:val="nil"/>
        </w:pBdr>
        <w:spacing w:before="240" w:after="60"/>
        <w:rPr>
          <w:rFonts w:ascii="Arial" w:hAnsi="Arial" w:cs="Arial"/>
          <w:b/>
          <w:color w:val="000000"/>
          <w:sz w:val="20"/>
          <w:szCs w:val="20"/>
        </w:rPr>
      </w:pPr>
      <w:r w:rsidRPr="005B4F50">
        <w:rPr>
          <w:rFonts w:ascii="Arial" w:hAnsi="Arial" w:cs="Arial"/>
          <w:b/>
          <w:color w:val="000000"/>
          <w:sz w:val="20"/>
          <w:szCs w:val="20"/>
        </w:rPr>
        <w:t>Significance Statement</w:t>
      </w:r>
    </w:p>
    <w:p w14:paraId="35D5CBDC" w14:textId="3506243C" w:rsidR="00FB60FE" w:rsidRDefault="00B5224D" w:rsidP="00F26B0E">
      <w:pPr>
        <w:ind w:firstLine="720"/>
        <w:contextualSpacing/>
        <w:mirrorIndents/>
        <w:rPr>
          <w:color w:val="0E101A"/>
        </w:rPr>
      </w:pPr>
      <w:r>
        <w:rPr>
          <w:rFonts w:ascii="Arial" w:hAnsi="Arial" w:cs="Arial"/>
          <w:color w:val="0E101A"/>
          <w:sz w:val="20"/>
          <w:szCs w:val="20"/>
        </w:rPr>
        <w:t xml:space="preserve">Invasive electrical stimulation is one of the few ways to map causal interactions in the living human brain. </w:t>
      </w:r>
      <w:r w:rsidR="009248E7">
        <w:rPr>
          <w:rFonts w:ascii="Arial" w:hAnsi="Arial" w:cs="Arial"/>
          <w:color w:val="0E101A"/>
          <w:sz w:val="20"/>
          <w:szCs w:val="20"/>
        </w:rPr>
        <w:t>We compare effective networks across anterior, mid, and posterior cingulate subregions, identify core regions that show shared connectivity across subregions, and reveal a clear anterior-posterior gradient in network organization. Our quantitative framework supports network-level comparison</w:t>
      </w:r>
      <w:r w:rsidR="00760981">
        <w:rPr>
          <w:rFonts w:ascii="Arial" w:hAnsi="Arial" w:cs="Arial"/>
          <w:color w:val="0E101A"/>
          <w:sz w:val="20"/>
          <w:szCs w:val="20"/>
        </w:rPr>
        <w:t>s</w:t>
      </w:r>
      <w:r w:rsidR="009248E7">
        <w:rPr>
          <w:rFonts w:ascii="Arial" w:hAnsi="Arial" w:cs="Arial"/>
          <w:color w:val="0E101A"/>
          <w:sz w:val="20"/>
          <w:szCs w:val="20"/>
        </w:rPr>
        <w:t xml:space="preserve"> beyond conventional methods, improving how stimulation-evoked networks are defined and compared. Furthermore, understanding cingulate connectivity has direct clinical and scientific relevance as cingulate subregions are often targeted for neuropsychiatric disorders such as depression, anxiety, and pain, and due to </w:t>
      </w:r>
      <w:r w:rsidR="008C7A66">
        <w:rPr>
          <w:rFonts w:ascii="Arial" w:hAnsi="Arial" w:cs="Arial"/>
          <w:color w:val="0E101A"/>
          <w:sz w:val="20"/>
          <w:szCs w:val="20"/>
        </w:rPr>
        <w:t>their</w:t>
      </w:r>
      <w:r w:rsidR="009248E7">
        <w:rPr>
          <w:rFonts w:ascii="Arial" w:hAnsi="Arial" w:cs="Arial"/>
          <w:color w:val="0E101A"/>
          <w:sz w:val="20"/>
          <w:szCs w:val="20"/>
        </w:rPr>
        <w:t xml:space="preserve"> functional role in cognition and behavior</w:t>
      </w:r>
      <w:r w:rsidR="008C7A66">
        <w:rPr>
          <w:rFonts w:ascii="Arial" w:hAnsi="Arial" w:cs="Arial"/>
          <w:color w:val="0E101A"/>
          <w:sz w:val="20"/>
          <w:szCs w:val="20"/>
        </w:rPr>
        <w:t>.</w:t>
      </w:r>
    </w:p>
    <w:p w14:paraId="65D7FF87" w14:textId="77777777" w:rsidR="00E6133D" w:rsidRPr="005B4F50" w:rsidRDefault="00E6133D" w:rsidP="009248E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5B4F50" w:rsidRDefault="00980C22" w:rsidP="009248E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5B4F50" w:rsidRDefault="00E6133D" w:rsidP="009248E7">
      <w:pPr>
        <w:keepNext/>
        <w:pBdr>
          <w:top w:val="nil"/>
          <w:left w:val="nil"/>
          <w:bottom w:val="nil"/>
          <w:right w:val="nil"/>
          <w:between w:val="nil"/>
        </w:pBdr>
        <w:spacing w:before="240" w:after="60"/>
        <w:contextualSpacing/>
        <w:rPr>
          <w:rFonts w:ascii="Arial" w:hAnsi="Arial" w:cs="Arial"/>
          <w:b/>
          <w:color w:val="000000"/>
          <w:sz w:val="20"/>
          <w:szCs w:val="20"/>
        </w:rPr>
      </w:pPr>
      <w:r w:rsidRPr="005B4F50">
        <w:rPr>
          <w:rFonts w:ascii="Arial" w:hAnsi="Arial" w:cs="Arial"/>
          <w:b/>
          <w:color w:val="000000"/>
          <w:sz w:val="20"/>
          <w:szCs w:val="20"/>
        </w:rPr>
        <w:t>Main Text</w:t>
      </w:r>
    </w:p>
    <w:p w14:paraId="72BE508C" w14:textId="77777777" w:rsidR="00980C22" w:rsidRPr="005B4F50" w:rsidRDefault="00980C22" w:rsidP="009248E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5B4F50" w:rsidRDefault="00E6133D" w:rsidP="009248E7">
      <w:pPr>
        <w:keepNext/>
        <w:pBdr>
          <w:top w:val="nil"/>
          <w:left w:val="nil"/>
          <w:bottom w:val="nil"/>
          <w:right w:val="nil"/>
          <w:between w:val="nil"/>
        </w:pBdr>
        <w:spacing w:before="240" w:after="60"/>
        <w:contextualSpacing/>
        <w:rPr>
          <w:rFonts w:ascii="Arial" w:hAnsi="Arial" w:cs="Arial"/>
          <w:b/>
          <w:color w:val="000000"/>
          <w:sz w:val="20"/>
          <w:szCs w:val="20"/>
        </w:rPr>
      </w:pPr>
      <w:r w:rsidRPr="005B4F50">
        <w:rPr>
          <w:rFonts w:ascii="Arial" w:hAnsi="Arial" w:cs="Arial"/>
          <w:b/>
          <w:color w:val="000000"/>
          <w:sz w:val="20"/>
          <w:szCs w:val="20"/>
        </w:rPr>
        <w:t>Introduction</w:t>
      </w:r>
    </w:p>
    <w:p w14:paraId="4903E3B2" w14:textId="77777777" w:rsidR="00980C22" w:rsidRPr="005B4F50" w:rsidRDefault="00980C22" w:rsidP="009248E7">
      <w:pPr>
        <w:keepNext/>
        <w:pBdr>
          <w:top w:val="nil"/>
          <w:left w:val="nil"/>
          <w:bottom w:val="nil"/>
          <w:right w:val="nil"/>
          <w:between w:val="nil"/>
        </w:pBdr>
        <w:spacing w:before="240" w:after="60"/>
        <w:contextualSpacing/>
        <w:rPr>
          <w:rFonts w:ascii="Arial" w:hAnsi="Arial" w:cs="Arial"/>
          <w:b/>
          <w:color w:val="000000"/>
          <w:sz w:val="20"/>
          <w:szCs w:val="20"/>
        </w:rPr>
      </w:pPr>
    </w:p>
    <w:p w14:paraId="4E4B651E" w14:textId="37057FF7" w:rsidR="00107AC0" w:rsidRPr="005B4F50" w:rsidRDefault="00107AC0" w:rsidP="00750445">
      <w:pPr>
        <w:ind w:firstLine="720"/>
        <w:rPr>
          <w:rFonts w:ascii="Arial" w:hAnsi="Arial" w:cs="Arial"/>
          <w:color w:val="000000" w:themeColor="text1"/>
          <w:sz w:val="20"/>
          <w:szCs w:val="20"/>
          <w:lang w:eastAsia="ko-KR"/>
        </w:rPr>
      </w:pPr>
      <w:r w:rsidRPr="005B4F50">
        <w:rPr>
          <w:rFonts w:ascii="Arial" w:hAnsi="Arial" w:cs="Arial"/>
          <w:color w:val="000000" w:themeColor="text1"/>
          <w:sz w:val="20"/>
          <w:szCs w:val="20"/>
          <w:lang w:eastAsia="ko-KR"/>
        </w:rPr>
        <w:t xml:space="preserve">In humans, the </w:t>
      </w:r>
      <w:r w:rsidRPr="005B4F50">
        <w:rPr>
          <w:rFonts w:ascii="Arial" w:hAnsi="Arial" w:cs="Arial"/>
          <w:bCs/>
          <w:sz w:val="20"/>
          <w:szCs w:val="20"/>
        </w:rPr>
        <w:t xml:space="preserve">cingulate gyrus (Cg) </w:t>
      </w:r>
      <w:r w:rsidRPr="005B4F50">
        <w:rPr>
          <w:rFonts w:ascii="Arial" w:hAnsi="Arial" w:cs="Arial"/>
          <w:color w:val="000000" w:themeColor="text1"/>
          <w:sz w:val="20"/>
          <w:szCs w:val="20"/>
          <w:lang w:eastAsia="ko-KR"/>
        </w:rPr>
        <w:t xml:space="preserve">is widely recognized as a central locus involved in a broad range of processes. Forming an arch-shaped convolution directly dorsal to the corpus callosum, the Cg has historically been defined by its functional, anatomical, connective, and cytoarchitecturally distinct subdivisions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RI9ydfMd","properties":{"formattedCitation":"(1\\uc0\\u8211{}9)","plainCitation":"(1–9)","noteIndex":0},"citationItems":[{"id":4297,"uris":["http://zotero.org/users/7023408/items/V687GN3K"],"itemData":{"id":4297,"type":"book","language":"de","number-of-pages":"350","publisher":"Barth","source":"Google Books","title":"Vergleichende Lokalisationslehre der Grosshirnrinde in ihren Prinzipien dargestellt auf Grund des Zellenbaues","author":[{"family":"Brodmann","given":"Korbinian"}],"issued":{"date-parts":[["1909"]]},"citation-key":"brodmannVergleichendeLokalisationslehreGrosshirnrinde1909"}},{"id":4286,"uris":["http://zotero.org/users/7023408/items/U7I4MQ49"],"itemData":{"id":4286,"type":"article-journal","abstract":"Introduction\nHuman cingulate cortex (CC) has been implicated in many functions, which is highly suggestive of the existence of functional subregions.\n\nMethods\nIn this study, we used resting</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state functional magnetic resonance imaging (rs</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fMRI) and diffusion tensor imaging (DTI) to parcellate the human cingulate cortex (CC) based on resting</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 xml:space="preserve">based parcellation of human cingulate cortex","volume":"8","author":[{"family":"Jin","given":"Fei"},{"family":"Zheng","given":"Pengpeng"},{"family":"Liu","given":"Huaigui"},{"family":"Guo","given":"Hui"},{"family":"Sun","given":"Zhihua"}],"issued":{"date-parts":[["2018",7,24]]},"citation-key":"jinFunctionalAnatomicalConnectivitybased2018"}},{"id":4298,"uris":["http://zotero.org/users/7023408/items/VCY7TENE"],"itemData":{"id":4298,"type":"article-journal","abstract":"The surface morphology and cytoarchitecture of human cingulate cortex was evaluated in the brains of 27 neurologically intact individuals. Variations in surface features included a single cingulate sulcus (CS) with or without segmentation or double parallel sulci with or without segmentation. The single CS was deeper (9.7 +/- 0.81 mm) than in cases with double parallel sulci (7.5 +/- 0.48 mm). There were dimples parallel to the CS in anterior cingulate cortex (ACC) and anastomoses between the CS and the superior CS. Flat maps of the medial cortical surface were made in a two-stage reconstruction process and used to plot areas. The ACC is agranular and has a prominent layer V. Areas 33 and 25 have poor laminar differentiation, and there are three parts of area 24: area 24a adjacent to area 33 and partially within the callosal sulcus has homogeneous layers II and III, area 24b on the gyral surface has the most prominent layer Va of any cingulate area and distinct layers IIIa-b and IIIc, and area 24c in the ventral bank of the CS has thin layers II-III and no differentiation of layer V. There are four caudal divisions of area 24. Areas 24a' and 24b' have a thinner layer Va and layer III is thicker and less dense than in areas 24a and 24b. Area 24c' is caudal to area 24c and has densely packed, large pyramids throughout layer V. Area 24c' g is caudal to area 24c' and has the largest layer Vb pyramidal neurons in cingulate cortex. Area 32 is a cingulofrontal transition cortex with large layer IIIc pyramidal neurons and a dysgranular layer IV. Area 32' is caudal to area 32 and has an indistinct layer IV, larger layer IIIc pyramids, and fewer neurons in layer Va. Posterior cingulate cortex has medial and lateral parts of area 29, a dysgranular area 30, and three divisions of area 23: area 23a has a thin layer IIIc and moderate-sized pyramids in layer Va, area 23b has large and prominent pyramids in layers IIIc and Va, and area 23c has the thinnest layers V and VI in cingulate cortex. Area 31 is the cinguloparietal transition area in the parasplenial lobules and has very large layer IIIc pyramids. Finally, variations in architecture between cases were assessed in neuron perikarya counts in area 23a. There was an age-related decrease in neuron density in layer IV (r = -0.63; ages 45-102), but not in other layers.(ABSTRACT TRUNCATED AT 400 WORDS)","container-title":"The Journal of Comparative Neurology","DOI":"10.1002/cne.903590310","ISSN":"0021-9967","issue":"3","journalAbbreviation":"J Comp Neurol","language":"eng","note":"PMID: 7499543","page":"490-506","source":"PubMed","title":"Human cingulate cortex: surface features, flat maps, and cytoarchitecture","title-short":"Human cingulate cortex","volume":"359","author":[{"family":"Vogt","given":"B. A."},{"family":"Nimchinsky","given":"E. A."},{"family":"Vogt","given":"L. J."},{"family":"Hof","given":"P. R."}],"issued":{"date-parts":[["1995",8,28]]},"citation-key":"vogtHumanCingulateCortex1995"}},{"id":3368,"uris":["http://zotero.org/users/7023408/items/9NJXW7ZV"],"itemData":{"id":3368,"type":"article-journal","abstract":"Summary: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Connectivity"}},{"id":4296,"uris":["http://zotero.org/users/7023408/items/BWWVV6X7"],"itemData":{"id":4296,"type":"article-journal","abstract":"Heterogeneity of the cingulate cortex is evident in multiple dimensions including anatomy, function, connectivity, and involvement in networks and diseases. Using the recently developed functional connectivity gradient approach and resting-state functional MRI data, we found three functional connectivity gradients that captured distinct dimensions of cingulate hierarchical organization. The principal gradient exhibited a radiating organization with transitions from the middle toward both anterior and posterior parts of the cingulate cortex and was related to canonical functional networks and corresponding behavioral domains. The second gradient showed an anterior–posterior axis across the cingulate cortex and had prominent geometric distance dependence. The third gradient displayed a marked differentiation of subgenual and caudal middle with other parts of the cingulate cortex and was associated with cortical morphology. Aside from providing an updated framework for understanding the multifaceted nature of cingulate heterogeneity, the observed hierarchical organization of the cingulate cortex may constitute a novel research agenda with potential applications in basic and clinical neuroscience.","container-title":"Communications Biology","DOI":"10.1038/s42003-023-05029-0","ISSN":"2399-3642","issue":"1","journalAbbreviation":"Commun Biol","language":"en","license":"2023 The Author(s)","page":"1-9","source":"www.nature.com","title":"Functional connectivity gradients of the cingulate cortex","volume":"6","author":[{"family":"Shen","given":"Yuhao"},{"family":"Cai","given":"Huanhuan"},{"family":"Mo","given":"Fan"},{"family":"Yao","given":"Shanwen"},{"family":"Yu","given":"Yongqiang"},{"family":"Zhu","given":"Jiajia"}],"issued":{"date-parts":[["2023",6,19]]},"citation-key":"shenFunctionalConnectivityGradients2023"}},{"id":4299,"uris":["http://zotero.org/users/7023408/items/MC7RTP3Z"],"itemData":{"id":4299,"type":"article-journal","abstract":"The structural and functional organization of the human cingulate cortex is an ongoing focus; however, human imaging studies continue to use the century-old Brodmann concept of a two region cingulate cortex. Recently, a four-region neurobiological model was proposed based on structural, circuitry, and functional imaging observations. It encompasses the anterior cingulate, midcingulate, posterior cingulate, and retrosplenial cortices (ACC, MCC, PCC, and RSC, respectively). For the first time, this study performs multireceptor autoradiography of 15 neurotransmitter receptor ligands and multivariate statistics on human whole brain postmortem samples covering the entire cingulate cortex. We evaluated the validity of Brodmann's duality concept and of the four-region model using a hierarchical clustering analysis of receptor binding according to the degree of similarity of each area's receptor architecture. We could not find support for Brodmann's dual cingulate concept, because the anterior part of his area 24 has significantly higher AMPA, kainate, GABA(B), benzodiazepine, and M(3) but lower NMDA and GABA(A) binding site densities than the posterior part. The hierarchical clustering analysis distinguished ACC, MCC, PCC, and RSC as independent regions. The ACC has highest AMPA, kainate, alpha(2), 5-HT(1A), and D(1) but lowest GABA(A) densities. The MCC has lowest AMPA, kainate, alpha(2), and D(1) densities. Area 25 in ACC is similar in receptor-architecture to MCC, particularly the NMDA, GABA(A), GABA(B), and M(2) receptors. The PCC and RSC differ in the higher M(1) and alpha(1) but lower M(3) densities of PCC. Thus, multireceptor autoradiography supports the four-region neurobiological model of the cingulate cortex.","container-title":"Human Brain Mapping","DOI":"10.1002/hbm.20667","ISSN":"1097-0193","issue":"8","journalAbbreviation":"Hum Brain Mapp","language":"eng","note":"PMID: 19034899\nPMCID: PMC6870973","page":"2336-2355","source":"PubMed","title":"Receptor architecture of human cingulate cortex: evaluation of the four-region neurobiological model","title-short":"Receptor architecture of human cingulate cortex","volume":"30","author":[{"family":"Palomero-Gallagher","given":"Nicola"},{"family":"Vogt","given":"Brent A."},{"family":"Schleicher","given":"Axel"},{"family":"Mayberg","given":"Helen S."},{"family":"Zilles","given":"Karl"}],"issued":{"date-parts":[["2009",8]]},"citation-key":"palomero-gallagherReceptorArchitectureHuman2009"}},{"id":4300,"uris":["http://zotero.org/users/7023408/items/T3Q73HDF"],"itemData":{"id":4300,"type":"article-journal","abstract":"The four-region model with 7 specified subregions represents a theoretical construct of functionally segregated divisions of the cingulate cortex based on integrated neurobiological assessments. Under this framework, we aimed to investigate the functional specialization of the human cingulate cortex by analyzing the resting-state functional connectivity (FC) of each subregion from a network perspective. In 20 healthy subjects we systematically investigated the FC patterns of the bilateral subgenual (sACC) and pregenual (pACC) anterior cingulate cortices, anterior (aMCC) and posterior (pMCC) midcingulate cortices, dorsal (dPCC) and ventral (vPCC) posterior cingulate cortices and retrosplenial cortices (RSC). We found that each cingulate subregion was specifically integrated in the predescribed functional networks and showed anti-correlated resting-state fluctuations. The sACC and pACC were involved in an affective network and anti-correlated with the sensorimotor and cognitive networks, while the pACC also correlated with the default-mode network and anti-correlated with the visual network. In the midcingulate cortex, however, the aMCC was correlated with the cognitive and sensorimotor networks and anti-correlated with the visual, affective and default-mode networks, whereas the pMCC only correlated with the sensorimotor network and anti-correlated with the cognitive and visual networks. The dPCC and vPCC involved in the default-mode network and anti-correlated with the sensorimotor, cognitive and visual networks, in contrast, the RSC was mainly correlated with the PCC and thalamus. Based on a strong hypothesis driven approach of anatomical partitions of the cingulate cortex, we could confirm their segregation in terms of functional neuroanatomy, as suggested earlier by task studies or exploratory multi-seed investigations.","container-title":"NeuroImage","DOI":"10.1016/j.neuroimage.2010.11.018","ISSN":"1095-9572","issue":"4","journalAbbreviation":"Neuroimage","language":"eng","note":"PMID: 21073967","page":"2571-2581","source":"PubMed","title":"Functional segregation of the human cingulate cortex is confirmed by functional connectivity based neuroanatomical parcellation","volume":"54","author":[{"family":"Yu","given":"Chunshui"},{"family":"Zhou","given":"Yuan"},{"family":"Liu","given":"Yong"},{"family":"Jiang","given":"Tianzi"},{"family":"Dong","given":"Haiwei"},{"family":"Zhang","given":"Yunting"},{"family":"Walter","given":"Martin"}],"issued":{"date-parts":[["2011",2,14]]},"citation-key":"yuFunctionalSegregationHuman2011"}},{"id":4301,"uris":["http://zotero.org/users/7023408/items/FIV6GLJB"],"itemData":{"id":4301,"type":"article-journal","abstract":"Whole-brain neuroimaging studies have demonstrated regional variations in function within human cingulate cortex. At the same time, regional variations in cingulate anatomical connections have been found in animal models. It has, however, been difficult to estimate the relationship between connectivity and function throughout the whole cingulate cortex within the human brain. In this study, magnetic resonance diffusion tractography was used to investigate cingulate probabilistic connectivity in the human brain with two approaches. First, an algorithm was used to search for regional variations in the probabilistic connectivity profiles of all cingulate cortex voxels with the whole of the rest of the brain. Nine subregions with distinctive connectivity profiles were identified. It was possible to characterize several distinct areas in the dorsal cingulate sulcal region. Several distinct regions were also found in subgenual and perigenual cortex. Second, the probabilities of connection between cingulate cortex and 11 predefined target regions of interest were calculated. Cingulate voxels with a high probability of connection with the different targets formed separate clusters within cingulate cortex. Distinct connectivity fingerprints characterized the likelihood of connections between the extracingulate target regions and the nine cingulate subregions. Last, a meta-analysis of 171 functional studies reporting cingulate activation was performed. Seven different cognitive conditions were selected and peak activation coordinates were plotted to create maps of functional localization within the cingulate cortex. Regional functional specialization was found to be related to regional differences in probabilistic anatomical connectivity.","container-title":"The Journal of Neuroscience: The Official Journal of the Society for Neuroscience","DOI":"10.1523/JNEUROSCI.3328-08.2009","ISSN":"1529-2401","issue":"4","journalAbbreviation":"J Neurosci","language":"eng","note":"PMID: 19176826\nPMCID: PMC6665147","page":"1175-1190","source":"PubMed","title":"Connectivity-based parcellation of human cingulate cortex and its relation to functional specialization","volume":"29","author":[{"family":"Beckmann","given":"Matthias"},{"family":"Johansen-Berg","given":"Heidi"},{"family":"Rushworth","given":"Matthew F. S."}],"issued":{"date-parts":[["2009",1,28]]},"citation-key":"beckmannConnectivitybasedParcellationHuman2009"}},{"id":4315,"uris":["http://zotero.org/users/7023408/items/J3PHI7FR"],"itemData":{"id":4315,"type":"article-journal","abstract":"Variation in cytoarchitecture is the basis for the histological definition of cortical areas. We used single cell transcriptomics and performed cellular characterization of the human cortex to better understand cortical areal specialization. Single-nucleus RNA-sequencing of 8 areas spanning cortical structural variation showed a highly consistent cellular makeup for 24 cell subclasses. However, proportions of excitatory neuron subclasses varied substantially, likely reflecting differences in connectivity across primary sensorimotor and association cortices. Laminar organization of astrocytes and oligodendrocytes also differed across areas. Primary visual cortex showed characteristic organization with major changes in the excitatory to inhibitory neuron ratio, expansion of layer 4 excitatory neurons, and specialized inhibitory neurons. These results lay the groundwork for a refined cellular and molecular characterization of human cortical cytoarchitecture and areal specialization. \n          ,  \n             \n              INTRODUCTION \n              The human neocortex is generally organized into six layers of neurons but the size and cellular composition of these layers varies across the cortex, and this variation is thought to underlie differences in connectivity that impart specific functional specialization to distinct cortical areas. However, the degree to which cortical areas have a canonical versus noncanonical organization has proved difficult to reliably quantify. Single-nucleus and spatial transcriptomic methods enable high-resolution characterization of the cellular structure of the human neocortex providing a means to quantitatively compare the molecular and cellular structure and specialization of distinct cortical areas. \n             \n             \n              RATIONALE \n              Eight cortical areas that are representative of major variation in cellular architecture and include primary sensory and association cortices were sampled using single-nucleus transcriptomics to generate a dataset comprised of more than 1.1 million nuclei. \n             \n             \n              RESULTS \n              Nuclei were grouped based on gene expression similarity into one of 24 cellular subclasses, which were found in all cortical areas. Layer 4 intratelencephalic excitatory neurons were present even in agranular areas that lacked a histologically distinct layer 4, suggesting a common subclass-level cellular blueprint across the cortex. However, gene expression and subclass proportions varied substantially between cortical areas, with more differences in excitatory projection neurons than inhibitory neurons. All non-neuronal subclasses were shared across cortical areas but their laminar distributions varied between areas, and astrocytes also expressed regional marker genes. Variation as a function of rostrocaudal location in the cortex was a clear organizational feature where neighboring cortical areas were most similar, in line with previous observations of gene expression similarity by topographic proximity in the cortex. At a finer cell-type level of analysis, area-enriched and area-specific cell types were apparent in multiple cortical areas, but most notably in the primary visual cortex (V1) that had many distinct excitatory neuron types and several distinct inhibitory neuron types that reflect the specialized cellular architecture of this area in humans and other primates. V1 specialized inhibitory cell types were mostly Somatostatin-expressing neurons likely originating from the medial ganglionic eminence during development. Layer 4 in V1, which is visibly enlarged and has multiple sublayers, was notably different from other areas with discrete sublaminar distributions of specialized excitatory and inhibitory neurons revealed by spatial transcriptomics. \n             \n             \n              CONCLUSION \n              A common set of cell types are found across human cortical areas that have diverse functions. Excitatory projection neurons exhibit large spatial gradients and regional differences in proportions, laminar distributions, and gene expression that are less pronounced in inhibitory neurons or non-neuronal cells. V1 is molecularly distinct from other cortical areas and several excitatory and inhibitory neuronal types are found only in V1. The ratio of excitatory to inhibitory neurons in V1 is also more than double that of other cortical areas, reflecting specialization of the human cortex for processing visual information. \n               \n                 \n                  Regional specializations of human cortical cell types. \n                   \n                    ( \n                    A \n                    ) Single nucleus RNA-sequencing data from eight areas of the human neocortex were used to generate a cross-areal taxonomy with shared and area-specific types. ( \n                    B \n                    ) The relative number of excitatory and inhibitory neurons is similar across all areas except V1. Neuronal cell-type proportions and gene expression varied systematically from the rostral (R) to caudal (C) cortex with additional regional signatures. ( \n                    C \n                    ) Some excitatory neuron types that are exclusive to V1 are in the visual input layer 4, which is expanded compared to other cortical areas.","container-title":"Science","DOI":"10.1126/science.adf6812","ISSN":"0036-8075, 1095-9203","issue":"6667","journalAbbreviation":"Science","language":"en","page":"eadf6812","source":"DOI.org (Crossref)","title":"Transcriptomic cytoarchitecture reveals principles of human neocortex organization","volume":"382","author":[{"family":"Jorstad","given":"Nikolas L."},{"family":"Close","given":"Jennie"},{"family":"Johansen","given":"Nelson"},{"family":"Yanny","given":"Anna Marie"},{"family":"Barkan","given":"Eliza R."},{"family":"Travaglini","given":"Kyle J."},{"family":"Bertagnolli","given":"Darren"},{"family":"Campos","given":"Jazmin"},{"family":"Casper","given":"Tamara"},{"family":"Crichton","given":"Kirsten"},{"family":"Dee","given":"Nick"},{"family":"Ding","given":"Song-Lin"},{"family":"Gelfand","given":"Emily"},{"family":"Goldy","given":"Jeff"},{"family":"Hirschstein","given":"Daniel"},{"family":"Kiick","given":"Katelyn"},{"family":"Kroll","given":"Matthew"},{"family":"Kunst","given":"Michael"},{"family":"Lathia","given":"Kanan"},{"family":"Long","given":"Brian"},{"family":"Martin","given":"Naomi"},{"family":"McMillen","given":"Delissa"},{"family":"Pham","given":"Trangthanh"},{"family":"Rimorin","given":"Christine"},{"family":"Ruiz","given":"Augustin"},{"family":"Shapovalova","given":"Nadiya"},{"family":"Shehata","given":"Soraya"},{"family":"Siletti","given":"Kimberly"},{"family":"Somasundaram","given":"Saroja"},{"family":"Sulc","given":"Josef"},{"family":"Tieu","given":"Michael"},{"family":"Torkelson","given":"Amy"},{"family":"Tung","given":"Herman"},{"family":"Callaway","given":"Edward M."},{"family":"Hof","given":"Patrick R."},{"family":"Keene","given":"C. Dirk"},{"family":"Levi","given":"Boaz P."},{"family":"Linnarsson","given":"Sten"},{"family":"Mitra","given":"Partha P."},{"family":"Smith","given":"Kimberly"},{"family":"Hodge","given":"Rebecca D."},{"family":"Bakken","given":"Trygve E."},{"family":"Lein","given":"Ed S"}],"issued":{"date-parts":[["2023",10,13]]},"citation-key":"jorstadTranscriptomicCytoarchitectureReveals2023"}}],"schema":"https://github.com/citation-style-language/schema/raw/master/csl-citation.json"}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sidRPr="00A957AF">
        <w:rPr>
          <w:rFonts w:ascii="Arial" w:hAnsi="Arial" w:cs="Arial"/>
          <w:color w:val="000000"/>
          <w:sz w:val="20"/>
        </w:rPr>
        <w:t>(1–9)</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The most formal model of the Cg groups these </w:t>
      </w:r>
      <w:r w:rsidRPr="005B4F50">
        <w:rPr>
          <w:rFonts w:ascii="Arial" w:hAnsi="Arial" w:cs="Arial"/>
          <w:color w:val="000000" w:themeColor="text1"/>
          <w:sz w:val="20"/>
          <w:szCs w:val="20"/>
          <w:lang w:eastAsia="ko-KR"/>
        </w:rPr>
        <w:lastRenderedPageBreak/>
        <w:t xml:space="preserve">subdivisions into four regions: the anterior cingulate cortex (ACC), midcingulate cortex (MCC), posterior cingulate cortex (PCC), and </w:t>
      </w:r>
      <w:proofErr w:type="spellStart"/>
      <w:r w:rsidRPr="005B4F50">
        <w:rPr>
          <w:rFonts w:ascii="Arial" w:hAnsi="Arial" w:cs="Arial"/>
          <w:color w:val="000000" w:themeColor="text1"/>
          <w:sz w:val="20"/>
          <w:szCs w:val="20"/>
          <w:lang w:eastAsia="ko-KR"/>
        </w:rPr>
        <w:t>retrosplenial</w:t>
      </w:r>
      <w:proofErr w:type="spellEnd"/>
      <w:r w:rsidRPr="005B4F50">
        <w:rPr>
          <w:rFonts w:ascii="Arial" w:hAnsi="Arial" w:cs="Arial"/>
          <w:color w:val="000000" w:themeColor="text1"/>
          <w:sz w:val="20"/>
          <w:szCs w:val="20"/>
          <w:lang w:eastAsia="ko-KR"/>
        </w:rPr>
        <w:t xml:space="preserve"> cortex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{"citationID":"4AXyn7zr","properties":{"formattedCitation":"(3, 6)","plainCitation":"(3, 6)","noteIndex":0},"citationItems":[{"id":4298,"uris":["http://zotero.org/users/7023408/items/VCY7TENE"],"itemData":{"id":4298,"type":"article-journal","abstract":"The surface morphology and cytoarchitecture of human cingulate cortex was evaluated in the brains of 27 neurologically intact individuals. Variations in surface features included a single cingulate sulcus (CS) with or without segmentation or double parallel sulci with or without segmentation. The single CS was deeper (9.7 +/- 0.81 mm) than in cases with double parallel sulci (7.5 +/- 0.48 mm). There were dimples parallel to the CS in anterior cingulate cortex (ACC) and anastomoses between the CS and the superior CS. Flat maps of the medial cortical surface were made in a two-stage reconstruction process and used to plot areas. The ACC is agranular and has a prominent layer V. Areas 33 and 25 have poor laminar differentiation, and there are three parts of area 24: area 24a adjacent to area 33 and partially within the callosal sulcus has homogeneous layers II and III, area 24b on the gyral surface has the most prominent layer Va of any cingulate area and distinct layers IIIa-b and IIIc, and area 24c in the ventral bank of the CS has thin layers II-III and no differentiation of layer V. There are four caudal divisions of area 24. Areas 24a' and 24b' have a thinner layer Va and layer III is thicker and less dense than in areas 24a and 24b. Area 24c' is caudal to area 24c and has densely packed, large pyramids throughout layer V. Area 24c' g is caudal to area 24c' and has the largest layer Vb pyramidal neurons in cingulate cortex. Area 32 is a cingulofrontal transition cortex with large layer IIIc pyramidal neurons and a dysgranular layer IV. Area 32' is caudal to area 32 and has an indistinct layer IV, larger layer IIIc pyramids, and fewer neurons in layer Va. Posterior cingulate cortex has medial and lateral parts of area 29, a dysgranular area 30, and three divisions of area 23: area 23a has a thin layer IIIc and moderate-sized pyramids in layer Va, area 23b has large and prominent pyramids in layers IIIc and Va, and area 23c has the thinnest layers V and VI in cingulate cortex. Area 31 is the cinguloparietal transition area in the parasplenial lobules and has very large layer IIIc pyramids. Finally, variations in architecture between cases were assessed in neuron perikarya counts in area 23a. There was an age-related decrease in neuron density in layer IV (r = -0.63; ages 45-102), but not in other layers.(ABSTRACT TRUNCATED AT 400 WORDS)","container-title":"The Journal of Comparative Neurology","DOI":"10.1002/cne.903590310","ISSN":"0021-9967","issue":"3","journalAbbreviation":"J Comp Neurol","language":"eng","note":"PMID: 7499543","page":"490-506","source":"PubMed","title":"Human cingulate cortex: surface features, flat maps, and cytoarchitecture","title-short":"Human cingulate cortex","volume":"359","author":[{"family":"Vogt","given":"B. A."},{"family":"Nimchinsky","given":"E. A."},{"family":"Vogt","given":"L. J."},{"family":"Hof","given":"P. R."}],"issued":{"date-parts":[["1995",8,28]]},"citation-key":"vogtHumanCingulateCortex1995"}},{"id":4299,"uris":["http://zotero.org/users/7023408/items/MC7RTP3Z"],"itemData":{"id":4299,"type":"article-journal","abstract":"The structural and functional organization of the human cingulate cortex is an ongoing focus; however, human imaging studies continue to use the century-old Brodmann concept of a two region cingulate cortex. Recently, a four-region neurobiological model was proposed based on structural, circuitry, and functional imaging observations. It encompasses the anterior cingulate, midcingulate, posterior cingulate, and retrosplenial cortices (ACC, MCC, PCC, and RSC, respectively). For the first time, this study performs multireceptor autoradiography of 15 neurotransmitter receptor ligands and multivariate statistics on human whole brain postmortem samples covering the entire cingulate cortex. We evaluated the validity of Brodmann's duality concept and of the four-region model using a hierarchical clustering analysis of receptor binding according to the degree of similarity of each area's receptor architecture. We could not find support for Brodmann's dual cingulate concept, because the anterior part of his area 24 has significantly higher AMPA, kainate, GABA(B), benzodiazepine, and M(3) but lower NMDA and GABA(A) binding site densities than the posterior part. The hierarchical clustering analysis distinguished ACC, MCC, PCC, and RSC as independent regions. The ACC has highest AMPA, kainate, alpha(2), 5-HT(1A), and D(1) but lowest GABA(A) densities. The MCC has lowest AMPA, kainate, alpha(2), and D(1) densities. Area 25 in ACC is similar in receptor-architecture to MCC, particularly the NMDA, GABA(A), GABA(B), and M(2) receptors. The PCC and RSC differ in the higher M(1) and alpha(1) but lower M(3) densities of PCC. Thus, multireceptor autoradiography supports the four-region neurobiological model of the cingulate cortex.","container-title":"Human Brain Mapping","DOI":"10.1002/hbm.20667","ISSN":"1097-0193","issue":"8","journalAbbreviation":"Hum Brain Mapp","language":"eng","note":"PMID: 19034899\nPMCID: PMC6870973","page":"2336-2355","source":"PubMed","title":"Receptor architecture of human cingulate cortex: evaluation of the four-region neurobiological model","title-short":"Receptor architecture of human cingulate cortex","volume":"30","author":[{"family":"Palomero-Gallagher","given":"Nicola"},{"family":"Vogt","given":"Brent A."},{"family":"Schleicher","given":"Axel"},{"family":"Mayberg","given":"Helen S."},{"family":"Zilles","given":"Karl"}],"issued":{"date-parts":[["2009",8]]},"citation-key":"palomero-gallagherReceptorArchitectureHuman2009"}}],"schema":"https://github.com/citation-style-language/schema/raw/master/csl-citation.json"}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(3, 6)</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w:t>
      </w:r>
    </w:p>
    <w:p w14:paraId="3D73010C" w14:textId="3F33638E" w:rsidR="00107AC0" w:rsidRPr="005B4F50" w:rsidRDefault="00107AC0" w:rsidP="00750445">
      <w:pPr>
        <w:ind w:firstLine="720"/>
        <w:rPr>
          <w:rFonts w:ascii="Arial" w:hAnsi="Arial" w:cs="Arial"/>
          <w:color w:val="000000" w:themeColor="text1"/>
          <w:sz w:val="20"/>
          <w:szCs w:val="20"/>
          <w:lang w:eastAsia="ko-KR"/>
        </w:rPr>
      </w:pPr>
      <w:r w:rsidRPr="005B4F50">
        <w:rPr>
          <w:rFonts w:ascii="Arial" w:hAnsi="Arial" w:cs="Arial"/>
          <w:color w:val="000000" w:themeColor="text1"/>
          <w:sz w:val="20"/>
          <w:szCs w:val="20"/>
          <w:lang w:eastAsia="ko-KR"/>
        </w:rPr>
        <w:t xml:space="preserve">The ACC is one of the most widely studied cortical regions and is implicated in cognitive control, autonomic control, social cognition, decision-making, prediction error, pain, and emotion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{"citationID":"UkiaI8rm","properties":{"formattedCitation":"(10\\uc0\\u8211{}16)","plainCitation":"(10–16)","noteIndex":0},"citationItems":[{"id":3605,"uris":["http://zotero.org/users/7023408/items/GK4QUT2E"],"itemData":{"id":3605,"type":"article-journal","abstract":"The cingulate gyrus participates in pain and emotion processing. Although Brodmann identified two regions without knowledge of their functional activity, recent cytoarchitectural, connection and functional imaging studies show that the cingulate gyrus actually has four regions, with associated subregions, and that each makes a qualitatively unique contribution to brain functions. These regions and subregions are the subgenual and pregenual anterior cingulate cortex (sACC and pACC), the anterior and posterior midcingulate cortex (aMCC and pMCC), the dorsal and ventral posterior cingulate cortex (dPCC and vPCC), and the retrosplenial cortex (RSC). Pain processing is usually conceived in terms of two cognitive domains with sensory-discriminative and affective-motivational components. The ACC and MCC are thought to mediate the latter of these components. The nociceptive properties of cingulate neurons include large somatic receptive fields and a predominance of nociceptive activations, with some that even respond to an innocuous tap. These responses are predicted by the properties of midline and intralaminar thalamic neurons that project to the cingulate cortex, including the parafascicular, paraventricular and reuniens nuclei that derive their nociceptive information from the spinal cord, the subnucleus reticularis dorsalis and the parabrachial nuclei.Human functional imaging studies of activity during acute noxious stimulation of cutaneous, muscular and visceral tissues show that cutaneous activity is greatest throughout the MCC, whereas the pACC, and to a lesser extent the aMCC, are active during noxious deep tissue stimulation. In addition, electroencephalographic findings indicate that a short-latency nociceptive response can be generated by noxious and innocuous stimuli from the pMCC and dPCC. To investigate the hypothesis that the cingulate cortex mediates pain affect, we localized the simple emotions of sadness, happiness, anger and fear in the framework of cingulate subregions. Amazingly, it failed to show a simple overlap of pain affect sites and sadness as predicted. The five main outcomes of this study are as follows. First, the sACC is involved in negatively valenced memories. Second, the pACC is involved in happy emotions. Third, the aMCC is involved in fear. Fourth, the pMCC and dPCC have little or no involvement in emotion. Fifth, the vPCC is involved in emotion but not in a specific way, as it is also activated by control conditions without emotional valence.Rather than having a simple role in pain affect, the cingulate gyrus seems to have three roles in pain processing. First, the pACC is involved in unpleasant experiences and directly drives autonomic outputs. Second, the aMCC is involved in fear, prediction of negative consequences and avoidance behaviours through the rostral cingulate motor area. Third, the pMCC and dPCC are not involved in emotion but are driven by short-latency somatosensory signals that mediate orientation of the body in space through the caudal cingulate motor area. In addition to these functions, nociceptive stimuli reduce activity in the vPCC and, therefore, activity in a subregion that normally evaluates the self-relevance of incoming visual sensations. So, there is a complex interaction between pain and emotion. Moreover, hypnoanalgesia and opioid and acupuncture placebos indicate mechanisms whereby the cingulate subregions can be engaged for therapeutic intervention.","container-title":"Nature Reviews Neuroscience","DOI":"10.1038/nrn1704","ISSN":"1471-0048","issue":"7","journalAbbreviation":"Nat Rev Neurosci","language":"en","license":"2005 Springer Nature Limited","page":"533-544","source":"www.nature.com","title":"Pain and emotion interactions in subregions of the cingulate gyrus","volume":"6","author":[{"family":"Vogt","given":"Brent A."}],"issued":{"date-parts":[["2005",7]]},"citation-key":"vogtPainEmotionInteractions2005"}},{"id":4302,"uris":["http://zotero.org/users/7023408/items/C773843D"],"itemData":{"id":4302,"type":"article-journal","abstract":"Our ability to explain and predict other people's behaviour by attributing to them independent mental states, such as beliefs and desires, is known as having a 'theory of mind'. Interest in this very human ability has engendered a growing body of evidence concerning its evolution and development and the biological basis of the mechanisms underpinning it. Functional imaging has played a key role in seeking to isolate brain regions specific to this ability. Three areas are consistently activated in association with theory of mind. These are the anterior paracingulate cortex, the superior temporal sulci and the temporal poles bilaterally. This review discusses the functional significance of each of these areas within a social cognitive network.","container-title":"Trends in Cognitive Sciences","DOI":"10.1016/s1364-6613(02)00025-6","ISSN":"1879-307X","issue":"2","journalAbbreviation":"Trends Cogn Sci","language":"eng","note":"PMID: 12584026","page":"77-83","source":"PubMed","title":"Functional imaging of 'theory of mind'","volume":"7","author":[{"family":"Gallagher","given":"Helen L."},{"family":"Frith","given":"Christopher D."}],"issued":{"date-parts":[["2003",2]]},"citation-key":"gallagherFunctionalImagingTheory2003"}},{"id":4303,"uris":["http://zotero.org/users/7023408/items/IF2PLTKQ"],"itemData":{"id":4303,"type":"article-journal","abstract":"Human anterior cingulate function has been explained primarily within a cognitive framework. We used functional MRI experiments with simultaneous electrocardiography to examine regional brain activity associated with autonomic cardiovascular control during performance of cognitive and motor tasks. Using indices of heart rate variability, and high- and low-frequency power in the cardiac rhythm, we observed activity in the dorsal anterior cingulate cortex (ACC) related to sympathetic modulation of heart rate that was dissociable from cognitive and motor-related activity. The findings predict that during effortful cognitive and motor behaviour the dorsal ACC supports the generation of associated autonomic states of cardiovascular arousal. We subsequently tested this prediction by studying three patients with focal damage involving the ACC while they performed effortful cognitive and motor tests. Each showed abnormalities in autonomic cardiovascular responses with blunted autonomic arousal to mental stress when compared with 147 normal subjects tested in identical fashion. Thus, converging neuroimaging and clinical findings suggest that ACC function mediates context-driven modulation of bodily arousal states.","container-title":"Brain: A Journal of Neurology","DOI":"10.1093/brain/awg216","ISSN":"0006-8950","issue":"Pt 10","journalAbbreviation":"Brain","language":"eng","note":"PMID: 12821513","page":"2139-2152","source":"PubMed","title":"Human cingulate cortex and autonomic control: converging neuroimaging and clinical evidence","title-short":"Human cingulate cortex and autonomic control","volume":"126","author":[{"family":"Critchley","given":"Hugo D."},{"family":"Mathias","given":"Christopher J."},{"family":"Josephs","given":"Oliver"},{"family":"O'Doherty","given":"John"},{"family":"Zanini","given":"Sergio"},{"family":"Dewar","given":"Bonnie-Kate"},{"family":"Cipolotti","given":"Lisa"},{"family":"Shallice","given":"Tim"},{"family":"Dolan","given":"Raymond J."}],"issued":{"date-parts":[["2003",10]]},"citation-key":"critchleyHumanCingulateCortex2003"}},{"id":4099,"uris":["http://zotero.org/users/7023408/items/CXWS5T22"],"itemData":{"id":4099,"type":"article-journal","abstract":"The rostral cingulate cortex occupies a central position in models of emotion, pain and cognitive control. Work in these domains has strongly influenced recent models of social behaviour and psychopathology.The segregationist view: it has been argued that the rostral cingulate cortex is functionally segregated into affective and cognitive divisions. Although this view remains influential, new data suggest that it is no longer tenable.Robust links have been forged between the anterior subdivision of the midcingulate cortex (aMCC) and negative affect (as with the anticipation and delivery of pain), leading some to speculate that aMCC implements a 'domain-general' process that is integral to negative affect, pain and cognitive control.Physiological evidence: a meta-analysis of activation foci from functional imaging studies of negative affect, pain and cognitive control revealed that aMCC is consistently activated by all three domains, refuting claims that cognition and emotion are strictly segregated in the cingulate.Anatomical evidence: aMCC is characterized by substantial connections with subcortical regions involved in negative affect and pain (the spinothalamic system, periaqueductal grey, amygdala, nucleus accumbens and substantia nigra). Unlike other cortical 'hot spots' for emotion, aMCC harbours the rostral cingulate zone (RCZ) — a premotor area that is heavily interconnected with other motor centres (including the facial nucleus).Functional evidence: measures of negative affect, pain and cognitive control exhibit convergent functional properties. These measures covary with one another and are amplified in similar ways by uncertainty about responses and outcomes.The adaptive control hypothesis: the core function common to negative affect, pain and cognitive control is the need to determine an optimal course of action in the face of uncertainty — that is, to exert 'adaptive control'. We suggest that aMCC implements adaptive control by using information about punishment to bias responding in situations where the optimal course of action is uncertain or entails response competition.Further evidence: pain-responsive MCC neurons are activated by the anticipation of pain, activated during instrumental escape from pain and are sensitive to manipulations of certainty and conflict. Lesions of aMCC alter how threat modulates instrumental behaviour. aMCC activity during aversively motivated learning is predicted by computational models of control and reinforcement learning.These data encourage a broader perspective on the functional significance of cingulate activity, one that recognizes that aMCC did not evolve to optimize performance on laboratory measures of 'cold' cognition. The data that we have surveyed are consistent with the possibility that the contribution of aMCC to measures of cognitive control stems from its older role in regulating 'hot' behaviours.The adaptive control hypothesis provides a clear roadmap to the most profitable avenues for understanding the contribution of aMCC to negative affect and pain.","container-title":"Nature Reviews Neuroscience","DOI":"10.1038/nrn2994","ISSN":"1471-0048","issue":"3","journalAbbreviation":"Nat Rev Neurosci","language":"en","license":"2011 Springer Nature Limited","page":"154-167","source":"www.nature.com","title":"The integration of negative affect, pain and cognitive control in the cingulate cortex","volume":"12","author":[{"family":"Shackman","given":"Alexander J."},{"family":"Salomons","given":"Tim V."},{"family":"Slagter","given":"Heleen A."},{"family":"Fox","given":"Andrew S."},{"family":"Winter","given":"Jameel J."},{"family":"Davidson","given":"Richard J."}],"issued":{"date-parts":[["2011",3]]},"citation-key":"shackmanIntegrationNegativeAffect2011"}},{"id":4305,"uris":["http://zotero.org/users/7023408/items/ADWMGFPQ"],"itemData":{"id":4305,"type":"article-journal","abstract":"In attentional models of learning, associations between actions and subsequent rewards are stronger when outcomes are surprising, regardless of their valence. Despite the behavioral evidence that surprising outcomes drive learning, neural correlates of unsigned reward prediction errors remain elusive. Here we show that in a probabilistic choice task, trial-to-trial variations in preference track outcome surprisingness. Concordant with this behavioral pattern, responses of neurons in macaque (Macaca mulatta) dorsal anterior cingulate cortex (dACC) to both large and small rewards were enhanced when the outcome was surprising. Moreover, when, on some trials, probabilities were hidden, neuronal responses to rewards were reduced, consistent with the idea that the absence of clear expectations diminishes surprise. These patterns are inconsistent with the idea that dACC neurons track signed errors in reward prediction, as dopamine neurons do. Our results also indicate that dACC neurons do not signal conflict. In the context of other studies of dACC function, these results suggest a link between reward-related modulations in dACC activity and attention and motor control processes involved in behavioral adjustment. More speculatively, these data point to a harmonious integration between reward and learning accounts of ACC function on one hand, and attention and cognitive control accounts on the other.","container-title":"The Journal of Neuroscience","DOI":"10.1523/JNEUROSCI.4652-10.2011","ISSN":"0270-6474","issue":"11","journalAbbreviation":"J Neurosci","note":"PMID: 21411658\nPMCID: PMC3070460","page":"4178-4187","source":"PubMed Central","title":"Surprise Signals in Anterior Cingulate Cortex: Neuronal Encoding of Unsigned Reward Prediction Errors Driving Adjustment in Behavior","title-short":"Surprise Signals in Anterior Cingulate Cortex","volume":"31","author":[{"family":"Hayden","given":"Benjamin Y."},{"family":"Heilbronner","given":"Sarah R."},{"family":"Pearson","given":"John M."},{"family":"Platt","given":"Michael L."}],"issued":{"date-parts":[["2011",3,16]]},"citation-key":"haydenSurpriseSignalsAnterior2011"}},{"id":4314,"uris":["http://zotero.org/users/7023408/items/JFKKYWCF"],"itemData":{"id":4314,"type":"article-journal","abstract":"Emotion and perception are tightly intertwined, as affective experiences often arise from the appraisal of sensory information. Nonetheless, whether the brain encodes emotional instances using a sensory-specific code or in a more abstract manner is unclear. Here, we answer this question by measuring the association between emotion ratings collected during a unisensory or multisensory presentation of a full-length movie and brain activity recorded in typically developed, congenitally blind and congenitally deaf participants. Emotional instances are encoded in a vast network encompassing sensory, prefrontal, and temporal cortices. Within this network, the ventromedial prefrontal cortex stores a categorical representation of emotion independent of modality and previous sensory experience, and the posterior superior temporal cortex maps the valence dimension using an abstract code. Sensory experience more than modality affects how the brain organizes emotional information outside supramodal regions, suggesting the existence of a scaffold for the representation of emotional states where sensory inputs during development shape its functioning. \n          ,  \n            Abstract and sensory coding of emotion coexist in the brain, with perceptual experience shaping sensory-dependent representations.","container-title":"Science Advances","DOI":"10.1126/sciadv.adk6840","ISSN":"2375-2548","issue":"10","journalAbbreviation":"Sci. Adv.","language":"en","page":"eadk6840","source":"DOI.org (Crossref)","title":"Dissecting abstract, modality-specific and experience-dependent coding of affect in the human brain","volume":"10","author":[{"family":"Lettieri","given":"Giada"},{"family":"Handjaras","given":"Giacomo"},{"family":"Cappello","given":"Elisa M."},{"family":"Setti","given":"Francesca"},{"family":"Bottari","given":"Davide"},{"family":"Bruno","given":"Valentina"},{"family":"Diano","given":"Matteo"},{"family":"Leo","given":"Andrea"},{"family":"Tinti","given":"Carla"},{"family":"Garbarini","given":"Francesca"},{"family":"Pietrini","given":"Pietro"},{"family":"Ricciardi","given":"Emiliano"},{"family":"Cecchetti","given":"Luca"}],"issued":{"date-parts":[["2024",3,8]]},"citation-key":"lettieriDissectingAbstractModalityspecific2024"}},{"id":4316,"uris":["http://zotero.org/users/7023408/items/LKMTB5SQ"],"itemData":{"id":4316,"type":"article-journal","abstract":"Reasoning about someone’s thoughts and intentions—i.e., forming a “theory of mind”—is a core aspect of social cognition and relies on association areas of the brain that have expanded disproportionately in the human lineage. We recently showed that these association zones comprise parallel distributed networks that, despite occupying adjacent and interdigitated regions, serve dissociable functions. One network is selectively recruited by social cognitive processes. What circuit properties differentiate these parallel networks? Here, we show that social cognitive association areas are intrinsically and selectively connected to anterior regions of the medial temporal lobe that are implicated in emotional learning and social behaviors, including the amygdala at or near the basolateral complex and medial nucleus. The results suggest that social cognitive functions emerge through coordinated activity between internal circuits of the amygdala and a broader distributed association network, and indicate the medial nucleus may play an important role in social cognition in humans. \n          ,  \n            Social association areas are connected to amygdala nuclei involved in social behavior, including basolateral and medial nuclei.","container-title":"Science Advances","DOI":"10.1126/sciadv.adp0453","ISSN":"2375-2548","issue":"47","journalAbbreviation":"Sci. Adv.","language":"en","page":"eadp0453","source":"DOI.org (Crossref)","title":"The human social cognitive network contains multiple regions within the amygdala","volume":"10","author":[{"family":"Edmonds","given":"Donnisa"},{"family":"Salvo","given":"Joseph J."},{"family":"Anderson","given":"Nathan"},{"family":"Lakshman","given":"Maya"},{"family":"Yang","given":"Qiaohan"},{"family":"Kay","given":"Kendrick"},{"family":"Zelano","given":"Christina"},{"family":"Braga","given":"Rodrigo M."}],"issued":{"date-parts":[["2024",11,22]]},"citation-key":"edmondsHumanSocialCognitive2024"}}],"schema":"https://github.com/citation-style-language/schema/raw/master/csl-citation.json"}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sidRPr="00A957AF">
        <w:rPr>
          <w:rFonts w:ascii="Arial" w:hAnsi="Arial" w:cs="Arial"/>
          <w:color w:val="000000"/>
          <w:sz w:val="20"/>
        </w:rPr>
        <w:t>(10–16)</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The ACC’s diverse functional profile affords an equally intricate repertoire of functional and structural connections. The most well-documented connections are with limbic, frontal, orbitofrontal, parietal, thalamic, cingulate, and midbrain structures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{"citationID":"rU3D9JO2","properties":{"formattedCitation":"(2, 4, 8, 17)","plainCitation":"(2, 4, 8, 17)","noteIndex":0},"citationItems":[{"id":4286,"uris":["http://zotero.org/users/7023408/items/U7I4MQ49"],"itemData":{"id":4286,"type":"article-journal","abstract":"Introduction\nHuman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state functional magnetic resonance imaging (rs</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fMRI) and diffusion tensor imaging (DTI) to parcellate the human cingulate cortex (CC) based on resting</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 xml:space="preserve">based parcellation of human cingulate cortex","volume":"8","author":[{"family":"Jin","given":"Fei"},{"family":"Zheng","given":"Pengpeng"},{"family":"Liu","given":"Huaigui"},{"family":"Guo","given":"Hui"},{"family":"Sun","given":"Zhihua"}],"issued":{"date-parts":[["2018",7,24]]},"citation-key":"jinFunctionalAnatomicalConnectivitybased2018"}},{"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Connectivity"}},{"id":4301,"uris":["http://zotero.org/users/7023408/items/FIV6GLJB"],"itemData":{"id":4301,"type":"article-journal","abstract":"Whole-brain neuroimaging studies have demonstrated regional variations in function within human cingulate cortex. At the same time, regional variations in cingulate anatomical connections have been found in animal models. It has, however, been difficult to estimate the relationship between connectivity and function throughout the whole cingulate cortex within the human brain. In this study, magnetic resonance diffusion tractography was used to investigate cingulate probabilistic connectivity in the human brain with two approaches. First, an algorithm was used to search for regional variations in the probabilistic connectivity profiles of all cingulate cortex voxels with the whole of the rest of the brain. Nine subregions with distinctive connectivity profiles were identified. It was possible to characterize several distinct areas in the dorsal cingulate sulcal region. Several distinct regions were also found in subgenual and perigenual cortex. Second, the probabilities of connection between cingulate cortex and 11 predefined target regions of interest were calculated. Cingulate voxels with a high probability of connection with the different targets formed separate clusters within cingulate cortex. Distinct connectivity fingerprints characterized the likelihood of connections between the extracingulate target regions and the nine cingulate subregions. Last, a meta-analysis of 171 functional studies reporting cingulate activation was performed. Seven different cognitive conditions were selected and peak activation coordinates were plotted to create maps of functional localization within the cingulate cortex. Regional functional specialization was found to be related to regional differences in probabilistic anatomical connectivity.","container-title":"The Journal of Neuroscience: The Official Journal of the Society for Neuroscience","DOI":"10.1523/JNEUROSCI.3328-08.2009","ISSN":"1529-2401","issue":"4","journalAbbreviation":"J Neurosci","language":"eng","note":"PMID: 19176826\nPMCID: PMC6665147","page":"1175-1190","source":"PubMed","title":"Connectivity-based parcellation of human cingulate cortex and its relation to functional specialization","volume":"29","author":[{"family":"Beckmann","given":"Matthias"},{"family":"Johansen-Berg","given":"Heidi"},{"family":"Rushworth","given":"Matthew F. S."}],"issued":{"date-parts":[["2009",1,28]]},"citation-key":"beckmannConnectivitybasedParcellationHuman2009"}},{"id":4327,"uris":["http://zotero.org/users/7023408/items/NB9N9AYW"],"itemData":{"id":4327,"type":"article-journal","abstract":"OBJECTIVE: To investigate the impact of chronic pain on brain dynamics at rest.\nMETHODS: Functional connectivity was examined in patients with fibromyalgia (FM) (n = 9) and healthy controls (n = 11) by calculating partial correlations between low-frequency blood oxygen level-dependent fluctuations extracted from 15 brain regions.\nRESULTS: Patients with FM had more positive and negative correlations within the pain network than healthy controls. Patients with FM displayed enhanced functional connectivity of the anterior cingulate cortex (ACC) with the insula (INS) and basal ganglia (p values between .01 and .05), the secondary somatosensory area with the caudate (CAU) (p = .012), the primary motor cortex with the supplementary motor area (p = .007), the globus pallidus with the amygdala and superior temporal sulcus (both p values &lt; .05), and the medial prefrontal cortex with the posterior cingulate cortex (PCC) and CAU (both p values &lt; .05). Functional connectivity of the ACC with the amygdala and periaqueductal gray (PAG) matter (p values between .001 and .05), the thalamus with the INS and PAG (both p values &lt; .01), the INS with the putamen (p = .038), the PAG with the CAU (p = .038), the secondary somatosensory area with the motor cortex and PCC (both p values &lt; .05), and the PCC with the superior temporal sulcus (p = .002) was also reduced in FM. In addition, significant negative correlations were observed between depression and PAG connectivity strength with the thalamus (r = -0.64, p = .003) and ACC (r = -0.60, p = .004).\nCONCLUSIONS: These findings demonstrate that patients with FM display a substantial imbalance of the connectivity within the pain network during rest, suggesting that chronic pain may also lead to changes in brain activity during internally generated thought processes such as occur at rest.","container-title":"Psychosomatic Medicine","DOI":"10.1097/PSY.0b013e3182408f04","ISSN":"1534-7796","issue":"1","journalAbbreviation":"Psychosom Med","language":"eng","note":"PMID: 22210242","page":"55-62","source":"PubMed","title":"Disrupted functional connectivity of the pain network in fibromyalgia","volume":"74","author":[{"family":"Cifre","given":"Ignacio"},{"family":"Sitges","given":"Carolina"},{"family":"Fraiman","given":"Daniel"},{"family":"Muñoz","given":"Miguel Ángel"},{"family":"Balenzuela","given":"Pablo"},{"family":"González-Roldán","given":"Ana"},{"family":"Martínez-Jauand","given":"Mercedes"},{"family":"Birbaumer","given":"Niels"},{"family":"Chialvo","given":"Dante R."},{"family":"Montoya","given":"Pedro"}],"issued":{"date-parts":[["2012",1]]},"citation-key":"cifreDisruptedFunctionalConnectivity2012"}}],"schema":"https://github.com/citation-style-language/schema/raw/master/csl-citation.json"}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(2, 4, 8, 17)</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The MCC has two functionally and connectively distinct divisions consisting of its anterior and posterior sections. The anterior section has been reported to have functional overlap with the ACC, especially in cognitive and sensory-related functions. Uniquely, the MCC, especially its posterior section, plays a primary role in reflexive orientation and response selection. The MCC is anatomically adjacent and strongly connected to </w:t>
      </w:r>
      <w:proofErr w:type="spellStart"/>
      <w:r w:rsidRPr="005B4F50">
        <w:rPr>
          <w:rFonts w:ascii="Arial" w:hAnsi="Arial" w:cs="Arial"/>
          <w:color w:val="000000" w:themeColor="text1"/>
          <w:sz w:val="20"/>
          <w:szCs w:val="20"/>
          <w:lang w:eastAsia="ko-KR"/>
        </w:rPr>
        <w:t>somatomotor</w:t>
      </w:r>
      <w:proofErr w:type="spellEnd"/>
      <w:r w:rsidRPr="005B4F50">
        <w:rPr>
          <w:rFonts w:ascii="Arial" w:hAnsi="Arial" w:cs="Arial"/>
          <w:color w:val="000000" w:themeColor="text1"/>
          <w:sz w:val="20"/>
          <w:szCs w:val="20"/>
          <w:lang w:eastAsia="ko-KR"/>
        </w:rPr>
        <w:t xml:space="preserve"> regions, and thus, plays a role in sensory and motor-related behaviors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{"citationID":"Jo93hvXg","properties":{"formattedCitation":"(4, 18)","plainCitation":"(4, 18)","noteIndex":0},"citationItems":[{"id":3368,"uris":["http://zotero.org/users/7023408/items/9NJXW7ZV"],"itemData":{"id":3368,"type":"article-journal","abstract":"Summary: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(4, 18)</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The PCC and </w:t>
      </w:r>
      <w:proofErr w:type="spellStart"/>
      <w:r w:rsidRPr="005B4F50">
        <w:rPr>
          <w:rFonts w:ascii="Arial" w:hAnsi="Arial" w:cs="Arial"/>
          <w:color w:val="000000" w:themeColor="text1"/>
          <w:sz w:val="20"/>
          <w:szCs w:val="20"/>
          <w:lang w:eastAsia="ko-KR"/>
        </w:rPr>
        <w:t>retrosplenial</w:t>
      </w:r>
      <w:proofErr w:type="spellEnd"/>
      <w:r w:rsidRPr="005B4F50">
        <w:rPr>
          <w:rFonts w:ascii="Arial" w:hAnsi="Arial" w:cs="Arial"/>
          <w:color w:val="000000" w:themeColor="text1"/>
          <w:sz w:val="20"/>
          <w:szCs w:val="20"/>
          <w:lang w:eastAsia="ko-KR"/>
        </w:rPr>
        <w:t xml:space="preserve"> cortex, while functionally distinct, are often grouped anatomically. These are key regions in the human default mode network, and have well-established functional roles in memory, introspection, self-referential cognition, visual processing, and attention. These regions have documented functional and structural connections to limbic, frontal, orbitofrontal, visual, cingulate, and parietal areas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{"citationID":"LpI4ma1m","properties":{"formattedCitation":"(4, 10, 19\\uc0\\u8211{}21)","plainCitation":"(4, 10, 19–21)","noteIndex":0},"citationItems":[{"id":3368,"uris":["http://zotero.org/users/7023408/items/9NJXW7ZV"],"itemData":{"id":3368,"type":"article-journal","abstract":"Summary: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Connectivity"}},{"id":3605,"uris":["http://zotero.org/users/7023408/items/GK4QUT2E"],"itemData":{"id":3605,"type":"article-journal","abstract":"The cingulate gyrus participates in pain and emotion processing. Although Brodmann identified two regions without knowledge of their functional activity, recent cytoarchitectural, connection and functional imaging studies show that the cingulate gyrus actually has four regions, with associated subregions, and that each makes a qualitatively unique contribution to brain functions. These regions and subregions are the subgenual and pregenual anterior cingulate cortex (sACC and pACC), the anterior and posterior midcingulate cortex (aMCC and pMCC), the dorsal and ventral posterior cingulate cortex (dPCC and vPCC), and the retrosplenial cortex (RSC). Pain processing is usually conceived in terms of two cognitive domains with sensory-discriminative and affective-motivational components. The ACC and MCC are thought to mediate the latter of these components. The nociceptive properties of cingulate neurons include large somatic receptive fields and a predominance of nociceptive activations, with some that even respond to an innocuous tap. These responses are predicted by the properties of midline and intralaminar thalamic neurons that project to the cingulate cortex, including the parafascicular, paraventricular and reuniens nuclei that derive their nociceptive information from the spinal cord, the subnucleus reticularis dorsalis and the parabrachial nuclei.Human functional imaging studies of activity during acute noxious stimulation of cutaneous, muscular and visceral tissues show that cutaneous activity is greatest throughout the MCC, whereas the pACC, and to a lesser extent the aMCC, are active during noxious deep tissue stimulation. In addition, electroencephalographic findings indicate that a short-latency nociceptive response can be generated by noxious and innocuous stimuli from the pMCC and dPCC. To investigate the hypothesis that the cingulate cortex mediates pain affect, we localized the simple emotions of sadness, happiness, anger and fear in the framework of cingulate subregions. Amazingly, it failed to show a simple overlap of pain affect sites and sadness as predicted. The five main outcomes of this study are as follows. First, the sACC is involved in negatively valenced memories. Second, the pACC is involved in happy emotions. Third, the aMCC is involved in fear. Fourth, the pMCC and dPCC have little or no involvement in emotion. Fifth, the vPCC is involved in emotion but not in a specific way, as it is also activated by control conditions without emotional valence.Rather than having a simple role in pain affect, the cingulate gyrus seems to have three roles in pain processing. First, the pACC is involved in unpleasant experiences and directly drives autonomic outputs. Second, the aMCC is involved in fear, prediction of negative consequences and avoidance behaviours through the rostral cingulate motor area. Third, the pMCC and dPCC are not involved in emotion but are driven by short-latency somatosensory signals that mediate orientation of the body in space through the caudal cingulate motor area. In addition to these functions, nociceptive stimuli reduce activity in the vPCC and, therefore, activity in a subregion that normally evaluates the self-relevance of incoming visual sensations. So, there is a complex interaction between pain and emotion. Moreover, hypnoanalgesia and opioid and acupuncture placebos indicate mechanisms whereby the cingulate subregions can be engaged for therapeutic intervention.","container-title":"Nature Reviews Neuroscience","DOI":"10.1038/nrn1704","ISSN":"1471-0048","issue":"7","journalAbbreviation":"Nat Rev Neurosci","language":"en","license":"2005 Springer Nature Limited","page":"533-544","source":"www.nature.com","title":"Pain and emotion interactions in subregions of the cingulate gyrus","volume":"6","author":[{"family":"Vogt","given":"Brent A."}],"issued":{"date-parts":[["2005",7]]},"citation-key":"vogtPainEmotionInteractions2005"}},{"id":3666,"uris":["http://zotero.org/users/7023408/items/ZM4ID2EQ"],"itemData":{"id":3666,"type":"article-journal","abstract":"The posterior cingulate cortex is a highly connected and metabolically active brain region. Recent studies suggest it has an important cognitive role, although there is no consensus about what this is. The region is typically discussed as having a unitary function because of a common pattern of relative deactivation observed during attentionally demanding tasks. One influential hypothesis is that the posterior cingulate cortex has a central role in supporting internally-directed cognition. It is a key node in the default mode network and shows increased activity when individuals retrieve autobiographical memories or plan for the future, as well as during unconstrained ‘rest’ when activity in the brain is ‘free-wheeling’. However, other evidence suggests that the region is highly heterogeneous and may play a direct role in regulating the focus of attention. In addition, its activity varies with arousal state and its interactions with other brain networks may be important for conscious awareness. Understanding posterior cingulate cortex function is likely to be of clinical importance. It is well protected against ischaemic stroke, and so there is relatively little neuropsychological data about the consequences of focal lesions. However, in other conditions abnormalities in the region are clearly linked to disease. For example, amyloid deposition and reduced metabolism is seen early in Alzheimer’s disease. Functional neuroimaging studies show abnormalities in a range of neurological and psychiatric disorders including Alzheimer’s disease, schizophrenia, autism, depression and attention deficit hyperactivity disorder, as well as ageing. Our own work has consistently shown abnormal posterior cingulate cortex function following traumatic brain injury, which predicts attentional impairments. Here we review the anatomy and physiology of the region and how it is affected in a range of clinical conditions, before discussing its proposed functions. We synthesize key findings into a novel model of the region’s function (the ‘Arousal, Balance and Breadth of Attention’ model). Dorsal and ventral subcomponents are functionally separated and differences in regional activity are explained by considering: (i) arousal state; (ii) whether attention is focused internally or externally; and (iii) the breadth of attentional focus. The predictions of the model can be tested within the framework of complex dynamic systems theory, and we propose that the dorsal posterior cingulate cortex influences attentional focus by ‘tuning’ whole-brain metastability and so adjusts how stable brain network activity is over time.","container-title":"Brain","DOI":"10.1093/brain/awt162","ISSN":"0006-8950","issue":"1","journalAbbreviation":"Brain","note":"PMID: 23869106\nPMCID: PMC3891440","page":"12-32","source":"PubMed Central","title":"The role of the posterior cingulate cortex in cognition and disease","volume":"137","author":[{"family":"Leech","given":"Robert"},{"family":"Sharp","given":"David J."}],"issued":{"date-parts":[["2014",1]]},"citation-key":"leechRolePosteriorCingulate2014"}},{"id":4306,"uris":["http://zotero.org/users/7023408/items/AYFA9R3L"],"itemData":{"id":4306,"type":"article-journal","abstract":"The default mode network (DMN) involves interacting cortical areas, including the posterior cingulate cortex (PCC) and the retrosplenial cortex (RSC), and subcortical areas, including the medial temporal lobe (MTL). The degree of functional connectivity (FC) within the DMN, particularly between MTL and medial</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parietal subsystems, relates to episodic memory (EM) processes. However, past resting</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state studies investigating the link between posterior DMN</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MTL FC and EM performance yielded inconsistent results, possibly reflecting heterogeneity in the degree of connectivity between MTL and specific cortical DMN regions. Animal work suggests that RSC has structural connections to both cortical DMN regions and MTL, and may thus serve as an intermediate layer that facilitates information transfer between cortical and subcortical DMNs. We studied 180 healthy old adults (aged 64–68 years), who underwent comprehensive assessment of EM, along with resting</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state fMRI. We found greater FC between MTL and RSC than between MTL and the other cortical DMN regions (e.g., PCC), with the only significant association with EM observed for MTL</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RSC FC. Mediational analysis showed that MTL</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cortical DMN connectivity increased with RSC as a mediator. Further analysis using a graph</w:instrText>
      </w:r>
      <w:r w:rsidR="00A957AF">
        <w:rPr>
          <w:rFonts w:ascii="Cambria Math" w:hAnsi="Cambria Math" w:cs="Cambria Math"/>
          <w:color w:val="000000" w:themeColor="text1"/>
          <w:sz w:val="20"/>
          <w:szCs w:val="20"/>
          <w:lang w:eastAsia="ko-KR"/>
        </w:rPr>
        <w:instrText>‐</w:instrText>
      </w:r>
      <w:r w:rsidR="00A957AF">
        <w:rPr>
          <w:rFonts w:ascii="Arial" w:hAnsi="Arial" w:cs="Arial"/>
          <w:color w:val="000000" w:themeColor="text1"/>
          <w:sz w:val="20"/>
          <w:szCs w:val="20"/>
          <w:lang w:eastAsia="ko-KR"/>
        </w:rPr>
        <w:instrText xml:space="preserve">theoretical approach on DMN nodes revealed the highest betweenness centrality for RSC, confirming that a high proportion of short paths among DMN regions pass through RSC. Importantly, the degree of RSC mediation was associated with EM performance, suggesting that individuals with greater mediation have an EM advantage. These findings suggest that RSC forms a critical gateway between MTL and cortical DMN to support EM in older adults.","container-title":"Human Brain Mapping","DOI":"10.1002/hbm.23983","ISSN":"1065-9471","issue":"5","journalAbbreviation":"Hum Brain Mapp","note":"PMID: 29363256\nPMCID: PMC6866613","page":"2020-2034","source":"PubMed Central","title":"The retrosplenial cortex: A memory gateway between the cortical default mode network and the medial temporal lobe","title-short":"The retrosplenial cortex","volume":"39","author":[{"family":"Kaboodvand","given":"Neda"},{"family":"Bäckman","given":"Lars"},{"family":"Nyberg","given":"Lars"},{"family":"Salami","given":"Alireza"}],"issued":{"date-parts":[["2018",1,23]]},"citation-key":"kaboodvandRetrosplenialCortexMemory2018"}},{"id":4312,"uris":["http://zotero.org/users/7023408/items/I5JJF43R"],"itemData":{"id":4312,"type":"article-journal","abstract":"Understanding brain structure-function relationships, and their development and evolution, is central to neuroscience research. Here, we show that morphological differences in posterior cingulate cortex (PCC), a hub of functional brain networks, predict individual differences in macroanatomical, microstructural, and functional features of PCC. Manually labeling 4511 sulci in 572 hemispheres, we found a shallow cortical indentation (termed the inframarginal sulcus; \n              ifrms \n              ) within PCC that is absent from neuroanatomical atlases yet colocalized with a focal, functional region of the lateral frontoparietal network implicated in cognitive control. This structural-functional coupling generalized to meta-analyses consisting of hundreds of studies and thousands of participants. Additional morphological analyses showed that unique properties of the \n              ifrms \n              differ across the life span and between hominoid species. These findings support a classic theory that shallow, tertiary sulci serve as landmarks in association cortices. They also beg the question: How many other cortical indentations have we missed? \n             \n          ,  \n            A previously uncharted brain structure links functional and anatomical organization and differs across the life span and species.","container-title":"Science Advances","DOI":"10.1126/sciadv.abn9516","ISSN":"2375-2548","issue":"36","journalAbbreviation":"Sci. Adv.","language":"en","page":"eabn9516","source":"DOI.org (Crossref)","title":"Uncovering a tripartite landmark in posterior cingulate cortex","volume":"8","author":[{"family":"Willbrand","given":"Ethan H."},{"family":"Parker","given":"Benjamin J."},{"family":"Voorhies","given":"Willa I."},{"family":"Miller","given":"Jacob A."},{"family":"Lyu","given":"Ilwoo"},{"family":"Hallock","given":"Tyler"},{"family":"Aponik-Gremillion","given":"Lyndsey"},{"family":"Koslov","given":"Seth R."},{"literal":"Alzheimer’s Disease Neuroimaging Initiative"},{"family":"Bunge","given":"Silvia A."},{"family":"Foster","given":"Brett L."},{"family":"Weiner","given":"Kevin S."}],"issued":{"date-parts":[["2022",9,9]]},"citation-key":"willbrandUncoveringTripartiteLandmark2022"}}],"schema":"https://github.com/citation-style-language/schema/raw/master/csl-citation.json"}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sidRPr="00A957AF">
        <w:rPr>
          <w:rFonts w:ascii="Arial" w:hAnsi="Arial" w:cs="Arial"/>
          <w:color w:val="000000"/>
          <w:sz w:val="20"/>
        </w:rPr>
        <w:t>(4, 10, 19–21)</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w:t>
      </w:r>
    </w:p>
    <w:p w14:paraId="7FFC03CB" w14:textId="7FC37E6C" w:rsidR="00107AC0" w:rsidRPr="005B4F50" w:rsidRDefault="00107AC0" w:rsidP="00750445">
      <w:pPr>
        <w:ind w:firstLine="720"/>
        <w:rPr>
          <w:rFonts w:ascii="Arial" w:hAnsi="Arial" w:cs="Arial"/>
          <w:color w:val="000000" w:themeColor="text1"/>
          <w:sz w:val="20"/>
          <w:szCs w:val="20"/>
          <w:lang w:eastAsia="ko-KR"/>
        </w:rPr>
      </w:pPr>
      <w:r w:rsidRPr="005B4F50">
        <w:rPr>
          <w:rFonts w:ascii="Arial" w:hAnsi="Arial" w:cs="Arial"/>
          <w:color w:val="000000" w:themeColor="text1"/>
          <w:sz w:val="20"/>
          <w:szCs w:val="20"/>
          <w:lang w:eastAsia="ko-KR"/>
        </w:rPr>
        <w:t xml:space="preserve">The human Cg is studied in the field of human connectivity most often due to its complexity, relevance to cognition and behavior, and role in various disease states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{"citationID":"aixtydK1","properties":{"formattedCitation":"(22)","plainCitation":"(22)","noteIndex":0},"citationItems":[{"id":4308,"uris":["http://zotero.org/users/7023408/items/DAARBC2P"],"itemData":{"id":4308,"type":"article-journal","abstract":"A brief review of the history of key observations of cingulate organization, particularly in the limbic system framework, is presented from 1907 to the present. The reasons why it has not played a significant role in neurology reflect the fact that its arterial supply is complex and no cingulate syndrome has been identified. A flat map of its eight subregions and areas is presented as a basis for many subsequent chapters in this volume. Along with this is a summary of current functional attributes of many of its divisions including cognitive, emotion, mental (Theory of Mind), skeletomotor, and autonomic output and various models of its function based on connectivity studies.","container-title":"Handbook of Clinical Neurology","DOI":"10.1016/B978-0-444-64196-0.00001-7","ISSN":"0072-9752","journalAbbreviation":"Handb Clin Neurol","language":"eng","note":"PMID: 31731918","page":"3-21","source":"PubMed","title":"The cingulate cortex in neurologic diseases: History, Structure, Overview","title-short":"The cingulate cortex in neurologic diseases","volume":"166","author":[{"family":"Vogt","given":"Brent A."}],"issued":{"date-parts":[["2019"]]},"citation-key":"vogtCingulateCortexNeurologic2019"}}],"schema":"https://github.com/citation-style-language/schema/raw/master/csl-citation.json"}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(22)</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Connectivity is often studied through a functional or structural lens. Functional connectivity represents connections between regions based on the shared statistical content of the physiology recorded within brain regions, typically under behavioral paradigms. Unlike structural connectivity, functional connectivity draws connections between regions regardless of direct structural links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{"citationID":"wi7KmKKD","properties":{"formattedCitation":"(23, 24)","plainCitation":"(23, 24)","noteIndex":0},"citationItems":[{"id":4269,"uris":["http://zotero.org/users/7023408/items/6IM4DBTS"],"itemData":{"id":4269,"type":"article-journal","abstract":"Over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J."}],"issued":{"date-parts":[["2011"]]},"citation-key":"fristonFunctionalEffectiveConnectivity2011"}},{"id":4313,"uris":["http://zotero.org/users/7023408/items/2ESCBLTT"],"itemData":{"id":4313,"type":"article-journal","abstract":"The human brain operates in large-scale functional networks. These networks are an expression of temporally correlated activity across brain regions, but how global network properties relate to the neural dynamics of individual regions remains incompletely understood. Here, we show that the brain’s network architecture is tightly linked to critical episodes of neural regularity, visible as spontaneous “complexity drops” in functional magnetic resonance imaging signals. These episodes closely explain functional connectivity strength between regions, subserve the propagation of neural activity patterns, and reflect interindividual differences in age and behavior. Furthermore, complexity drops define neural activity states that dynamically shape the connectivity strength, topological configuration, and hierarchy of brain networks and comprehensively explain known structure-function relationships within the brain. These findings delineate a principled complexity architecture of neural activity—a human “complexome” that underpins the brain’s functional network organization. \n          ,  \n            The functional network architecture of the human brain is tightly linked to critical moments of neural regularity.","container-title":"Science Advances","DOI":"10.1126/sciadv.abq3851","ISSN":"2375-2548","issue":"5","journalAbbreviation":"Sci. Adv.","language":"en","page":"eabq3851","source":"DOI.org (Crossref)","title":"A spatiotemporal complexity architecture of human brain activity","volume":"9","author":[{"family":"Krohn","given":"Stephan"},{"family":"Von Schwanenflug","given":"Nina"},{"family":"Waschke","given":"Leonhard"},{"family":"Romanello","given":"Amy"},{"family":"Gell","given":"Martin"},{"family":"Garrett","given":"Douglas D."},{"family":"Finke","given":"Carsten"}],"issued":{"date-parts":[["2023",2,3]]},"citation-key":"krohnSpatiotemporalComplexityArchitecture2023"}}],"schema":"https://github.com/citation-style-language/schema/raw/master/csl-citation.json"}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(23, 24)</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In contrast, structural connectivity infers the presence and direction of white matter fibers between regions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{"citationID":"fsL3mnhx","properties":{"formattedCitation":"(25)","plainCitation":"(25)","noteIndex":0},"citationItems":[{"id":4309,"uris":["http://zotero.org/users/7023408/items/CH62Y4F6"],"itemData":{"id":4309,"type":"article-journal","abstract":"Imaging the connectome in vivo has become feasible through the integration of several rapidly developing fields of science and engineering, namely magnetic resonance imaging and in particular diffusion MRI on one side, image processing and network theory on the other side. This framework brings in vivo brain imaging closer to the real topology of the brain, contributing to narrow the existing gap between our understanding of brain structural organization on one side and of human behavior and cognition on the other side. Given the seminal technical progresses achieved in the last few years, it may be ready to tackle even greater challenges, namely exploring disease mechanisms. In this review we analyze the current situation from the technical and biological perspectives. First, we critically review the technical solutions proposed in the literature to perform clinical studies. We analyze for each step (i.e. MRI acquisition, network building and network statistical analysis) the advantages and potential limitations. In the second part we review the current literature available on a selected subset of diseases, namely, dementia, schizophrenia, multiple sclerosis and others, and try to extract for each disease the common findings and main differences between reports.","container-title":"NeuroImage","DOI":"10.1016/j.neuroimage.2013.04.056","ISSN":"1095-9572","journalAbbreviation":"Neuroimage","language":"eng","note":"PMID: 23623973","page":"515-526","source":"PubMed","title":"Structural connectomics in brain diseases","volume":"80","author":[{"family":"Griffa","given":"Alessandra"},{"family":"Baumann","given":"Philipp S."},{"family":"Thiran","given":"Jean-Philippe"},{"family":"Hagmann","given":"Patric"}],"issued":{"date-parts":[["2013",10,15]]},"citation-key":"griffaStructuralConnectomicsBrain2013"}}],"schema":"https://github.com/citation-style-language/schema/raw/master/csl-citation.json"}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(25)</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While these metrics are both useful and accessible through modern imaging techniques, they do not resolve the cause-and-effect relationships between structures, or the nuanced physiology indicative of one neuronal population’s influence over another. </w:t>
      </w:r>
    </w:p>
    <w:p w14:paraId="022A8C2B" w14:textId="79F4F335" w:rsidR="00107AC0" w:rsidRPr="005B4F50" w:rsidRDefault="00107AC0" w:rsidP="00750445">
      <w:pPr>
        <w:ind w:firstLine="720"/>
        <w:rPr>
          <w:rFonts w:ascii="Arial" w:hAnsi="Arial" w:cs="Arial"/>
          <w:color w:val="000000" w:themeColor="text1"/>
          <w:sz w:val="20"/>
          <w:szCs w:val="20"/>
          <w:lang w:eastAsia="ko-KR"/>
        </w:rPr>
      </w:pPr>
      <w:r w:rsidRPr="005B4F50">
        <w:rPr>
          <w:rFonts w:ascii="Arial" w:hAnsi="Arial" w:cs="Arial"/>
          <w:color w:val="000000" w:themeColor="text1"/>
          <w:sz w:val="20"/>
          <w:szCs w:val="20"/>
          <w:lang w:eastAsia="ko-KR"/>
        </w:rPr>
        <w:t xml:space="preserve">Effective connectivity refers to the influence one neuronal population has over another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{"citationID":"1ZuV2sSC","properties":{"formattedCitation":"(23)","plainCitation":"(23)","noteIndex":0},"citationItems":[{"id":4269,"uris":["http://zotero.org/users/7023408/items/6IM4DBTS"],"itemData":{"id":4269,"type":"article-journal","abstract":"Over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(23)</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While this measure can be inferred statistically, interventional methods such as direct electrical stimulation of brain regions provide causal models of effective connectivity. Specifically, stereotactic electroencephalography (SEEG)-mediated direct single-pulse electrical stimulation (SPES) of brain regions produces cortico-cortical evoked potentials (CCEPs) in effectively connected regions. Subsequently, the analysis of CCEP quality and characteristics elucidates the mechanisms of how the stimulated region influences effectively connected areas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{"citationID":"jrffvGV2","properties":{"formattedCitation":"(26)","plainCitation":"(26)","noteIndex":0},"citationItems":[{"id":3516,"uris":["http://zotero.org/users/7023408/items/PIPUQARN"],"itemData":{"id":3516,"type":"article-journal","abstract":"The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(26)</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For example, CCEP magnitude indicates the strength of directional connectivity, CCEP latency reflects aspects of fiber pathways such as distance from the site of stimulation, and CCEP morphological features can provide insight into the neurophysiological processes that influence effective pathways (e.g., connection directness, pathway signatures, directionality of connections)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kBxef69u","properties":{"formattedCitation":"(27\\uc0\\u8211{}31)","plainCitation":"(27–31)","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4310,"uris":["http://zotero.org/users/7023408/items/YAYVT4FM"],"itemData":{"id":4310,"type":"article-journal","abstract":"Background\nCortico-cortical evoked potentials (CCEP) are a technique using low frequency stimulation to infer regions of cortical connectivity in patients undergoing Stereo-electroencephalographic (SEEG) monitoring for refractory epilepsy. Little attention has been given to volume conducted components of CCEP responses, and how they may inflate CCEP connectivity.\nNew Method\nUsing data from 37 SEEG-CCEPs patients, a novel method was developed to quantify stimulation artefact by measuring the peak-to-peak voltage difference in the first 10 ms after CCEP stimulation. Early responses to CCEP stimulation were also quantified by calculating the root mean square of the 10−100 ms period after each stimulation pulse. Both the early CCEP responses and amplitude of stimulation artefact were regressed by physical distance, stimulation waveform, stimulation intensity and tissue type to identify conduction related properties.\nResults\nBoth stimulation artefact and early responses were correlated strongly with the inverse square of the distance from the stimulating electrode. Once corrected for the inverse square distance from the electrode, stimulation artefact and CCEP responses showed a linear relationship, indicating a volume conducted component.\nComparison with existing methods\nThis is the first study to use stimulation artefact to quantify volume conducted potentials, and is the first to quantify volume conducted potentials in SEEG. A single prior study utilizing electrocorticography has shown that parts of early CCEP responses are due to volume conduction.\nConclusions\nThe linear relationship between stimulation artefact amplitude and CCEP early responses, once corrected for distance, suggests that stimulation artefact can be used as a measure to quantify the volume conducted components.","container-title":"Journal of Neuroscience Methods","DOI":"10.1016/j.jneumeth.2020.108639","ISSN":"0165-0270","journalAbbreviation":"Journal of Neuroscience Methods","page":"108639","source":"ScienceDirect","title":"Quantifying volume conducted potential using stimulation artefact in cortico-cortical evoked potentials","volume":"337","author":[{"family":"Prime","given":"David"},{"family":"Woolfe","given":"Matthew"},{"family":"O’Keefe","given":"Steven"},{"family":"Rowlands","given":"David"},{"family":"Dionisio","given":"Sasha"}],"issued":{"date-parts":[["2020",5,1]]},"citation-key":"primeQuantifyingVolumeConducted2020"}},{"id":3509,"uris":["http://zotero.org/users/7023408/items/JDPDPDPW"],"itemData":{"id":3509,"type":"chapter","abstract":"While many human imaging methodologies probe the structural and functional connectivity of the brain, techniques to investigate cortical networks in a causal and directional manner are critical but limited. The use of iEEG enables several approaches to directly characterize brain regions that are functionally connected and in some cases also establish directionality of these connections. In this chapter we focus on the basis, method and application of the cortico-cortical evoked potential (CCEP), whereby electrical pulses applied to one set of intracranial electrodes yields an electrically-induced brain response at local and remote regions. In this chapter, CCEPs are first contextualized within common brain connectivity methods used to define cortical networks and how CCEP adds unique information. Second, the practical and analytical considerations when using CCEP are discussed. Third, we review the neurophysiology underlying CCEPs and the applications of CCEPs including exploring functional and pathological brain networks and probing brain plasticity. Finally, we end with a discussion of limitations, caveats, and directions to improve CCEP utilization in the future.","collection-title":"Studies in Neuroscience, Psychology and Behavioral Economics","container-title":"Intracranial EEG: A Guide for Cognitive Neuroscientists","event-place":"Cham","ISBN":"978-3-031-20910-9","language":"en","note":"DOI: 10.1007/978-3-031-20910-9_40","page":"639-655","publisher":"Springer International Publishing","publisher-place":"Cham","source":"Springer Link","title":"How Can I Investigate Causal Brain Networks with iEEG?","URL":"https://doi.org/10.1007/978-3-031-20910-9_40","author":[{"family":"Huang","given":"Yuhao"},{"family":"Keller","given":"Corey"}],"editor":[{"family":"Axmacher","given":"Nikolai"}],"accessed":{"date-parts":[["2023",11,2]]},"issued":{"date-parts":[["2023"]]},"citation-key":"huangHowCanInvestigate2023"}}],"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sidRPr="00A957AF">
        <w:rPr>
          <w:rFonts w:ascii="Arial" w:hAnsi="Arial" w:cs="Arial"/>
          <w:color w:val="000000"/>
          <w:sz w:val="20"/>
        </w:rPr>
        <w:t>(27–31)</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w:t>
      </w:r>
    </w:p>
    <w:p w14:paraId="3550060B" w14:textId="1BB9CE5F" w:rsidR="00107AC0" w:rsidRPr="005B4F50" w:rsidRDefault="00107AC0" w:rsidP="00750445">
      <w:pPr>
        <w:ind w:firstLine="720"/>
        <w:rPr>
          <w:rFonts w:ascii="Arial" w:hAnsi="Arial" w:cs="Arial"/>
          <w:color w:val="000000" w:themeColor="text1"/>
          <w:sz w:val="20"/>
          <w:szCs w:val="20"/>
          <w:lang w:eastAsia="ko-KR"/>
        </w:rPr>
      </w:pPr>
      <w:r w:rsidRPr="005B4F50">
        <w:rPr>
          <w:rFonts w:ascii="Arial" w:hAnsi="Arial" w:cs="Arial"/>
          <w:color w:val="000000" w:themeColor="text1"/>
          <w:sz w:val="20"/>
          <w:szCs w:val="20"/>
          <w:lang w:eastAsia="ko-KR"/>
        </w:rPr>
        <w:t xml:space="preserve">While CCEP analysis has the potential to reveal invaluable information on the dynamics and function of neural systems, the lack of a formally established methodology and analysis standards limits the utility and interpretability of effective connectivity characterization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{"citationID":"dZwfzTon","properties":{"formattedCitation":"(29, 32)","plainCitation":"(29, 32)","noteIndex":0},"citationItems":[{"id":4293,"uris":["http://zotero.org/users/7023408/items/DUZJRH6R"],"itemData":{"id":4293,"type":"article-journal","abstract":"Single-pulse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(29, 32)</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This is especially true for evaluating the effective networks of the Cg, as its functional complexity and highly integrated nature likely follow intricate effective connections throughout the brain. Current studies of effective connectivity, even those evaluating the networks of the Cg, use highly variable stimulation parameters, drastically affecting CCEP characteristics, or include data from patients with major cortical resections, which alters tractography and cortical physiology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{"citationID":"BTzEffLu","properties":{"formattedCitation":"(27, 33, 34)","plainCitation":"(27, 33, 34)","noteIndex":0},"citationItems":[{"id":4270,"uris":["http://zotero.org/users/7023408/items/3YRNXVAK"],"itemData":{"id":4270,"type":"article-journal","abstract":"Objective\nThe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Y."}],"issued":{"date-parts":[["2021",11,1]]},"citation-key":"haysEffectsStimulationIntensity2021"}},{"id":3654,"uris":["http://zotero.org/users/7023408/items/DNUA57UZ"],"itemData":{"id":3654,"type":"article-journal","abstract":"Background\nCortico-cortical evoked potentials (CCEPs) recorded by stereo-electroencephalography (SEEG) are a valuable tool to investigate brain reactivity and effective connectivity. However, invasive recordings are spatially sparse since they depend on clinical needs. This sparsity hampers systematic comparisons across-subjects, the detection of the whole-brain effects of intracortical stimulation, as well as their relationships to the EEG responses evoked by non-invasive stimuli.\nObjective\nTo demonstrate that CCEPs recorded by high-density electroencephalography (hd-EEG) provide additional information with respect SEEG alone and to provide an open, curated dataset to allow for further exploration of their potential.\nMethods\nThe dataset encompasses SEEG and hd-EEG recordings simultaneously acquired during Single Pulse Electrical Stimulation (SPES) in drug-resistant epileptic patients (N = 36) in whom stimulations were delivered with different physical, geometrical, and topological parameters. Differences in CCEPs were assessed by amplitude, latency, and spectral measures.\nResults\nWhile invasively and non-invasively recorded CCEPs were generally correlated, differences in pulse duration, angle and stimulated cortical area were better captured by hd-EEG. Further, intracranial stimulation evoked site-specific hd-EEG responses that reproduced the spectral features of EEG responses to transcranial magnetic stimulation (TMS). Notably, SPES, albeit unperceived by subjects, elicited scalp responses that were up to one order of magnitude larger than the responses typically evoked by sensory stimulation in awake humans.\nConclusions\nCCEPs can be simultaneously recorded with SEEG and hd-EEG and the latter provides a reliable descriptor of the effects of SPES as well as a common reference to compare the whole-brain effects of intracortical stimulation to those of non-invasive transcranial or sensory stimulations in humans.","container-title":"Brain Stimulation","DOI":"10.1016/j.brs.2022.04.007","ISSN":"1935-861X","issue":"3","journalAbbreviation":"Brain Stimulation","page":"664-675","source":"ScienceDirect","title":"Simultaneous stereo-EEG and high-density scalp EEG recordings to study the effects of intracerebral stimulation parameters","volume":"15","author":[{"family":"Parmigiani","given":"S."},{"family":"Mikulan","given":"E."},{"family":"Russo","given":"S."},{"family":"Sarasso","given":"S."},{"family":"Zauli","given":"F. M."},{"family":"Rubino","given":"A."},{"family":"Cattani","given":"A."},{"family":"Fecchio","given":"M."},{"family":"Giampiccolo","given":"D."},{"family":"Lanzone","given":"J."},{"family":"D'Orio","given":"P."},{"family":"Del Vecchio","given":"M."},{"family":"Avanzini","given":"P."},{"family":"Nobili","given":"L."},{"family":"Sartori","given":"I."},{"family":"Massimini","given":"M."},{"family":"Pigorini","given":"A."}],"issued":{"date-parts":[["2022",5,1]]},"citation-key":"parmigianiSimultaneousStereoEEGHighdensity2022"},"label":"page"},{"id":4271,"uris":["http://zotero.org/users/7023408/items/FBSRKXDQ"],"itemData":{"id":4271,"type":"article-journal","abstract":"A better understanding of the mechanisms involved in human higher cortical functions requires a detailed knowledge of neuronal connectivity between functional cortical regions. Currently no good method for tracking in vivo neuronal connectivity exists. We investigated the inter-areal connections in vivo in the human language system using a new method, which we termed 'cortico-cortical evoked potentials' (CCEPs). Eight patients with epilepsy (age 13-42 years) underwent invasive monitoring with subdural electrodes for epilepsy surgery. Six patients had language dominance on the side of grid implantation and two had bilateral language representation by the intracarotid amobarbital test. Conventional cortical electrical stimulation was performed to identify the anterior and posterior language areas. Single pulse electrical stimuli were delivered to the anterior language (eight patients), posterior language (four patients) or face motor (two patients) area, and CCEPs were obtained by averaging electrocorticograms (ECoGs) recorded from the perisylvian and extrasylvian basal temporal language areas time-locked to the stimulus. The subjects were not asked to perform any tasks during the study. Stimulation at the anterior language area elicited CCEPs in the lateral temporo-parietal area (seven of eight patients) in the middle and posterior part of the superior temporal gyrus, the adjacent part of the middle temporal gyrus and the supramarginal gyrus. CCEPs were recorded in 3-21 electrodes per patient. CCEPs occurred at or around the particular electrodes in the posterior language area which, when stimulated, produced speech arrest. Similar early and late CCEPs were obtained from the basal temporal area by stimulating the anterior language area (three of three patients). In contrast, stimulation of the adjacent face motor area did not elicit CCEPs in language areas but rather in the postcentral gyrus. Stimulation of the posterior language area produced CCEPs in the anterior language (three of four patients) as well as in the basal temporal area (one of two patients). These CCEPs were less well defined. These findings suggest that perisylvian and extrasylvian language areas participate in the language system as components of a network by means of feed-forward and feed-back projections. Different from the classical Wernicke-Geschwind model, the present study revealed a bidirectional connection between Broca's and Wernicke's areas probably through the arcuate fasciculus and/or the cortico-subcortico-cortical pathway. CCEPs were recorded from a larger area than the posterior language area identified by electrical stimulation. This suggests the existence of a rather broad neuronal network surrounding the previously recognized core region of this area.","container-title":"Brain: A Journal of Neurology","DOI":"10.1093/brain/awh246","ISSN":"1460-2156","issue":"Pt 10","journalAbbreviation":"Brain","language":"eng","note":"PMID: 15269116","page":"2316-2330","source":"PubMed","title":"Functional connectivity in the human language system: a cortico-cortical evoked potential study","title-short":"Functional connectivity in the human language system","volume":"127","author":[{"family":"Matsumoto","given":"Riki"},{"family":"Nair","given":"Dileep R."},{"family":"LaPresto","given":"Eric"},{"family":"Najm","given":"Imad"},{"family":"Bingaman","given":"William"},{"family":"Shibasaki","given":"Hiroshi"},{"family":"Lüders","given":"Hans O."}],"issued":{"date-parts":[["2004",10]]},"citation-key":"matsumotoFunctionalConnectivityHuman2004a"}}],"schema":"https://github.com/citation-style-language/schema/raw/master/csl-citation.json"}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(27, 33, 34)</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Analytical methods also </w:t>
      </w:r>
      <w:proofErr w:type="gramStart"/>
      <w:r w:rsidRPr="005B4F50">
        <w:rPr>
          <w:rFonts w:ascii="Arial" w:hAnsi="Arial" w:cs="Arial"/>
          <w:color w:val="000000" w:themeColor="text1"/>
          <w:sz w:val="20"/>
          <w:szCs w:val="20"/>
          <w:lang w:eastAsia="ko-KR"/>
        </w:rPr>
        <w:t>have an effect on</w:t>
      </w:r>
      <w:proofErr w:type="gramEnd"/>
      <w:r w:rsidRPr="005B4F50">
        <w:rPr>
          <w:rFonts w:ascii="Arial" w:hAnsi="Arial" w:cs="Arial"/>
          <w:color w:val="000000" w:themeColor="text1"/>
          <w:sz w:val="20"/>
          <w:szCs w:val="20"/>
          <w:lang w:eastAsia="ko-KR"/>
        </w:rPr>
        <w:t xml:space="preserve"> the statistical content and interpretability of CCEPs. Therefore, the choice of analytical method directly determines how the effective connections between regions are characterized and defined. For example, studies of effective connectivity often use CCEP magnitude or rely on pre-defined assumptions about CCEP shape, </w:t>
      </w:r>
      <w:r w:rsidRPr="005B4F50">
        <w:rPr>
          <w:rFonts w:ascii="Arial" w:hAnsi="Arial" w:cs="Arial"/>
          <w:color w:val="000000" w:themeColor="text1"/>
          <w:sz w:val="20"/>
          <w:szCs w:val="20"/>
          <w:lang w:eastAsia="ko-KR"/>
        </w:rPr>
        <w:lastRenderedPageBreak/>
        <w:t xml:space="preserve">thus limiting the utility and depth of network-wide characterization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{"citationID":"BMD6zvxz","properties":{"formattedCitation":"(28, 29)","plainCitation":"(28, 29)","noteIndex":0},"citationItems":[{"id":4268,"uris":["http://zotero.org/users/7023408/items/ZAVRVS7A"],"itemData":{"id":4268,"type":"article-journal","abstract":"Background\nCortico-cortical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(28, 29)</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Further, due to the high dimensionality of data required to profile entire effective networks, studies of effective connectivity utilizing more rigorous analytical approaches often focus on subsets of networks, especially in work investigating hypothesis-preselected circuits. While these methods are critical for providing deep insight into the neural mechanisms of the connections comprising networks, this level of detail makes it difficult to profile entire effective networks and compare them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{"citationID":"u7VmYXjU","properties":{"formattedCitation":"(29, 32, 35)","plainCitation":"(29, 32, 35)","noteIndex":0},"citationItems":[{"id":4293,"uris":["http://zotero.org/users/7023408/items/DUZJRH6R"],"itemData":{"id":4293,"type":"article-journal","abstract":"Single-pulse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Pr>
          <w:rFonts w:ascii="Arial" w:hAnsi="Arial" w:cs="Arial"/>
          <w:color w:val="000000"/>
          <w:sz w:val="20"/>
          <w:szCs w:val="20"/>
        </w:rPr>
        <w:t>(29, 32, 35)</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 xml:space="preserve">. Furthermore, understanding effective networks, especially those of the human Cg, has direct clinical relevance as subregions are targeted for interventions to treat a diverse set of neuropsychiatric disorders, including depression, anxiety, and pain </w:t>
      </w:r>
      <w:r w:rsidRPr="005B4F50">
        <w:rPr>
          <w:rFonts w:ascii="Arial" w:hAnsi="Arial" w:cs="Arial"/>
          <w:color w:val="000000" w:themeColor="text1"/>
          <w:sz w:val="20"/>
          <w:szCs w:val="20"/>
          <w:lang w:eastAsia="ko-KR"/>
        </w:rPr>
        <w:fldChar w:fldCharType="begin"/>
      </w:r>
      <w:r w:rsidR="00A957AF">
        <w:rPr>
          <w:rFonts w:ascii="Arial" w:hAnsi="Arial" w:cs="Arial"/>
          <w:color w:val="000000" w:themeColor="text1"/>
          <w:sz w:val="20"/>
          <w:szCs w:val="20"/>
          <w:lang w:eastAsia="ko-KR"/>
        </w:rPr>
        <w:instrText xml:space="preserve"> ADDIN ZOTERO_ITEM CSL_CITATION {"citationID":"0muR8W6X","properties":{"formattedCitation":"(36\\uc0\\u8211{}38)","plainCitation":"(36–38)","noteIndex":0},"citationItems":[{"id":4328,"uris":["http://zotero.org/users/7023408/items/XXCFVFI9"],"itemData":{"id":4328,"type":"article-journal","abstract":"Treatment-resistant depression is a severely disabling disorder with no proven treatment options once multiple medications, psychotherapy, and electroconvulsive therapy have failed. Based on our preliminary observation that the subgenual cingulate region (Brodmann area 25) is metabolically overactive in treatment-resistant depression, we studied whether the application of chronic deep brain stimulation to modulate BA25 could reduce this elevated activity and produce clinical benefit in six patients with refractory depression. Chronic stimulation of white matter tracts adjacent to the subgenual cingulate gyrus was associated with a striking and sustained remission of depression in four of six patients. Antidepressant effects were associated with a marked reduction in local cerebral blood flow as well as changes in downstream limbic and cortical sites, measured using positron emission tomography. These results suggest that disrupting focal pathological activity in limbic-cortical circuits using electrical stimulation of the subgenual cingulate white matter can effectively reverse symptoms in otherwise treatment-resistant depression.","container-title":"Neuron","DOI":"10.1016/j.neuron.2005.02.014","ISSN":"0896-6273","issue":"5","journalAbbreviation":"Neuron","language":"eng","note":"PMID: 15748841","page":"651-660","source":"PubMed","title":"Deep brain stimulation for treatment-resistant depression","volume":"45","author":[{"family":"Mayberg","given":"Helen S."},{"family":"Lozano","given":"Andres M."},{"family":"Voon","given":"Valerie"},{"family":"McNeely","given":"Heather E."},{"family":"Seminowicz","given":"David"},{"family":"Hamani","given":"Clement"},{"family":"Schwalb","given":"Jason M."},{"family":"Kennedy","given":"Sidney H."}],"issued":{"date-parts":[["2005",3,3]]},"citation-key":"maybergDeepBrainStimulation2005"}},{"id":4329,"uris":["http://zotero.org/users/7023408/items/3NUHND54"],"itemData":{"id":4329,"type":"article-journal","abstract":"BACKGROUND. Awake neurosurgery requires patients to converse and respond to visual or verbal prompts to identify and protect brain tissue supporting essential functions such as language, primary sensory modalities, and motor function. These procedures can be poorly tolerated because of patient anxiety, yet acute anxiolytic medications typically cause sedation and impair cortical function., METHODS. In this study, direct electrical stimulation of the left dorsal anterior cingulum bundle was discovered to reliably evoke positive affect and anxiolysis without sedation in a patient with epilepsy undergoing research testing during standard inpatient intracranial electrode monitoring. These effects were quantified using subjective and objective behavioral measures, and stimulation was found to evoke robust changes in local and distant neural activity., RESULTS. The index patient ultimately required an awake craniotomy procedure to confirm safe resection margins in the treatment of her epilepsy. During the procedure, cingulum bundle stimulation enhanced positive affect and reduced the patient’s anxiety to the point that intravenous anesthetic/anxiolytic medications were discontinued and cognitive testing was completed. Behavioral responses were subsequently replicated in 2 patients with anatomically similar electrode placements localized to an approximately 1-cm span along the anterior dorsal cingulum bundle above genu of the corpus callosum., CONCLUSIONS. The current study demonstrates a robust anxiolytic response to cingulum bundle stimulation in 3 patients with epilepsy., TRIAL REGISTRATION. The current study was not affiliated with any formal clinical trial., FUNDING. This project was supported by the American Foundation for Suicide Prevention and the NIH.","container-title":"The Journal of Clinical Investigation","DOI":"10.1172/JCI120110","ISSN":"0021-9738","issue":"3","journalAbbreviation":"J Clin Invest","note":"PMID: 30589643\nPMCID: PMC6391096","page":"1152-1166","source":"PubMed Central","title":"Cingulum stimulation enhances positive affect and anxiolysis to facilitate awake craniotomy","volume":"129","author":[{"family":"Bijanki","given":"Kelly R."},{"family":"Manns","given":"Joseph R."},{"family":"Inman","given":"Cory S."},{"family":"Choi","given":"Ki Sueng"},{"family":"Harati","given":"Sahar"},{"family":"Pedersen","given":"Nigel P."},{"family":"Drane","given":"Daniel L."},{"family":"Waters","given":"Allison C."},{"family":"Fasano","given":"Rebecca E."},{"family":"Mayberg","given":"Helen S."},{"family":"Willie","given":"Jon T."}],"citation-key":"bijankiCingulumStimulationEnhances"}},{"id":4246,"uris":["http://zotero.org/users/7023408/items/JFNK72RB"],"itemData":{"id":4246,"type":"article-journal","abstract":"Deep brain stimulation (DBS) is a neurosurgical intervention popularised in movement disorders such as Parkinson’s disease, and also reported to improve symptoms of epilepsy, Tourette’s syndrome, obsessive compulsive disorders and cluster headache. Since the 1950s, DBS has been used as a treatment to relieve intractable pain of several aetiologies including post stroke pain, phantom limb pain, facial pain and brachial plexus avulsion. Several patient series have shown benefits in stimulating various brain areas, including the sensory thalamus (ventral posterior lateral and medial), the periaqueductal and periventricular grey, or, more recently, the anterior cingulate cortex. However, this technique remains “off label” in the USA as it does not have Federal Drug Administration approval. Consequently, only a small number of surgeons report DBS for pain using current technology and techniques and few regions approve it. Randomised, blinded and controlled clinical trials that may use novel trial methodologies are desirable to evaluate the efficacy of DBS in patients who are refractory to other therapies. New imaging techniques, including tractography, may help optimise electrode placement and clinical outcome.","container-title":"Journal of Clinical Neuroscience","DOI":"10.1016/j.jocn.2015.04.005","ISSN":"0967-5868","issue":"10","journalAbbreviation":"Journal of Clinical Neuroscience","page":"1537-1543","source":"ScienceDirect","title":"Deep brain stimulation for chronic pain","volume":"22","author":[{"family":"Boccard","given":"Sandra G. J."},{"family":"Pereira","given":"Erlick A. C."},{"family":"Aziz","given":"Tipu Z."}],"issued":{"date-parts":[["2015",10,1]]},"citation-key":"boccardDeepBrainStimulation2015"}}],"schema":"https://github.com/citation-style-language/schema/raw/master/csl-citation.json"} </w:instrText>
      </w:r>
      <w:r w:rsidRPr="005B4F50">
        <w:rPr>
          <w:rFonts w:ascii="Arial" w:hAnsi="Arial" w:cs="Arial"/>
          <w:color w:val="000000" w:themeColor="text1"/>
          <w:sz w:val="20"/>
          <w:szCs w:val="20"/>
          <w:lang w:eastAsia="ko-KR"/>
        </w:rPr>
        <w:fldChar w:fldCharType="separate"/>
      </w:r>
      <w:r w:rsidR="00A957AF" w:rsidRPr="00A957AF">
        <w:rPr>
          <w:rFonts w:ascii="Arial" w:hAnsi="Arial" w:cs="Arial"/>
          <w:color w:val="000000"/>
          <w:sz w:val="20"/>
        </w:rPr>
        <w:t>(36–38)</w:t>
      </w:r>
      <w:r w:rsidRPr="005B4F50">
        <w:rPr>
          <w:rFonts w:ascii="Arial" w:hAnsi="Arial" w:cs="Arial"/>
          <w:color w:val="000000" w:themeColor="text1"/>
          <w:sz w:val="20"/>
          <w:szCs w:val="20"/>
          <w:lang w:eastAsia="ko-KR"/>
        </w:rPr>
        <w:fldChar w:fldCharType="end"/>
      </w:r>
      <w:r w:rsidRPr="005B4F50">
        <w:rPr>
          <w:rFonts w:ascii="Arial" w:hAnsi="Arial" w:cs="Arial"/>
          <w:color w:val="000000" w:themeColor="text1"/>
          <w:sz w:val="20"/>
          <w:szCs w:val="20"/>
          <w:lang w:eastAsia="ko-KR"/>
        </w:rPr>
        <w:t>.</w:t>
      </w:r>
    </w:p>
    <w:p w14:paraId="35430539" w14:textId="472A2873" w:rsidR="00E6133D" w:rsidRPr="005B4F50" w:rsidRDefault="00107AC0" w:rsidP="00750445">
      <w:pPr>
        <w:ind w:firstLine="720"/>
        <w:rPr>
          <w:rFonts w:ascii="Arial" w:hAnsi="Arial" w:cs="Arial"/>
          <w:color w:val="000000" w:themeColor="text1"/>
          <w:sz w:val="20"/>
          <w:szCs w:val="20"/>
          <w:lang w:eastAsia="ko-KR"/>
        </w:rPr>
      </w:pPr>
      <w:r w:rsidRPr="005B4F50">
        <w:rPr>
          <w:rFonts w:ascii="Arial" w:hAnsi="Arial" w:cs="Arial"/>
          <w:color w:val="000000" w:themeColor="text1"/>
          <w:sz w:val="20"/>
          <w:szCs w:val="20"/>
          <w:lang w:eastAsia="ko-KR"/>
        </w:rPr>
        <w:t xml:space="preserve">The present study presents a comparison between the divergent profiles of the human ACC, MCC, and PCC (including </w:t>
      </w:r>
      <w:proofErr w:type="spellStart"/>
      <w:r w:rsidRPr="005B4F50">
        <w:rPr>
          <w:rFonts w:ascii="Arial" w:hAnsi="Arial" w:cs="Arial"/>
          <w:color w:val="000000" w:themeColor="text1"/>
          <w:sz w:val="20"/>
          <w:szCs w:val="20"/>
          <w:lang w:eastAsia="ko-KR"/>
        </w:rPr>
        <w:t>retrosplenial</w:t>
      </w:r>
      <w:proofErr w:type="spellEnd"/>
      <w:r w:rsidRPr="005B4F50">
        <w:rPr>
          <w:rFonts w:ascii="Arial" w:hAnsi="Arial" w:cs="Arial"/>
          <w:color w:val="000000" w:themeColor="text1"/>
          <w:sz w:val="20"/>
          <w:szCs w:val="20"/>
          <w:lang w:eastAsia="ko-KR"/>
        </w:rPr>
        <w:t xml:space="preserve"> cortex) effective networks acquired through direct SPES. Data were acquired using constant SPES parameters from patients without any resections. Cg subregion profiles were modeled across a breadth of features extracted from CCEPs, including magnitude, morphology, morphological diversity, inter-regional similarity, spatial patterning, temporal dynamics, broadband gamma content, assumption-free waveform features, and assumption-based waveform features. Our study provides a network-level profile of the characteristics, similarities, and differences between the Cg effective networks modeled across several metrics. Further, through a machine-learning approach, we provide direct, quantitative evidence on the utility of effective connectivity metrics used to model effective networks, specifically by characterizing their predictive strength in classifying Cg networks. In aggregate, this work provides a comprehensive foundation for classifying the complex interactions that the Cg has with the rest of the brain</w:t>
      </w:r>
      <w:r w:rsidR="00B5224D">
        <w:rPr>
          <w:rFonts w:ascii="Arial" w:hAnsi="Arial" w:cs="Arial"/>
          <w:color w:val="000000" w:themeColor="text1"/>
          <w:sz w:val="20"/>
          <w:szCs w:val="20"/>
          <w:lang w:eastAsia="ko-KR"/>
        </w:rPr>
        <w:t xml:space="preserve">. </w:t>
      </w:r>
    </w:p>
    <w:p w14:paraId="672C2236" w14:textId="77777777" w:rsidR="00980C22" w:rsidRPr="005B4F50" w:rsidRDefault="00980C22" w:rsidP="00750445">
      <w:pPr>
        <w:keepNext/>
        <w:pBdr>
          <w:top w:val="nil"/>
          <w:left w:val="nil"/>
          <w:bottom w:val="nil"/>
          <w:right w:val="nil"/>
          <w:between w:val="nil"/>
        </w:pBdr>
        <w:spacing w:before="240" w:after="60"/>
        <w:contextualSpacing/>
        <w:rPr>
          <w:rFonts w:ascii="Arial" w:hAnsi="Arial" w:cs="Arial"/>
          <w:b/>
          <w:color w:val="000000"/>
          <w:sz w:val="20"/>
          <w:szCs w:val="20"/>
        </w:rPr>
      </w:pPr>
    </w:p>
    <w:p w14:paraId="5C218664" w14:textId="77777777" w:rsidR="00E229F1" w:rsidRPr="005B4F50" w:rsidRDefault="00E229F1" w:rsidP="00750445">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5B4F50" w:rsidRDefault="00E6133D" w:rsidP="00750445">
      <w:pPr>
        <w:keepNext/>
        <w:pBdr>
          <w:top w:val="nil"/>
          <w:left w:val="nil"/>
          <w:bottom w:val="nil"/>
          <w:right w:val="nil"/>
          <w:between w:val="nil"/>
        </w:pBdr>
        <w:spacing w:before="240" w:after="60"/>
        <w:contextualSpacing/>
        <w:rPr>
          <w:rFonts w:ascii="Arial" w:hAnsi="Arial" w:cs="Arial"/>
          <w:b/>
          <w:color w:val="000000"/>
          <w:sz w:val="20"/>
          <w:szCs w:val="20"/>
        </w:rPr>
      </w:pPr>
      <w:r w:rsidRPr="005B4F50">
        <w:rPr>
          <w:rFonts w:ascii="Arial" w:hAnsi="Arial" w:cs="Arial"/>
          <w:b/>
          <w:color w:val="000000"/>
          <w:sz w:val="20"/>
          <w:szCs w:val="20"/>
        </w:rPr>
        <w:t>Results</w:t>
      </w:r>
    </w:p>
    <w:p w14:paraId="435AD305" w14:textId="77777777" w:rsidR="00980C22" w:rsidRPr="005B4F50" w:rsidRDefault="00980C22" w:rsidP="00750445">
      <w:pPr>
        <w:keepNext/>
        <w:pBdr>
          <w:top w:val="nil"/>
          <w:left w:val="nil"/>
          <w:bottom w:val="nil"/>
          <w:right w:val="nil"/>
          <w:between w:val="nil"/>
        </w:pBdr>
        <w:spacing w:before="240" w:after="60"/>
        <w:contextualSpacing/>
        <w:jc w:val="both"/>
        <w:rPr>
          <w:rFonts w:ascii="Arial" w:hAnsi="Arial" w:cs="Arial"/>
          <w:color w:val="000000"/>
          <w:sz w:val="20"/>
          <w:szCs w:val="20"/>
        </w:rPr>
      </w:pPr>
    </w:p>
    <w:p w14:paraId="3D9DDACE" w14:textId="77777777" w:rsidR="00107AC0" w:rsidRPr="005B4F50" w:rsidRDefault="00107AC0" w:rsidP="00750445">
      <w:pPr>
        <w:rPr>
          <w:rFonts w:ascii="Arial" w:hAnsi="Arial" w:cs="Arial"/>
          <w:sz w:val="20"/>
          <w:szCs w:val="20"/>
        </w:rPr>
      </w:pPr>
      <w:r w:rsidRPr="005B4F50">
        <w:rPr>
          <w:rFonts w:ascii="Arial" w:hAnsi="Arial" w:cs="Arial"/>
          <w:i/>
          <w:iCs/>
          <w:sz w:val="20"/>
          <w:szCs w:val="20"/>
        </w:rPr>
        <w:t>Patient Demographics, SEEG Coverage, and Stimulation Locations</w:t>
      </w:r>
      <w:r w:rsidRPr="005B4F50">
        <w:rPr>
          <w:rFonts w:ascii="Arial" w:hAnsi="Arial" w:cs="Arial"/>
          <w:sz w:val="20"/>
          <w:szCs w:val="20"/>
        </w:rPr>
        <w:t xml:space="preserve"> </w:t>
      </w:r>
    </w:p>
    <w:p w14:paraId="6BDFF324" w14:textId="77777777" w:rsidR="00107AC0" w:rsidRPr="005B4F50" w:rsidRDefault="00107AC0" w:rsidP="00750445">
      <w:pPr>
        <w:ind w:firstLine="720"/>
        <w:rPr>
          <w:rFonts w:ascii="Arial" w:hAnsi="Arial" w:cs="Arial"/>
          <w:sz w:val="20"/>
          <w:szCs w:val="20"/>
        </w:rPr>
      </w:pPr>
      <w:r w:rsidRPr="005B4F50">
        <w:rPr>
          <w:rFonts w:ascii="Arial" w:hAnsi="Arial" w:cs="Arial"/>
          <w:sz w:val="20"/>
          <w:szCs w:val="20"/>
        </w:rPr>
        <w:t>Our models of Cg effective connectivity were derived from invasive electrophysiological data obtained from 15 patients with intractable epilepsy undergoing invasive SEEG monitoring (Age: mean ±SD, 33.3 ±11.85). Details, including patient duration of invasive monitoring, and clinical details, can be found in Supplemental Table 1. Experimental design is shown in Figure 1a.</w:t>
      </w:r>
    </w:p>
    <w:p w14:paraId="097F91E9" w14:textId="77777777" w:rsidR="00107AC0" w:rsidRPr="005B4F50" w:rsidRDefault="00107AC0" w:rsidP="00750445">
      <w:pPr>
        <w:ind w:firstLine="720"/>
        <w:rPr>
          <w:rFonts w:ascii="Arial" w:hAnsi="Arial" w:cs="Arial"/>
          <w:sz w:val="20"/>
          <w:szCs w:val="20"/>
        </w:rPr>
      </w:pPr>
      <w:r w:rsidRPr="005B4F50">
        <w:rPr>
          <w:rFonts w:ascii="Arial" w:hAnsi="Arial" w:cs="Arial"/>
          <w:sz w:val="20"/>
          <w:szCs w:val="20"/>
        </w:rPr>
        <w:t xml:space="preserve">The number of channels within each major brain region across patients in our study population is shown in Figure 1b. There was a median of 156 contacts ± 64.5 MAD across major brain regions, with the temporal lobe containing 1060 channels, the frontal lobe containing 484 channels, and the orbitofrontal cortex containing 223 channels. The number of contacts within the cingulate cortex (167), </w:t>
      </w:r>
      <w:proofErr w:type="spellStart"/>
      <w:r w:rsidRPr="005B4F50">
        <w:rPr>
          <w:rFonts w:ascii="Arial" w:hAnsi="Arial" w:cs="Arial"/>
          <w:sz w:val="20"/>
          <w:szCs w:val="20"/>
        </w:rPr>
        <w:t>somato</w:t>
      </w:r>
      <w:proofErr w:type="spellEnd"/>
      <w:r w:rsidRPr="005B4F50">
        <w:rPr>
          <w:rFonts w:ascii="Arial" w:hAnsi="Arial" w:cs="Arial"/>
          <w:sz w:val="20"/>
          <w:szCs w:val="20"/>
        </w:rPr>
        <w:t>-motor cortices (198), hippocampus (145), amygdala (94), and insula (212) were within the MAD across all regions. The operculum (88), parietal lobe (80), and thalamus (16) were the least sampled regions.</w:t>
      </w:r>
    </w:p>
    <w:p w14:paraId="7E0D456C" w14:textId="77777777" w:rsidR="00107AC0" w:rsidRPr="005B4F50" w:rsidRDefault="00107AC0" w:rsidP="00750445">
      <w:pPr>
        <w:ind w:firstLine="720"/>
        <w:rPr>
          <w:rFonts w:ascii="Arial" w:hAnsi="Arial" w:cs="Arial"/>
          <w:sz w:val="20"/>
          <w:szCs w:val="20"/>
        </w:rPr>
      </w:pPr>
      <w:r w:rsidRPr="005B4F50">
        <w:rPr>
          <w:rFonts w:ascii="Arial" w:hAnsi="Arial" w:cs="Arial"/>
          <w:sz w:val="20"/>
          <w:szCs w:val="20"/>
        </w:rPr>
        <w:t>Figure 1c shows a breakdown of the stimulation locations within the Cg. Within our study population, 40% of stimulations were delivered to the left Cg, with 18.4% of stimulations occurring at the left ACC, 14.8% at the left MCC, and 6.4% at the left PCC, and 60% were delivered to the right Cg, with 26.4% of stimulations occurring at the right ACC, 24.9% at the right MCC, and 8.8% at the right PCC.</w:t>
      </w:r>
    </w:p>
    <w:p w14:paraId="5E2D3FC3" w14:textId="77777777" w:rsidR="00107AC0" w:rsidRPr="005B4F50" w:rsidRDefault="00107AC0" w:rsidP="00750445">
      <w:pPr>
        <w:ind w:firstLine="720"/>
        <w:rPr>
          <w:rFonts w:ascii="Arial" w:hAnsi="Arial" w:cs="Arial"/>
          <w:sz w:val="20"/>
          <w:szCs w:val="20"/>
        </w:rPr>
      </w:pPr>
      <w:r w:rsidRPr="005B4F50">
        <w:rPr>
          <w:rFonts w:ascii="Arial" w:hAnsi="Arial" w:cs="Arial"/>
          <w:sz w:val="20"/>
          <w:szCs w:val="20"/>
        </w:rPr>
        <w:t>Figure 1d shows a set of exemplar CCEPs recorded from different brain regions in response to stimulation of the ACC, MCC, or PCC. The morphological characteristics of the CCEPs vary depending on where the response was recorded and which subregion was stimulated.</w:t>
      </w:r>
    </w:p>
    <w:p w14:paraId="5E12ED04" w14:textId="77777777" w:rsidR="00107AC0" w:rsidRPr="005B4F50" w:rsidRDefault="00107AC0" w:rsidP="00750445">
      <w:pPr>
        <w:rPr>
          <w:rFonts w:ascii="Arial" w:hAnsi="Arial" w:cs="Arial"/>
          <w:sz w:val="20"/>
          <w:szCs w:val="20"/>
        </w:rPr>
      </w:pPr>
      <w:r w:rsidRPr="005B4F50">
        <w:rPr>
          <w:rFonts w:ascii="Arial" w:hAnsi="Arial" w:cs="Arial"/>
          <w:i/>
          <w:iCs/>
          <w:sz w:val="20"/>
          <w:szCs w:val="20"/>
        </w:rPr>
        <w:t>CEP Coherence as a Measure of Effective Connectivity</w:t>
      </w:r>
      <w:r w:rsidRPr="005B4F50">
        <w:rPr>
          <w:rFonts w:ascii="Arial" w:hAnsi="Arial" w:cs="Arial"/>
          <w:sz w:val="20"/>
          <w:szCs w:val="20"/>
        </w:rPr>
        <w:t xml:space="preserve"> </w:t>
      </w:r>
    </w:p>
    <w:p w14:paraId="171B9AAE" w14:textId="3B8BFF58" w:rsidR="00107AC0" w:rsidRPr="005B4F50" w:rsidRDefault="00107AC0" w:rsidP="00750445">
      <w:pPr>
        <w:ind w:firstLine="720"/>
        <w:rPr>
          <w:rFonts w:ascii="Arial" w:hAnsi="Arial" w:cs="Arial"/>
          <w:sz w:val="20"/>
          <w:szCs w:val="20"/>
        </w:rPr>
      </w:pPr>
      <w:r w:rsidRPr="005B4F50">
        <w:rPr>
          <w:rFonts w:ascii="Arial" w:hAnsi="Arial" w:cs="Arial"/>
          <w:sz w:val="20"/>
          <w:szCs w:val="20"/>
        </w:rPr>
        <w:lastRenderedPageBreak/>
        <w:t>While CCEP magnitude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Pr>
          <w:rFonts w:ascii="Arial" w:hAnsi="Arial" w:cs="Arial"/>
          <w:sz w:val="20"/>
          <w:szCs w:val="20"/>
        </w:rPr>
        <w:t xml:space="preserve">) is useful for detecting regions effectively connected to the site of stimulation, it does not reveal CCEP morphological information, which is necessary for insight into the dynamics and functional properties of inter-regional connectivity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{"citationID":"LODc2SK9","properties":{"formattedCitation":"(29)","plainCitation":"(29)","noteIndex":0},"citationItems":[{"id":4293,"uris":["http://zotero.org/users/7023408/items/DUZJRH6R"],"itemData":{"id":4293,"type":"article-journal","abstract":"Single-pulse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(29)</w:t>
      </w:r>
      <w:r w:rsidRPr="005B4F50">
        <w:rPr>
          <w:rFonts w:ascii="Arial" w:hAnsi="Arial" w:cs="Arial"/>
          <w:sz w:val="20"/>
          <w:szCs w:val="20"/>
        </w:rPr>
        <w:fldChar w:fldCharType="end"/>
      </w:r>
      <w:r w:rsidRPr="005B4F50">
        <w:rPr>
          <w:rFonts w:ascii="Arial" w:hAnsi="Arial" w:cs="Arial"/>
          <w:sz w:val="20"/>
          <w:szCs w:val="20"/>
        </w:rPr>
        <w:t>. To this end, we implemented a CCEP coherence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measure, in addition to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Pr>
          <w:rFonts w:ascii="Arial" w:hAnsi="Arial" w:cs="Arial"/>
          <w:sz w:val="20"/>
          <w:szCs w:val="20"/>
        </w:rPr>
        <w:t xml:space="preserve"> (measured as response RMS), to quantify the effective connectivity of the Cg subregions to other cortical areas. Since CCEPs resulting from SPES are characterized by detectible statistical changes in the local-field potential (LFP) morphology of regions effectively connected to stimulated tissue, the metric of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complements measures of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Pr>
          <w:rFonts w:ascii="Arial" w:hAnsi="Arial" w:cs="Arial"/>
          <w:sz w:val="20"/>
          <w:szCs w:val="20"/>
        </w:rPr>
        <w:t xml:space="preserve"> by providing measures of morphological consistency and diversity. Figure 2a demonstrates how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is calculated. For each contact, a set of unique pairwise correlations between stimulation events </w:t>
      </w:r>
      <w:proofErr w:type="gramStart"/>
      <w:r w:rsidRPr="005B4F50">
        <w:rPr>
          <w:rFonts w:ascii="Arial" w:hAnsi="Arial" w:cs="Arial"/>
          <w:sz w:val="20"/>
          <w:szCs w:val="20"/>
        </w:rPr>
        <w:t>was</w:t>
      </w:r>
      <w:proofErr w:type="gramEnd"/>
      <w:r w:rsidRPr="005B4F50">
        <w:rPr>
          <w:rFonts w:ascii="Arial" w:hAnsi="Arial" w:cs="Arial"/>
          <w:sz w:val="20"/>
          <w:szCs w:val="20"/>
        </w:rPr>
        <w:t xml:space="preserve"> calculated for the pre-stimulation window (baseline window) and the post-stimulation window (CCEP window). A Cohen’s d between these two distributions represents the overall morphological consistency of the CCEPs recorded at each contact, relative to a distribution of baseline LFP (Figure 2b). We defined any contacts with a significant difference between these distributions as effectively connected to the stimulated region (Wilcoxon rank sum, α = 0.0001, Benjamini-Hochberg FDR &lt; 0.0001). Cortical surfaces showing the percentage of significant contacts within each brain region are shown in Supplemental Figure 1. Overall, this approach is used to represent statistical changes in the behavior of the LFP at regions effectively connected to each Cg subregion, where a greater Cohen’s d represents a consistently evoked CCEP morphology, and a smaller Cohen’s d represents a more diverse set of waveforms. A set of </w:t>
      </w:r>
      <w:proofErr w:type="gramStart"/>
      <w:r w:rsidRPr="005B4F50">
        <w:rPr>
          <w:rFonts w:ascii="Arial" w:hAnsi="Arial" w:cs="Arial"/>
          <w:sz w:val="20"/>
          <w:szCs w:val="20"/>
        </w:rPr>
        <w:t>exemplar</w:t>
      </w:r>
      <w:proofErr w:type="gramEnd"/>
      <w:r w:rsidRPr="005B4F50">
        <w:rPr>
          <w:rFonts w:ascii="Arial" w:hAnsi="Arial" w:cs="Arial"/>
          <w:sz w:val="20"/>
          <w:szCs w:val="20"/>
        </w:rPr>
        <w:t xml:space="preserve">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distributions indicative of consistent morphology obtained from recordings in the orbitofrontal cortex is shown in Figure 2c.</w:t>
      </w:r>
    </w:p>
    <w:p w14:paraId="2352BD43" w14:textId="0A017291" w:rsidR="00107AC0" w:rsidRPr="005B4F50" w:rsidRDefault="00107AC0" w:rsidP="00750445">
      <w:pPr>
        <w:ind w:firstLine="720"/>
        <w:rPr>
          <w:rFonts w:ascii="Arial" w:hAnsi="Arial" w:cs="Arial"/>
          <w:sz w:val="20"/>
          <w:szCs w:val="20"/>
        </w:rPr>
      </w:pPr>
      <w:r w:rsidRPr="005B4F50">
        <w:rPr>
          <w:rFonts w:ascii="Arial" w:hAnsi="Arial" w:cs="Arial"/>
          <w:sz w:val="20"/>
          <w:szCs w:val="20"/>
        </w:rPr>
        <w:t xml:space="preserve">We next determined the relationship between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(Cohen’s d) and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sidDel="003D2992">
        <w:rPr>
          <w:rFonts w:ascii="Arial" w:hAnsi="Arial" w:cs="Arial"/>
          <w:sz w:val="20"/>
          <w:szCs w:val="20"/>
        </w:rPr>
        <w:t xml:space="preserve"> </w:t>
      </w:r>
      <w:r w:rsidRPr="005B4F50">
        <w:rPr>
          <w:rFonts w:ascii="Arial" w:hAnsi="Arial" w:cs="Arial"/>
          <w:sz w:val="20"/>
          <w:szCs w:val="20"/>
        </w:rPr>
        <w:t xml:space="preserve">(RMS). Supplemental Figure 2a shows a highly correlated relationship between these two metrics (Spearman’s rho = 0.73, p &lt; 0.0001). Using receiver operating characteristic analysis, we evaluated which metric had greater performance in classifying significantly effectively connected contacts. Both metrics demonstrated large areas under the curve (0.99 for Cohen’s d, 0.95 for RMS), showing high reliability in differentiating between significant and non-significant for both measures. For this study, we primarily report effective connectivity as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due to its greater area under the curve, its high correlation with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Pr>
          <w:rFonts w:ascii="Arial" w:hAnsi="Arial" w:cs="Arial"/>
          <w:sz w:val="20"/>
          <w:szCs w:val="20"/>
        </w:rPr>
        <w:t>, and the utility of this measure for interpreting the morphological attributes of CCEPs across regions.</w:t>
      </w:r>
    </w:p>
    <w:p w14:paraId="17109908" w14:textId="77777777" w:rsidR="00107AC0" w:rsidRPr="005B4F50" w:rsidRDefault="00107AC0" w:rsidP="00750445">
      <w:pPr>
        <w:rPr>
          <w:rFonts w:ascii="Arial" w:hAnsi="Arial" w:cs="Arial"/>
          <w:sz w:val="20"/>
          <w:szCs w:val="20"/>
        </w:rPr>
      </w:pPr>
      <w:r w:rsidRPr="005B4F50">
        <w:rPr>
          <w:rFonts w:ascii="Arial" w:hAnsi="Arial" w:cs="Arial"/>
          <w:i/>
          <w:iCs/>
          <w:sz w:val="20"/>
          <w:szCs w:val="20"/>
        </w:rPr>
        <w:t>Effective Connectivity Networks of Cg Subregions.</w:t>
      </w:r>
      <w:r w:rsidRPr="005B4F50">
        <w:rPr>
          <w:rFonts w:ascii="Arial" w:hAnsi="Arial" w:cs="Arial"/>
          <w:sz w:val="20"/>
          <w:szCs w:val="20"/>
        </w:rPr>
        <w:t xml:space="preserve"> </w:t>
      </w:r>
    </w:p>
    <w:p w14:paraId="14E2263C" w14:textId="43A4745B" w:rsidR="00107AC0" w:rsidRPr="005B4F50" w:rsidRDefault="00107AC0" w:rsidP="00750445">
      <w:pPr>
        <w:ind w:firstLine="720"/>
        <w:rPr>
          <w:rFonts w:ascii="Arial" w:hAnsi="Arial" w:cs="Arial"/>
          <w:sz w:val="20"/>
          <w:szCs w:val="20"/>
        </w:rPr>
      </w:pPr>
      <w:r w:rsidRPr="005B4F50">
        <w:rPr>
          <w:rFonts w:ascii="Arial" w:hAnsi="Arial" w:cs="Arial"/>
          <w:sz w:val="20"/>
          <w:szCs w:val="20"/>
        </w:rPr>
        <w:t xml:space="preserve">First, we evaluated the global effective connectivity of the Cg subregions by comparing the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across all significant contacts within each stimulation condition (n = 1030 for ACC, n = 1430 for MCC, n = 566 for PCC). Figure 2d shows a comparison of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(mean ±SD, 0.61 ±0.58 for ACC, 0.69 ±0.61 for MCC, 0.74 ±0.64 for PCC) and variance of the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distributions relative to baseline (mean ±SD, 0.0012 ±0.033 for ACC, 0.0026 ±0.0.042 for MCC, 0.0062 ±0.051 for PCC) across stimulation conditions. We observed a significant difference in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between ACC and PCC stimulation conditions (Wilcoxon rank sum, α = 0.001, p = 0.004 for ACC vs MCC, p = 5.077E-8 for ACC vs PCC, p = 0.003 for MCC vs PCC), which may indicate a proximity effect of CCEP morphological profiles (i.e. ACC having a statistically different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profile from the PCC, but neither the ACC or PCC having a statistically different profile from the MCC). Further, there was a hemispheric difference in the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distributions (mean ±SD, 0.61 ±0.57 for left ACC, 0.61 ±0.59 for right ACC, 0.62 ±0.52 for left MCC, 0.73 ±0.67 for right MCC, 0.63 ±0.63 for left PCC, 0.79 ±0.64 for right PCC) when comparing CCEPs resulting from stimulation of the left PCC and right PCC (Wilcoxon rank sum, α = 0.001, p = 0.35 for ACC, p = 0.13 for MCC, p = 1.14E-5 for PCC). There were no statistically significant differences in relative variance between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distributions (mean ±SD, -0.005 ±0.03 for left ACC, 0.006 ±0.03 for right ACC, -0.007 ±0.03 for left MCC, 0.009 ±0.05 for right MCC, -0.002 ±0.03 for left PCC, -0.002 ±0.03 for right PCC) within the three stimulation conditions; however, there were </w:t>
      </w:r>
      <w:r w:rsidRPr="005B4F50">
        <w:rPr>
          <w:rFonts w:ascii="Arial" w:hAnsi="Arial" w:cs="Arial"/>
          <w:sz w:val="20"/>
          <w:szCs w:val="20"/>
        </w:rPr>
        <w:lastRenderedPageBreak/>
        <w:t>hemispheric differences in the ACC and MCC stimulation conditions (Wilcoxon rank sum, α = 0.001, p = 1.47E-13 for ACC, p = 8.45E-15 for MCC, p = 0.02 for PCC).</w:t>
      </w:r>
    </w:p>
    <w:p w14:paraId="42E190E2" w14:textId="76C7EFB3" w:rsidR="00107AC0" w:rsidRPr="005B4F50" w:rsidRDefault="00107AC0" w:rsidP="00750445">
      <w:pPr>
        <w:ind w:firstLine="720"/>
        <w:rPr>
          <w:rFonts w:ascii="Arial" w:hAnsi="Arial" w:cs="Arial"/>
          <w:sz w:val="20"/>
          <w:szCs w:val="20"/>
        </w:rPr>
      </w:pPr>
      <w:r w:rsidRPr="005B4F50">
        <w:rPr>
          <w:rFonts w:ascii="Arial" w:hAnsi="Arial" w:cs="Arial"/>
          <w:sz w:val="20"/>
          <w:szCs w:val="20"/>
        </w:rPr>
        <w:t xml:space="preserve">Figure 2e shows the entirety of the divergent Cg effective connectivity network. This visualizes the effective connectivity of each Cg subregion to each cortical region available from our study data. Additionally, we evaluated the inter-Cg subregion effective connectivity (Supplemental Figure 2b) to determine whether there was a proximity effect of connectivity between subregions. We found no significant differences in the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between connections from the ACC to the MCC and the ACC to the PCC, nor the PCC to the MCC and the PCC to the ACC. Instead, there was a significant difference in connectivity between the MCC to the ACC and MCC to the PCC (Wilcoxon rank sum, α = 0.001, p = 7.84E-6, mean ±95% CI, 0.40 ±0.10 MCC to ACC, 1.56 ±0.38 MCC to PCC).</w:t>
      </w:r>
    </w:p>
    <w:p w14:paraId="41A6D317" w14:textId="77777777" w:rsidR="00F7470C" w:rsidRPr="005B4F50" w:rsidRDefault="00F7470C" w:rsidP="00750445">
      <w:pPr>
        <w:rPr>
          <w:rFonts w:ascii="Arial" w:hAnsi="Arial" w:cs="Arial"/>
          <w:i/>
          <w:iCs/>
          <w:sz w:val="20"/>
          <w:szCs w:val="20"/>
        </w:rPr>
      </w:pPr>
      <w:r w:rsidRPr="005B4F50">
        <w:rPr>
          <w:rFonts w:ascii="Arial" w:hAnsi="Arial" w:cs="Arial"/>
          <w:i/>
          <w:iCs/>
          <w:sz w:val="20"/>
          <w:szCs w:val="20"/>
        </w:rPr>
        <w:t xml:space="preserve">Relative Connectivity of Cortical Regions to Each Cg Subregion </w:t>
      </w:r>
    </w:p>
    <w:p w14:paraId="37FCE6E8" w14:textId="77777777"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To determine the connectivity profile of each cortical region to each of the Cg subregions, we implemented a relative connectivity analysis. The results of this analysis are visualized in Figure 2f. For each region, we calculated a geometric mean effective connectivity value for each of the Cg subregions. This enabled the identification of cortical areas with preferential and non-preferential effective connectivity to each Cg subregion. We found a highly heterogeneous relative connectivity profile across cortical regions. Notably, frontal regions showed higher connectivity to the ACC and MCC, and parietal regions showed higher connectivity to the MCC and PCC. The insula cortex, specifically the short insular gyrus and the superior insula, showed dominant effective connectivity to the ACC and MCC. The long insular gyrus had substantially higher effective connectivity to the MCC and PCC than to the ACC. There were also several regions with near-complete effective connectivity dominance to single Cg subregions. Examples include subregions of the hippocampus, which were predominantly connected to the PCC, the motor cortices, which were only effectively connected to the MCC, and the superior temporal gyrus, which was only effectively connected to the ACC. </w:t>
      </w:r>
    </w:p>
    <w:p w14:paraId="7C332C0B" w14:textId="77777777"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This analysis enabled us to identify regions that had highly similar effective connectivity to each of the Cg subregions (within 5% of the centroid of the triangular connectivity plane; for details, see “Relative Cingulate Cortex Connectivity” in Methods). When using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to model effective connectivity, these regions included the middle-frontal gyrus, the triangular part of the inferior frontal gyrus, gyrus rectus, the anterior segment of the circular sulcus of the insula, the middle temporal gyrus, and the temporal pole. Extended cortical surface models showing the effective connectivity of each region to each Cg subregion using CCEP are shown in Supplemental Figure 2c. </w:t>
      </w:r>
    </w:p>
    <w:p w14:paraId="5BACEFC7" w14:textId="322D7585" w:rsidR="00107AC0" w:rsidRPr="005B4F50" w:rsidRDefault="00F7470C" w:rsidP="00750445">
      <w:pPr>
        <w:ind w:firstLine="720"/>
        <w:rPr>
          <w:rFonts w:ascii="Arial" w:hAnsi="Arial" w:cs="Arial"/>
          <w:sz w:val="20"/>
          <w:szCs w:val="20"/>
        </w:rPr>
      </w:pPr>
      <w:r w:rsidRPr="005B4F50">
        <w:rPr>
          <w:rFonts w:ascii="Arial" w:hAnsi="Arial" w:cs="Arial"/>
          <w:sz w:val="20"/>
          <w:szCs w:val="20"/>
        </w:rPr>
        <w:t xml:space="preserve">The relative Cg subregion effective connectivity modeled using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Pr>
          <w:rFonts w:ascii="Arial" w:hAnsi="Arial" w:cs="Arial"/>
          <w:sz w:val="20"/>
          <w:szCs w:val="20"/>
        </w:rPr>
        <w:t xml:space="preserve"> is shown in Supplemental Figure 3a. While the relative connectivity profile across cortical regions was </w:t>
      </w:r>
      <w:proofErr w:type="gramStart"/>
      <w:r w:rsidRPr="005B4F50">
        <w:rPr>
          <w:rFonts w:ascii="Arial" w:hAnsi="Arial" w:cs="Arial"/>
          <w:sz w:val="20"/>
          <w:szCs w:val="20"/>
        </w:rPr>
        <w:t>similar to</w:t>
      </w:r>
      <w:proofErr w:type="gramEnd"/>
      <w:r w:rsidRPr="005B4F50">
        <w:rPr>
          <w:rFonts w:ascii="Arial" w:hAnsi="Arial" w:cs="Arial"/>
          <w:sz w:val="20"/>
          <w:szCs w:val="20"/>
        </w:rPr>
        <w:t xml:space="preserve"> what was found using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there were notable differences. Namely, several regions of the hippocampus showing significant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xml:space="preserve"> were not significant when using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sidDel="003D2992">
        <w:rPr>
          <w:rFonts w:ascii="Arial" w:hAnsi="Arial" w:cs="Arial"/>
          <w:sz w:val="20"/>
          <w:szCs w:val="20"/>
        </w:rPr>
        <w:t xml:space="preserve"> </w:t>
      </w:r>
      <w:r w:rsidRPr="005B4F50">
        <w:rPr>
          <w:rFonts w:ascii="Arial" w:hAnsi="Arial" w:cs="Arial"/>
          <w:sz w:val="20"/>
          <w:szCs w:val="20"/>
        </w:rPr>
        <w:t xml:space="preserve">as the metric for effective connectivity across stimulation conditions (Supplemental Figure 3b). We found that the middle-frontal gyrus, the triangular part of the inferior frontal gyrus, gyrus rectus, inferior segment of the circular sulcus of the insula, and lateral nucleus of the amygdala had highly similar effective connectivity to each Cg subregion. </w:t>
      </w:r>
    </w:p>
    <w:p w14:paraId="385A97F5" w14:textId="77777777" w:rsidR="00F7470C" w:rsidRPr="005B4F50" w:rsidRDefault="00F7470C" w:rsidP="00750445">
      <w:pPr>
        <w:rPr>
          <w:rFonts w:ascii="Arial" w:hAnsi="Arial" w:cs="Arial"/>
          <w:sz w:val="20"/>
          <w:szCs w:val="20"/>
        </w:rPr>
      </w:pPr>
      <w:r w:rsidRPr="005B4F50">
        <w:rPr>
          <w:rFonts w:ascii="Arial" w:hAnsi="Arial" w:cs="Arial"/>
          <w:i/>
          <w:iCs/>
          <w:sz w:val="20"/>
          <w:szCs w:val="20"/>
        </w:rPr>
        <w:t>Spatial Distributions of Effective Connectivity Across Cg Subregion Effective Connectivity Networks</w:t>
      </w:r>
      <w:r w:rsidRPr="005B4F50">
        <w:rPr>
          <w:rFonts w:ascii="Arial" w:hAnsi="Arial" w:cs="Arial"/>
          <w:sz w:val="20"/>
          <w:szCs w:val="20"/>
        </w:rPr>
        <w:t xml:space="preserve"> </w:t>
      </w:r>
    </w:p>
    <w:p w14:paraId="06845811" w14:textId="77777777"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We next characterized the spatial profile of Cg subregion connectivity across the cortex. We found that across all three spatial axes (anterior-posterior, superior-inferior, and left-right), the distributions of significantly effectively connected contacts in each stimulation condition showed significant spatial clustering (Figure 3a, Moran’s I statistic, 1,000 permutation significance test, α </w:t>
      </w:r>
      <w:r w:rsidRPr="005B4F50">
        <w:rPr>
          <w:rFonts w:ascii="Arial" w:hAnsi="Arial" w:cs="Arial"/>
          <w:sz w:val="20"/>
          <w:szCs w:val="20"/>
        </w:rPr>
        <w:lastRenderedPageBreak/>
        <w:t>= 0.01, p &lt; 0.001 for all conditions). We next evaluated whether the spatial clustering, specifically the centroid of these spatial distributions, was significantly different between stimulation conditions across each spatial axis. We found that there was only a significant difference in centroid positions along the anterior-posterior axis, specifically between the ACC and MCC centroids (permutation-based pairwise comparison of centroid differences, α = 0.05, p = 0.008) and ACC and PCC (p = 0.002) centroids. The expanded spatial distributions and permutation distributions are shown in Supplemental Figure 4. These results reflect a clear anterior-posterior effective connectivity gradient, with the centroid of the ACC distribution being most anterior and the PCC distribution centroid being the most posterior.</w:t>
      </w:r>
    </w:p>
    <w:p w14:paraId="5161F306" w14:textId="1E333149"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We next aimed to characterize the hemispheric differences in effective connectivity across major brain region groups, contralateral and ipsilateral to the stimulated Cg subregion (Figure 3b). For regions contralateral to the stimulated subregion, we found significantly higher effective connectivity from the ACC to the right orbitofrontal cortex (Wilcoxon rank sum, α = 0.05, p &lt; 0.05) and from the MCC to the left frontal cortex (p &lt; 0.001). There were insufficient contralateral contacts in the operculum, temporal lobe, hippocampus, amygdala, parietal lobe, and thalamus for statistical comparisons due to limitations in the clinical coverage of this patient population. We found no significant differences between hemispheres for the </w:t>
      </w:r>
      <w:proofErr w:type="spellStart"/>
      <w:r w:rsidRPr="005B4F50">
        <w:rPr>
          <w:rFonts w:ascii="Arial" w:hAnsi="Arial" w:cs="Arial"/>
          <w:sz w:val="20"/>
          <w:szCs w:val="20"/>
        </w:rPr>
        <w:t>somato</w:t>
      </w:r>
      <w:proofErr w:type="spellEnd"/>
      <w:r w:rsidRPr="005B4F50">
        <w:rPr>
          <w:rFonts w:ascii="Arial" w:hAnsi="Arial" w:cs="Arial"/>
          <w:sz w:val="20"/>
          <w:szCs w:val="20"/>
        </w:rPr>
        <w:t>-motor cortices or the insular cortices in this contralateral comparison. For comparison of major region groups ipsilateral to the stimulated Cg subregion, we found significantly higher effective connectivity (i.e., hemispheric dominance) from the MCC to the right orbitofrontal cortex (p &lt; 0.001), significantly higher effective connectivity from the ACC and MCC to the left frontal cortex (ACC p &lt; 0.05, MCC p &lt; 0.001), significantly higher effective connectivity from the PCC to the right operculum (p &lt; 0.05), significantly higher effective connectivity from the ACC, MCC, and PCC to the right temporal lobe (ACC p &lt; 0.001, MCC p &lt; 0.001, PCC p &lt; 0.05), significantly higher effective connectivity from the PCC to the right hippocampus (p &lt; 0.05), and significantly higher connectivity from the MCC and PCC to the right insula (MCC p &lt; 0.05, PCC p &lt; 0.001). A cortical surface visualization showing the average hemispheric difference of contacts within each region across stimulation conditions is shown in Supplemental Figure 5. Notably, only frontal regions demonstrated a left hemisphere dominance in effective connectivity for ACC and MCC conditions, with most other regions having right hemisphere dominance across stimulation conditions.</w:t>
      </w:r>
    </w:p>
    <w:p w14:paraId="08902CD1" w14:textId="77777777" w:rsidR="00F7470C" w:rsidRPr="005B4F50" w:rsidRDefault="00F7470C" w:rsidP="00750445">
      <w:pPr>
        <w:rPr>
          <w:rFonts w:ascii="Arial" w:hAnsi="Arial" w:cs="Arial"/>
          <w:sz w:val="20"/>
          <w:szCs w:val="20"/>
        </w:rPr>
      </w:pPr>
      <w:r w:rsidRPr="005B4F50">
        <w:rPr>
          <w:rFonts w:ascii="Arial" w:hAnsi="Arial" w:cs="Arial"/>
          <w:i/>
          <w:iCs/>
          <w:sz w:val="20"/>
          <w:szCs w:val="20"/>
        </w:rPr>
        <w:t>Morphology-based Hierarchical Clustering Models of Cg Subregion Effective Connectivity Networks</w:t>
      </w:r>
      <w:r w:rsidRPr="005B4F50">
        <w:rPr>
          <w:rFonts w:ascii="Arial" w:hAnsi="Arial" w:cs="Arial"/>
          <w:sz w:val="20"/>
          <w:szCs w:val="20"/>
        </w:rPr>
        <w:t xml:space="preserve"> </w:t>
      </w:r>
    </w:p>
    <w:p w14:paraId="1E140287" w14:textId="77777777"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Beyond a divergent model of Cg effective connectivity and characterizing CCEP morphological consistency across regions using </w:t>
      </w:r>
      <w:proofErr w:type="spellStart"/>
      <w:r w:rsidRPr="005B4F50">
        <w:rPr>
          <w:rFonts w:ascii="Arial" w:hAnsi="Arial" w:cs="Arial"/>
          <w:sz w:val="20"/>
          <w:szCs w:val="20"/>
        </w:rPr>
        <w:t>CCEP</w:t>
      </w:r>
      <w:r w:rsidRPr="005B4F50">
        <w:rPr>
          <w:rFonts w:ascii="Arial" w:hAnsi="Arial" w:cs="Arial"/>
          <w:sz w:val="20"/>
          <w:szCs w:val="20"/>
          <w:vertAlign w:val="subscript"/>
        </w:rPr>
        <w:t>coh</w:t>
      </w:r>
      <w:proofErr w:type="spellEnd"/>
      <w:r w:rsidRPr="005B4F50">
        <w:rPr>
          <w:rFonts w:ascii="Arial" w:hAnsi="Arial" w:cs="Arial"/>
          <w:sz w:val="20"/>
          <w:szCs w:val="20"/>
        </w:rPr>
        <w:t>, we also aimed to evaluate the morphological similarity of CCEPs among cortical regions. To this end, we implemented an inter-region cross-correlation analysis to evaluate the morphological similarity of CCEPs between cortical regions for each Cg subregion’s effective connectivity network. We then used hierarchical clustering to group regions by the morphological similarity of CCEPs for each stimulation condition (Supplemental Figure 6). The results of this analysis are shown in Figure 4, revealing three highly differentiable inter-regional correlation matrices across stimulation conditions. Our analysis revealed eight clusters for the ACC (Figure 4a</w:t>
      </w:r>
      <w:r w:rsidRPr="005B4F50">
        <w:rPr>
          <w:rFonts w:ascii="Arial" w:hAnsi="Arial" w:cs="Arial"/>
          <w:sz w:val="20"/>
          <w:szCs w:val="20"/>
          <w:vertAlign w:val="subscript"/>
        </w:rPr>
        <w:t>i</w:t>
      </w:r>
      <w:r w:rsidRPr="005B4F50">
        <w:rPr>
          <w:rFonts w:ascii="Arial" w:hAnsi="Arial" w:cs="Arial"/>
          <w:sz w:val="20"/>
          <w:szCs w:val="20"/>
        </w:rPr>
        <w:t xml:space="preserve"> and </w:t>
      </w:r>
      <w:proofErr w:type="spellStart"/>
      <w:r w:rsidRPr="005B4F50">
        <w:rPr>
          <w:rFonts w:ascii="Arial" w:hAnsi="Arial" w:cs="Arial"/>
          <w:sz w:val="20"/>
          <w:szCs w:val="20"/>
        </w:rPr>
        <w:t>a</w:t>
      </w:r>
      <w:r w:rsidRPr="005B4F50">
        <w:rPr>
          <w:rFonts w:ascii="Arial" w:hAnsi="Arial" w:cs="Arial"/>
          <w:sz w:val="20"/>
          <w:szCs w:val="20"/>
          <w:vertAlign w:val="subscript"/>
        </w:rPr>
        <w:t>ii</w:t>
      </w:r>
      <w:proofErr w:type="spellEnd"/>
      <w:r w:rsidRPr="005B4F50">
        <w:rPr>
          <w:rFonts w:ascii="Arial" w:hAnsi="Arial" w:cs="Arial"/>
          <w:sz w:val="20"/>
          <w:szCs w:val="20"/>
        </w:rPr>
        <w:t>), six clusters for the MCC (Figure 4b</w:t>
      </w:r>
      <w:r w:rsidRPr="005B4F50">
        <w:rPr>
          <w:rFonts w:ascii="Arial" w:hAnsi="Arial" w:cs="Arial"/>
          <w:sz w:val="20"/>
          <w:szCs w:val="20"/>
          <w:vertAlign w:val="subscript"/>
        </w:rPr>
        <w:t>i</w:t>
      </w:r>
      <w:r w:rsidRPr="005B4F50">
        <w:rPr>
          <w:rFonts w:ascii="Arial" w:hAnsi="Arial" w:cs="Arial"/>
          <w:sz w:val="20"/>
          <w:szCs w:val="20"/>
        </w:rPr>
        <w:t xml:space="preserve"> and </w:t>
      </w:r>
      <w:proofErr w:type="spellStart"/>
      <w:r w:rsidRPr="005B4F50">
        <w:rPr>
          <w:rFonts w:ascii="Arial" w:hAnsi="Arial" w:cs="Arial"/>
          <w:sz w:val="20"/>
          <w:szCs w:val="20"/>
        </w:rPr>
        <w:t>b</w:t>
      </w:r>
      <w:r w:rsidRPr="005B4F50">
        <w:rPr>
          <w:rFonts w:ascii="Arial" w:hAnsi="Arial" w:cs="Arial"/>
          <w:sz w:val="20"/>
          <w:szCs w:val="20"/>
          <w:vertAlign w:val="subscript"/>
        </w:rPr>
        <w:t>ii</w:t>
      </w:r>
      <w:proofErr w:type="spellEnd"/>
      <w:r w:rsidRPr="005B4F50">
        <w:rPr>
          <w:rFonts w:ascii="Arial" w:hAnsi="Arial" w:cs="Arial"/>
          <w:sz w:val="20"/>
          <w:szCs w:val="20"/>
        </w:rPr>
        <w:t>), and seven clusters for the PCC (Figure 4c</w:t>
      </w:r>
      <w:r w:rsidRPr="005B4F50">
        <w:rPr>
          <w:rFonts w:ascii="Arial" w:hAnsi="Arial" w:cs="Arial"/>
          <w:sz w:val="20"/>
          <w:szCs w:val="20"/>
          <w:vertAlign w:val="subscript"/>
        </w:rPr>
        <w:t>i</w:t>
      </w:r>
      <w:r w:rsidRPr="005B4F50">
        <w:rPr>
          <w:rFonts w:ascii="Arial" w:hAnsi="Arial" w:cs="Arial"/>
          <w:sz w:val="20"/>
          <w:szCs w:val="20"/>
        </w:rPr>
        <w:t xml:space="preserve"> and c</w:t>
      </w:r>
      <w:r w:rsidRPr="005B4F50">
        <w:rPr>
          <w:rFonts w:ascii="Arial" w:hAnsi="Arial" w:cs="Arial"/>
          <w:sz w:val="20"/>
          <w:szCs w:val="20"/>
          <w:vertAlign w:val="subscript"/>
        </w:rPr>
        <w:t>ii</w:t>
      </w:r>
      <w:r w:rsidRPr="005B4F50">
        <w:rPr>
          <w:rFonts w:ascii="Arial" w:hAnsi="Arial" w:cs="Arial"/>
          <w:sz w:val="20"/>
          <w:szCs w:val="20"/>
        </w:rPr>
        <w:t xml:space="preserve">). A full list of regions within each cluster for each stimulation condition is described in Supplemental Results. Notably, the MCC contained the largest single cluster, accounting for 30 of the 45 regions included in the hierarchical clusters. It also appeared that there was no major spatial organization of clusters across stimulation conditions, indicating that the morphological signature of CCEPs is not clustered in space. </w:t>
      </w:r>
    </w:p>
    <w:p w14:paraId="00B1BC27" w14:textId="77777777"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We next compared the average pairwise morphological similarity of regions within each correlation matrix between stimulation conditions. The MCC network had the highest mean pairwise correlation values across regions (mean ±95% CI, 0.37 ±0.04) and was significantly </w:t>
      </w:r>
      <w:r w:rsidRPr="005B4F50">
        <w:rPr>
          <w:rFonts w:ascii="Arial" w:hAnsi="Arial" w:cs="Arial"/>
          <w:sz w:val="20"/>
          <w:szCs w:val="20"/>
        </w:rPr>
        <w:lastRenderedPageBreak/>
        <w:t xml:space="preserve">different from both the ACC network (ACC 0.32 ±0.04, Wilcoxon rank sum, α = 0.05, p = 0.018) and PCC network (PCC 0.29 ±0.03, p = 2.42E-4). There was no significant difference between the ACC network and the PCC network (p = 0.129). </w:t>
      </w:r>
    </w:p>
    <w:p w14:paraId="2300C1A7" w14:textId="6F8337EC"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We next evaluated the diversity of inter-regional CCEP morphology across Cg subregion effective connectivity networks. To do this, we performed a comparison of the cophenetic distance distributions of each network’s dendrogram. The PCC network dendrogram contained the highest average cophenetic distance (mean ±SD, 0.69 ±0.20) and lowest cophenetic entropy (0.326). The ACC and MCC network dendrograms were highly similar (ACC cophenetic distance 0.57 ±.22, cophenetic entropy 0.390; MCC cophenetic distance 0.54 ±0.24, cophenetic entropy 0.395). Pairwise comparisons of these distributions revealed a significant difference between all three stimulation conditions (Wilcoxon rank sum, α = 0.05, p &lt; 0.001 for comparisons). </w:t>
      </w:r>
    </w:p>
    <w:p w14:paraId="285205E2" w14:textId="77777777" w:rsidR="00F7470C" w:rsidRPr="005B4F50" w:rsidRDefault="00F7470C" w:rsidP="00750445">
      <w:pPr>
        <w:rPr>
          <w:rFonts w:ascii="Arial" w:hAnsi="Arial" w:cs="Arial"/>
          <w:sz w:val="20"/>
          <w:szCs w:val="20"/>
        </w:rPr>
      </w:pPr>
      <w:r w:rsidRPr="005B4F50">
        <w:rPr>
          <w:rFonts w:ascii="Arial" w:hAnsi="Arial" w:cs="Arial"/>
          <w:i/>
          <w:iCs/>
          <w:sz w:val="20"/>
          <w:szCs w:val="20"/>
        </w:rPr>
        <w:t>Feature Importance in Classifying the Effective Connectivity Networks of Cg Subregions</w:t>
      </w:r>
      <w:r w:rsidRPr="005B4F50">
        <w:rPr>
          <w:rFonts w:ascii="Arial" w:hAnsi="Arial" w:cs="Arial"/>
          <w:sz w:val="20"/>
          <w:szCs w:val="20"/>
        </w:rPr>
        <w:t xml:space="preserve"> </w:t>
      </w:r>
    </w:p>
    <w:p w14:paraId="0738F30E" w14:textId="2F6ADD36" w:rsidR="00F7470C" w:rsidRPr="005B4F50" w:rsidRDefault="00F7470C" w:rsidP="00750445">
      <w:pPr>
        <w:ind w:firstLine="720"/>
        <w:rPr>
          <w:rFonts w:ascii="Arial" w:hAnsi="Arial" w:cs="Arial"/>
          <w:sz w:val="20"/>
          <w:szCs w:val="20"/>
        </w:rPr>
      </w:pPr>
      <w:r w:rsidRPr="005B4F50">
        <w:rPr>
          <w:rFonts w:ascii="Arial" w:hAnsi="Arial" w:cs="Arial"/>
          <w:sz w:val="20"/>
          <w:szCs w:val="20"/>
        </w:rPr>
        <w:t xml:space="preserve">Finally, we evaluated the importance of features used to profile the Cg effective connectivity networks. To do this, we determined the predictive strength of features in classifying the stimulated Cg subregion in a random forest model. Features were characterized into 6 main groups (for details, see Assessing Feature Importance for Classifying Cg Effective Connectivity Networks in Methods): effective connectivity, spatial, waveform (assumption-free), evoked gamma, temporal, and waveform (assumption-based). </w:t>
      </w:r>
      <w:r w:rsidR="00D46880">
        <w:rPr>
          <w:rFonts w:ascii="Arial" w:hAnsi="Arial" w:cs="Arial"/>
          <w:sz w:val="20"/>
          <w:szCs w:val="20"/>
        </w:rPr>
        <w:t xml:space="preserve">Additional results describing the temporal dynamics </w:t>
      </w:r>
      <w:r w:rsidR="00A15F67">
        <w:rPr>
          <w:rFonts w:ascii="Arial" w:hAnsi="Arial" w:cs="Arial"/>
          <w:sz w:val="20"/>
          <w:szCs w:val="20"/>
        </w:rPr>
        <w:t xml:space="preserve">of CCEPs </w:t>
      </w:r>
      <w:r w:rsidR="00D46880">
        <w:rPr>
          <w:rFonts w:ascii="Arial" w:hAnsi="Arial" w:cs="Arial"/>
          <w:sz w:val="20"/>
          <w:szCs w:val="20"/>
        </w:rPr>
        <w:t xml:space="preserve">and </w:t>
      </w:r>
      <w:r w:rsidR="00A15F67">
        <w:rPr>
          <w:rFonts w:ascii="Arial" w:hAnsi="Arial" w:cs="Arial"/>
          <w:sz w:val="20"/>
          <w:szCs w:val="20"/>
        </w:rPr>
        <w:t xml:space="preserve">Cg stimulation-evoked gamma responses across the cortex can be found in Supplemental Results and Supplemental Figures 7-10. </w:t>
      </w:r>
      <w:r w:rsidRPr="005B4F50">
        <w:rPr>
          <w:rFonts w:ascii="Arial" w:hAnsi="Arial" w:cs="Arial"/>
          <w:sz w:val="20"/>
          <w:szCs w:val="20"/>
        </w:rPr>
        <w:t xml:space="preserve">Figure </w:t>
      </w:r>
      <w:r w:rsidR="001F1761">
        <w:rPr>
          <w:rFonts w:ascii="Arial" w:hAnsi="Arial" w:cs="Arial"/>
          <w:sz w:val="20"/>
          <w:szCs w:val="20"/>
        </w:rPr>
        <w:t>5</w:t>
      </w:r>
      <w:r w:rsidRPr="005B4F50">
        <w:rPr>
          <w:rFonts w:ascii="Arial" w:hAnsi="Arial" w:cs="Arial"/>
          <w:sz w:val="20"/>
          <w:szCs w:val="20"/>
        </w:rPr>
        <w:t xml:space="preserve">a shows the confusion matrix outlining the performance of our model in predicting which Cg subregion was stimulated at each contact. The overall accuracy of the model was 75.5%. The classification accuracy was 78.9% for ACC contacts, 73.1% for MCC contacts, and 72% for PCC contacts. Figure </w:t>
      </w:r>
      <w:r w:rsidR="001F1761">
        <w:rPr>
          <w:rFonts w:ascii="Arial" w:hAnsi="Arial" w:cs="Arial"/>
          <w:sz w:val="20"/>
          <w:szCs w:val="20"/>
        </w:rPr>
        <w:t>5</w:t>
      </w:r>
      <w:r w:rsidRPr="005B4F50">
        <w:rPr>
          <w:rFonts w:ascii="Arial" w:hAnsi="Arial" w:cs="Arial"/>
          <w:sz w:val="20"/>
          <w:szCs w:val="20"/>
        </w:rPr>
        <w:t xml:space="preserve">b shows the predictor strength of features ranked from highest to lowest. </w:t>
      </w:r>
      <w:proofErr w:type="spellStart"/>
      <w:r w:rsidRPr="005B4F50">
        <w:rPr>
          <w:rFonts w:ascii="Arial" w:hAnsi="Arial" w:cs="Arial"/>
          <w:sz w:val="20"/>
          <w:szCs w:val="20"/>
        </w:rPr>
        <w:t>CCEP</w:t>
      </w:r>
      <w:r w:rsidRPr="005B4F50">
        <w:rPr>
          <w:rFonts w:ascii="Arial" w:hAnsi="Arial" w:cs="Arial"/>
          <w:sz w:val="20"/>
          <w:szCs w:val="20"/>
          <w:vertAlign w:val="subscript"/>
        </w:rPr>
        <w:t>mag</w:t>
      </w:r>
      <w:proofErr w:type="spellEnd"/>
      <w:r w:rsidRPr="005B4F50" w:rsidDel="003D2992">
        <w:rPr>
          <w:rFonts w:ascii="Arial" w:hAnsi="Arial" w:cs="Arial"/>
          <w:sz w:val="20"/>
          <w:szCs w:val="20"/>
        </w:rPr>
        <w:t xml:space="preserve"> </w:t>
      </w:r>
      <w:r w:rsidRPr="005B4F50">
        <w:rPr>
          <w:rFonts w:ascii="Arial" w:hAnsi="Arial" w:cs="Arial"/>
          <w:sz w:val="20"/>
          <w:szCs w:val="20"/>
        </w:rPr>
        <w:t xml:space="preserve">(RMS) was the highest predictor, followed by each of the three spatial coordinates of the contacts. Measures of effective connectivity were all ranked in the top 50% of features for predictor strength. Notably, assumption-based waveform features, which are commonly used to characterize effective connectivity, had the lowest predictor strength. Figure </w:t>
      </w:r>
      <w:r w:rsidR="001F1761">
        <w:rPr>
          <w:rFonts w:ascii="Arial" w:hAnsi="Arial" w:cs="Arial"/>
          <w:sz w:val="20"/>
          <w:szCs w:val="20"/>
        </w:rPr>
        <w:t>5</w:t>
      </w:r>
      <w:r w:rsidRPr="005B4F50">
        <w:rPr>
          <w:rFonts w:ascii="Arial" w:hAnsi="Arial" w:cs="Arial"/>
          <w:sz w:val="20"/>
          <w:szCs w:val="20"/>
        </w:rPr>
        <w:t xml:space="preserve">c shows the average contact classification accuracy across cortical regions. Most regions had high classification accuracy. The only regions with chance or less than chance accuracy were in the hippocampus and amygdala. Correctly classified contacts showed significantly higher RMS and Cohen’s d than incorrectly classified (Figure </w:t>
      </w:r>
      <w:r w:rsidR="001F1761">
        <w:rPr>
          <w:rFonts w:ascii="Arial" w:hAnsi="Arial" w:cs="Arial"/>
          <w:sz w:val="20"/>
          <w:szCs w:val="20"/>
        </w:rPr>
        <w:t>5</w:t>
      </w:r>
      <w:r w:rsidRPr="005B4F50">
        <w:rPr>
          <w:rFonts w:ascii="Arial" w:hAnsi="Arial" w:cs="Arial"/>
          <w:sz w:val="20"/>
          <w:szCs w:val="20"/>
        </w:rPr>
        <w:t xml:space="preserve">d; mean ±SD, correct RMS 0.49 ±0.72, incorrect RMS 0.32 ±0.31, Wilcoxon rank sum, α = 0.05, p &lt; 0.0001; correct Cohen’s d 0.21 ±0.45, incorrect Cohen’s d 0.11 ±0.27, p &lt; 0.0001). Correctly classified contacts were also shown proportionately greater significance than incorrectly classified contacts for both RMS and Cohen’s d (Figure </w:t>
      </w:r>
      <w:r w:rsidR="001F1761">
        <w:rPr>
          <w:rFonts w:ascii="Arial" w:hAnsi="Arial" w:cs="Arial"/>
          <w:sz w:val="20"/>
          <w:szCs w:val="20"/>
        </w:rPr>
        <w:t>5</w:t>
      </w:r>
      <w:r w:rsidRPr="005B4F50">
        <w:rPr>
          <w:rFonts w:ascii="Arial" w:hAnsi="Arial" w:cs="Arial"/>
          <w:sz w:val="20"/>
          <w:szCs w:val="20"/>
        </w:rPr>
        <w:t>e; correct RMS 18.0%, incorrect RMS 9.27%; correct Cohen’s d 26.0%, incorrect Cohen’s d 18.5%). While this trend demonstrates that statistical significance may play a role in representing effective connectivity, the overall classification accuracy across contacts was substantially higher than the proportion of significant contacts across conditions (15.8% of contacts significant for RMS, 24.4% of contacts significant for Cohen’s d).</w:t>
      </w:r>
    </w:p>
    <w:p w14:paraId="01785B12" w14:textId="77777777" w:rsidR="00980C22" w:rsidRPr="005B4F50" w:rsidRDefault="00980C22" w:rsidP="00750445">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2A2B6D91" w:rsidR="00E6133D" w:rsidRPr="005B4F50" w:rsidRDefault="00474D11" w:rsidP="00750445">
      <w:pPr>
        <w:pBdr>
          <w:top w:val="nil"/>
          <w:left w:val="nil"/>
          <w:bottom w:val="nil"/>
          <w:right w:val="nil"/>
          <w:between w:val="nil"/>
        </w:pBdr>
        <w:contextualSpacing/>
        <w:rPr>
          <w:rFonts w:ascii="Arial" w:hAnsi="Arial" w:cs="Arial"/>
          <w:color w:val="000000"/>
          <w:sz w:val="20"/>
          <w:szCs w:val="20"/>
        </w:rPr>
      </w:pPr>
      <w:r w:rsidRPr="005B4F50">
        <w:rPr>
          <w:rFonts w:ascii="Arial" w:hAnsi="Arial" w:cs="Arial"/>
          <w:b/>
          <w:color w:val="000000"/>
          <w:sz w:val="20"/>
          <w:szCs w:val="20"/>
        </w:rPr>
        <w:t>Discussion</w:t>
      </w:r>
      <w:r w:rsidR="00E6133D" w:rsidRPr="005B4F50">
        <w:rPr>
          <w:rFonts w:ascii="Arial" w:hAnsi="Arial" w:cs="Arial"/>
          <w:b/>
          <w:color w:val="000000"/>
          <w:sz w:val="20"/>
          <w:szCs w:val="20"/>
        </w:rPr>
        <w:t xml:space="preserve"> </w:t>
      </w:r>
    </w:p>
    <w:p w14:paraId="2212F9A2" w14:textId="77777777" w:rsidR="00980C22" w:rsidRPr="005B4F50" w:rsidRDefault="00980C22" w:rsidP="00750445">
      <w:pPr>
        <w:pBdr>
          <w:top w:val="nil"/>
          <w:left w:val="nil"/>
          <w:bottom w:val="nil"/>
          <w:right w:val="nil"/>
          <w:between w:val="nil"/>
        </w:pBdr>
        <w:spacing w:after="0"/>
        <w:contextualSpacing/>
        <w:rPr>
          <w:rFonts w:ascii="Arial" w:hAnsi="Arial" w:cs="Arial"/>
          <w:color w:val="000000"/>
          <w:sz w:val="20"/>
          <w:szCs w:val="20"/>
        </w:rPr>
      </w:pPr>
    </w:p>
    <w:p w14:paraId="2A873713" w14:textId="7D8B19F6"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Our study presents a multi-modal effective connectivity profile of the human Cg modeled using invasive SPES of 15 resection-free human patients with refractory epilepsy. The present study provides direct evidence of the differential topographical organization of the ACC, MCC, and PCC effective networks. We demonstrate a clear spatial organization of these networks, specifically along an anterior-posterior axis, which mirrors anatomical organization. We also revealed the differential hierarchical organization of effective networks, as defined by CCEP morphology. Further, by extracting and comparing several statistical features of CCEPs, we confirm that effective connectivity is measurement-dependent and that conventional methods, </w:t>
      </w:r>
      <w:r w:rsidRPr="005B4F50">
        <w:rPr>
          <w:rFonts w:ascii="Arial" w:hAnsi="Arial" w:cs="Arial"/>
          <w:sz w:val="20"/>
          <w:szCs w:val="20"/>
        </w:rPr>
        <w:lastRenderedPageBreak/>
        <w:t xml:space="preserve">such as response magnitude, are not sufficient in fully characterizing effective networks or detecting connections to stimulated regions. </w:t>
      </w:r>
    </w:p>
    <w:p w14:paraId="7FFDBE05" w14:textId="4470A804"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We quantified effective connectivity with two complementary metrics: CCEP magnitude, which captures the strength of connection (and is widely used in the literature), and CCEP coherence, which measures the consistency of the evoked waveform to stimulation. While CCEP magnitude is a suitable measure for identifying responses based on the strength of connection, CCEP coherence serves as a measure of response waveform morphological consistency or heterogeneity. This measure is an alternative to isolating the most common components of evoked waveforms, which is critical to understanding highly specific interactions between regions, especially in hypothesis-preselected CCEP studies supported by basis profiling and canonical response parameterization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{"citationID":"AsvOKK1d","properties":{"formattedCitation":"(29, 32)","plainCitation":"(29, 32)","noteIndex":0},"citationItems":[{"id":3036,"uris":["http://zotero.org/users/7023408/items/CUSVQH4H"],"itemData":{"id":3036,"type":"article-journal","abstract":"Brain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(29, 32)</w:t>
      </w:r>
      <w:r w:rsidRPr="005B4F50">
        <w:rPr>
          <w:rFonts w:ascii="Arial" w:hAnsi="Arial" w:cs="Arial"/>
          <w:sz w:val="20"/>
          <w:szCs w:val="20"/>
        </w:rPr>
        <w:fldChar w:fldCharType="end"/>
      </w:r>
      <w:r w:rsidRPr="005B4F50">
        <w:rPr>
          <w:rFonts w:ascii="Arial" w:hAnsi="Arial" w:cs="Arial"/>
          <w:sz w:val="20"/>
          <w:szCs w:val="20"/>
        </w:rPr>
        <w:t xml:space="preserve">. We instead leverage this metric of coherence to represent the diversity of observed waveform morphology at sites effectively connected to the stimulated target, which better serves comparisons of whole-network profiles. If effective connectivity can be defined as the influence that one neuronal population exerts over another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{"citationID":"fwWEkCzf","properties":{"formattedCitation":"(23)","plainCitation":"(23)","noteIndex":0},"citationItems":[{"id":4269,"uris":["http://zotero.org/users/7023408/items/6IM4DBTS"],"itemData":{"id":4269,"type":"article-journal","abstract":"Over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Connectivity","DOI":"10.1089/brain.2011.0008","ISSN":"2158-0022","issue":"1","journalAbbreviation":"Brain Connect","language":"eng","note":"PMID: 22432952","page":"13-36","source":"PubMed","title":"Functional and effective connectivity: a review","title-short":"Functional and effective connectivity","volume":"1","author":[{"family":"Friston","given":"Karl J."}],"issued":{"date-parts":[["2011"]]},"citation-key":"fristonFunctionalEffectiveConnectivity2011"}}],"schema":"https://github.com/citation-style-language/schema/raw/master/csl-citation.json"}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(23)</w:t>
      </w:r>
      <w:r w:rsidRPr="005B4F50">
        <w:rPr>
          <w:rFonts w:ascii="Arial" w:hAnsi="Arial" w:cs="Arial"/>
          <w:sz w:val="20"/>
          <w:szCs w:val="20"/>
        </w:rPr>
        <w:fldChar w:fldCharType="end"/>
      </w:r>
      <w:r w:rsidRPr="005B4F50">
        <w:rPr>
          <w:rFonts w:ascii="Arial" w:hAnsi="Arial" w:cs="Arial"/>
          <w:sz w:val="20"/>
          <w:szCs w:val="20"/>
        </w:rPr>
        <w:t xml:space="preserve">, then the morphological changes in LFP following SPES provide insight into the function and physiological mechanisms related to how the stimulation site communicates with downstream regions. Thus, this measure represents the diversity of accessible signaling or communication between effectively connected regions. </w:t>
      </w:r>
    </w:p>
    <w:p w14:paraId="446FB05D" w14:textId="67102D36"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By implementing CCEP coherence as a measure of effective connectivity, we were able to detect changes not only in the magnitude of the LFP, but also in how uniformly that response’s morphology is reproduced across stimulation events. This measure’s utility was evident when defining effective connections from the Cg subregions to the hippocampus. We found that several hippocampal subregions showed significant effective connectivity when using CCEP coherence, but not when using CCEP magnitude. This result may reflect highly variable hippocampal activity (e.g., sharp-wave ripples), which prevent detectible quantitative changes in LFP magnitude after stimulation, or unique stimulation-induced changes in LFP morphology due to the geometric relationship between recording electrodes and the hippocampus’s curved anatomical structure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{"citationID":"qgKZ1Q4N","properties":{"formattedCitation":"(39, 40)","plainCitation":"(39, 40)","noteIndex":0},"citationItems":[{"id":4272,"uris":["http://zotero.org/users/7023408/items/S82L84GI"],"itemData":{"id":4272,"type":"article-journal","abstract":"Decades of rodent research have established the role of hippocampal sharp wave ripples (SPW-Rs) in consolidating and guiding experience. More recently, intracranial recordings in humans have suggested their role in episodic and semantic memory. Yet, common standards for recording, detection, and reporting do not exist. Here, we outline the methodological challenges involved in detecting ripple events and offer practical recommendations to improve separation from other high-frequency oscillations. We argue that shared experimental, detection, and reporting standards will provide a solid foundation for future translational discovery.","container-title":"Nature Communications","DOI":"10.1038/s41467-022-33536-x","ISSN":"2041-1723","issue":"1","journalAbbreviation":"Nat Commun","language":"en","license":"2022 The Author(s)","page":"6000","source":"www.nature.com","title":"A consensus statement on detection of hippocampal sharp wave ripples and differentiation from other fast oscillations","volume":"13","author":[{"family":"Liu","given":"Anli A."},{"family":"Henin","given":"Simon"},{"family":"Abbaspoor","given":"Saman"},{"family":"Bragin","given":"Anatol"},{"family":"Buffalo","given":"Elizabeth A."},{"family":"Farrell","given":"Jordan S."},{"family":"Foster","given":"David J."},{"family":"Frank","given":"Loren M."},{"family":"Gedankien","given":"Tamara"},{"family":"Gotman","given":"Jean"},{"family":"Guidera","given":"Jennifer A."},{"family":"Hoffman","given":"Kari L."},{"family":"Jacobs","given":"Joshua"},{"family":"Kahana","given":"Michael J."},{"family":"Li","given":"Lin"},{"family":"Liao","given":"Zhenrui"},{"family":"Lin","given":"Jack J."},{"family":"Losonczy","given":"Attila"},{"family":"Malach","given":"Rafael"},{"family":"Meer","given":"Matthijs A.","non-dropping-particle":"van der"},{"family":"McClain","given":"Kathryn"},{"family":"McNaughton","given":"Bruce L."},{"family":"Norman","given":"Yitzhak"},{"family":"Navas-Olive","given":"Andrea"},{"family":"Prida","given":"Liset M.","non-dropping-particle":"de la"},{"family":"Rueckemann","given":"Jon W."},{"family":"Sakon","given":"John J."},{"family":"Skelin","given":"Ivan"},{"family":"Soltesz","given":"Ivan"},{"family":"Staresina","given":"Bernhard P."},{"family":"Weiss","given":"Shennan A."},{"family":"Wilson","given":"Matthew A."},{"family":"Zaghloul","given":"Kareem A."},{"family":"Zugaro","given":"Michaël"},{"family":"Buzsáki","given":"György"}],"issued":{"date-parts":[["2022",10,12]]},"citation-key":"liuConsensusStatementDetection2022"}},{"id":4273,"uris":["http://zotero.org/users/7023408/items/6RYDX8Z8"],"itemData":{"id":4273,"type":"article-journal","abstract":"Understanding and discriminating the normal and abnormal elements of the intracranial electroencephalogram (iEEG) is essential in decision-making for epilepsy surgery. The hippocampus is widely acknowledged as a key structure in decision-making processes for surgical treatment in temporal lobe epilepsy and epilepsies that involve the mesial temporal structures. This review will provide a summary of the current state of our knowledge and understanding regarding normal and abnormal features of the iEEG of the human hippocampus.","container-title":"Neurosurgery Clinics of North America","DOI":"10.1016/j.nec.2023.08.004","ISSN":"1558-1349","issue":"1","journalAbbreviation":"Neurosurg Clin N Am","language":"eng","note":"PMID: 38000843","page":"73-82","source":"PubMed","title":"Interpretation of the Intracranial Electroencephalogram of the Human Hippocampus","volume":"35","author":[{"family":"Kokkinos","given":"Vasileios"}],"issued":{"date-parts":[["2024",1]]},"citation-key":"kokkinosInterpretationIntracranialElectroencephalogram2024"}}],"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(39, 40)</w:t>
      </w:r>
      <w:r w:rsidRPr="005B4F50">
        <w:rPr>
          <w:rFonts w:ascii="Arial" w:hAnsi="Arial" w:cs="Arial"/>
          <w:sz w:val="20"/>
          <w:szCs w:val="20"/>
        </w:rPr>
        <w:fldChar w:fldCharType="end"/>
      </w:r>
      <w:r w:rsidRPr="005B4F50">
        <w:rPr>
          <w:rFonts w:ascii="Arial" w:hAnsi="Arial" w:cs="Arial"/>
          <w:sz w:val="20"/>
          <w:szCs w:val="20"/>
        </w:rPr>
        <w:t>. This indicates that while the magnitude of the LFP after stimulation was not statistically different from pre-stimulation, changes in CCEP morphological characteristics were detectable through our CCEP coherence metric.</w:t>
      </w:r>
    </w:p>
    <w:p w14:paraId="0BCDC4DE" w14:textId="24727BD3"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Our models of Cg effective connectivity showed widespread connections with prominent responses in areas coinciding with previous literature. The ACC showed predominant connections to orbito-frontal, frontal, mesial temporal, temporal, and insular structures, reproducing previous stimulation studies and supporting functional and anatomical literature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{"citationID":"KHn5HioZ","properties":{"formattedCitation":"(4, 41)","plainCitation":"(4, 41)","noteIndex":0},"citationItems":[{"id":3364,"uris":["http://zotero.org/users/7023408/items/S35QUQE3"],"itemData":{"id":3364,"type":"article-journal","abstract":"The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(4, 41)</w:t>
      </w:r>
      <w:r w:rsidRPr="005B4F50">
        <w:rPr>
          <w:rFonts w:ascii="Arial" w:hAnsi="Arial" w:cs="Arial"/>
          <w:sz w:val="20"/>
          <w:szCs w:val="20"/>
        </w:rPr>
        <w:fldChar w:fldCharType="end"/>
      </w:r>
      <w:r w:rsidRPr="005B4F50">
        <w:rPr>
          <w:rFonts w:ascii="Arial" w:hAnsi="Arial" w:cs="Arial"/>
          <w:sz w:val="20"/>
          <w:szCs w:val="20"/>
        </w:rPr>
        <w:t xml:space="preserve">. Interestingly, of all three stimulation conditions, the ACC was the only subregion to show significant connections to the superior temporal gyrus, possibly reflecting the ACC’s top-down attentional and conflict-monitoring modulation of auditory and language processing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{"citationID":"QlFzWwpg","properties":{"formattedCitation":"(42, 43)","plainCitation":"(42, 43)","noteIndex":0},"citationItems":[{"id":4283,"uris":["http://zotero.org/users/7023408/items/VB63KAP3"],"itemData":{"id":4283,"type":"article-journal","abstract":"It has been hypothesized that the anterior cingulate cortex (ACC) contributes to cognition by detecting conflicts that might occur during information processing, to signal the need to engage top-down attentional processes. The present study was designed to investigate which levels of processing are being monitored by the ACC for the presence of conflict. Event-related fMRI was used to measure the response of the ACC during an interference task in which distracting information could be congruent, conflicting at the level of stimulus identification, or conflicting at the response level. Although both types of conflict caused reaction time interference, the fMRI data showed that the ACC is responsive only to response conflict, even when controlling for reaction times. These results suggest a highly specific contribution of the ACC to executive functions, through the detection of conflicts occurring at later or response-related levels of processing.","container-title":"NeuroImage","DOI":"10.1006/nimg.2001.0923","ISSN":"1053-8119","issue":"6","journalAbbreviation":"Neuroimage","language":"eng","note":"PMID: 11707086","page":"1302-1308","source":"PubMed","title":"Anterior cingulate cortex, conflict monitoring, and levels of processing","volume":"14","author":[{"family":"Veen","given":"V.","non-dropping-particle":"van"},{"family":"Cohen","given":"J. D."},{"family":"Botvinick","given":"M. M."},{"family":"Stenger","given":"V. A."},{"family":"Carter","given":"C. S."}],"issued":{"date-parts":[["2001",12]]},"citation-key":"vanveenAnteriorCingulateCortex2001"}},{"id":4284,"uris":["http://zotero.org/users/7023408/items/WC7HJ5HG"],"itemData":{"id":4284,"type":"article-journal","abstract":"We often exert greater cognitive resources (i.e., listening effort) to understand speech under challenging acoustic conditions. This mechanism can be overwhelmed in those with hearing loss, resulting in cognitive fatigue in adults, and potentially impeding language acquisition in children. However, the neural mechanisms that support listening effort are uncertain. Evidence from human studies suggest that the cingulate cortex is engaged under difficult listening conditions, and may exert top-down modulation of the auditory cortex (AC). Here, we asked whether the gerbil cingulate cortex (Cg) sends anatomical projections to the AC that facilitate perceptual performance. To model challenging listening conditions, we used a sound discrimination task in which stimulus parameters were presented in either 'Easy' or 'Hard' blocks (i.e., long or short stimulus duration, respectively). Gerbils achieved statistically identical psychometric performance in Easy and Hard blocks. Anatomical tracing experiments revealed a strong, descending projection from layer 2/3 of the Cg1 subregion of the cingulate cortex to superficial and deep layers of primary and dorsal AC. To determine whether Cg improves task performance under challenging conditions, we bilaterally infused muscimol to inactivate Cg1, and found that psychometric thresholds were degraded for only Hard blocks. To test whether the Cg-to-AC projection facilitates task performance, we chemogenetically inactivated these inputs and found that performance was only degraded during Hard blocks. Taken together, the results reveal a descending cortical pathway that facilitates perceptual performance during challenging listening conditions.\nSIGNIFICANCE STATEMENT: Sensory perception often occurs under challenging conditions, such a noisy background or dim environment, yet stimulus sensitivity can remain unaffected. One hypothesis is that cognitive resources are recruited to the task, thereby facilitating perceptual performance. Here, we identify a top-down cortical circuit, from cingulate to auditory cortex in the gerbils, that supports auditory perceptual performance under challenging listening conditions. This pathway is a plausible circuit that supports effortful listening, and may be degraded by hearing loss.","container-title":"bioRxiv: The Preprint Server for Biology","DOI":"10.1101/2023.11.10.566668","ISSN":"2692-8205","journalAbbreviation":"bioRxiv","language":"eng","note":"PMID: 38014324\nPMCID: PMC10680599","page":"2023.11.10.566668","source":"PubMed","title":"Cingulate cortex facilitates auditory perception under challenging listening conditions","author":[{"family":"Anbuhl","given":"Kelsey L."},{"family":"Diez Castro","given":"Marielisa"},{"family":"Lee","given":"Nikki A."},{"family":"Lee","given":"Vivian S."},{"family":"Sanes","given":"Dan H."}],"issued":{"date-parts":[["2023",11,14]]},"citation-key":"anbuhlCingulateCortexFacilitates2023"}}],"schema":"https://github.com/citation-style-language/schema/raw/master/csl-citation.json"}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(42, 43)</w:t>
      </w:r>
      <w:r w:rsidRPr="005B4F50">
        <w:rPr>
          <w:rFonts w:ascii="Arial" w:hAnsi="Arial" w:cs="Arial"/>
          <w:sz w:val="20"/>
          <w:szCs w:val="20"/>
        </w:rPr>
        <w:fldChar w:fldCharType="end"/>
      </w:r>
      <w:r w:rsidRPr="005B4F50">
        <w:rPr>
          <w:rFonts w:ascii="Arial" w:hAnsi="Arial" w:cs="Arial"/>
          <w:sz w:val="20"/>
          <w:szCs w:val="20"/>
        </w:rPr>
        <w:t xml:space="preserve">. While functional and anatomical links between these two regions have been noted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{"citationID":"IfhPuOIE","properties":{"formattedCitation":"(4, 44, 45)","plainCitation":"(4, 44, 45)","noteIndex":0},"citationItems":[{"id":3368,"uris":["http://zotero.org/users/7023408/items/9NJXW7ZV"],"itemData":{"id":3368,"type":"article-journal","abstract":"Summary: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Connectivity"}},{"id":4281,"uris":["http://zotero.org/users/7023408/items/E36PW4XZ"],"itemData":{"id":4281,"type":"article-journal","abstract":"Patients with later-life depression (LLD) show abnormal gray matter (GM) volume, white matter (WM) integrity and functional connectivity in the anterior cingulate cortex (ACC) and posterior superior temporal gyrus (pSTG), but it remains unclear whether these abnormalities persist over time. We examined whether structural and functional abnormalities in these two regions are present within the same subjects during depressed vs. remitted phases. Sixteen patients with LLD and 30 healthy subjects were studied over a period of 1.5 years. Brain images obtained with a 3-Tesla magnetic resonance imaging (MRI) system were analyzed by voxel-based morphometry of the GM volume, and diffusion tensor imaging (DTI) and resting-state functional MRI were used to assess ACC-pSTG connectivity. Patients with LLD in the depressed and remitted phases showed significantly smaller GM volume in the left ACC and left pSTG than healthy subjects. Both patients with LLD in the depressed and remitted phases had significantly higher diffusivities in the WM tract of the left ACC-pSTG than healthy subjects. Remitted patients with LLD showed lower functional ACC-pSTG connectivity compared to healthy subjects. No difference was found in the two regions between depressed and remitted patients in GM volume, structural or functional connectivity. Functional ACC-pSTG connectivity was positively correlated with lower global function during remission. Our preliminary data show that structural and functional abnormalities of the ACC and pSTG occur during LLD remission. Our findings tentatively reveal the brain pathophysiology involved in LLD and may aid in developing neuroanatomical biomarkers for this condition.","container-title":"Frontiers in Aging Neuroscience","DOI":"10.3389/fnagi.2018.00031","ISSN":"1663-4365","journalAbbreviation":"Front Aging Neurosci","language":"eng","note":"PMID: 29472854\nPMCID: PMC5809471","page":"31","source":"PubMed","title":"Altered Connectivity of the Anterior Cingulate and the Posterior Superior Temporal Gyrus in a Longitudinal Study of Later-life Depression","volume":"10","author":[{"family":"Harada","given":"Kenichiro"},{"family":"Ikuta","given":"Toshikazu"},{"family":"Nakashima","given":"Mami"},{"family":"Watanuki","given":"Toshio"},{"family":"Hirotsu","given":"Masako"},{"family":"Matsubara","given":"Toshio"},{"family":"Yamagata","given":"Hirotaka"},{"family":"Watanabe","given":"Yoshifumi"},{"family":"Matsuo","given":"Koji"}],"issued":{"date-parts":[["2018"]]},"citation-key":"haradaAlteredConnectivityAnterior2018"}},{"id":4282,"uris":["http://zotero.org/users/7023408/items/A2MSDMFA"],"itemData":{"id":4282,"type":"article-journal","abstract":"Objective\nCorrelation of white matter microstructure with various cognitive processing tasks and with overall intelligence has been previously demonstrated. We investigate the correlation of white matter microstructure with various higher-order auditory processing tasks, including interpretation of speech-in-noise, recognition of low-pass frequency filtered words, and interpretation of time-compressed sentences at two different values of compression. These tests are typically used to diagnose auditory processing disorder (APD) in children. Our hypothesis is that correlations between white matter microstructure in tracts connecting the temporal, frontal, and parietal lobes, as well as callosal pathways, will be seen. Previous functional imaging studies have shown correlations between activation in temporal, frontal and parietal regions from higher-order auditory processing tasks. Additionally, we hypothesize that the regions displaying correlations will vary according to the task, as each task uses a different set of skills.\n\nDesign\nDiffusion tensor imaging (DTI) data was acquired in a cohort of 17 normal-hearing children ages 9-11. Fractional anisotropy (FA), a measure of white matter fiber tract integrity and organization was computed and correlated on a voxelwise basis with performance on the auditory processing tasks, controlling for age, sex, and full-scale IQ.\n\nResults\nDivergent correlations of white matter FA depending on the particular auditory processing task were found. Positive correlations were found between FA and speech-in-noise in white matter adjoining prefrontal areas, and between FA and filtered words in the corpus callosum. Regions exhibiting correlations with time-compressed sentences varied depending on the degree of compression: the greater degree of compression (with the greatest difficulty) resulted in correlations in white matter adjoining prefrontal (dorsal and ventral) while the smaller degree of compression (with less difficulty) resulted in correlations in white matter adjoining audio-visual association areas and the posterior cingulate. Only the time-compressed sentences with the lowest degree of compression resulted in positive correlations in the centrum semiovale; all the other tasks resulted in negative correlations.\n\nConclusion\nThe dependence of performance on higher-order auditory processing tasks on brain anatomical connectivity was seen in normal-hearing children ages 9-11. Results support a previously hypothesized dual-stream (dorsal and ventral) model of auditory processing, and that higher-order processing tasks rely less on the dorsal stream related to articulatory networks, and more on the ventral stream related to semantic comprehension. Results also show that the regions correlating with auditory processing vary according to the specific task, indicating that the neurological bases for the various tests used to diagnose APD in children may be partially independent.","container-title":"Ear and hearing","DOI":"10.1097/AUD.0b013e3181f7a481","ISSN":"0196-0202","issue":"2","journalAbbreviation":"Ear Hear","note":"PMID: 21063207\nPMCID: PMC3057932","page":"156-167","source":"PubMed Central","title":"Diffusion tensor imaging reveals white matter microstructure correlations with auditory processing ability","volume":"32","author":[{"family":"Schmithorst","given":"Vincent J."},{"family":"Holland","given":"Scott K."},{"family":"Plante","given":"Elena"}],"issued":{"date-parts":[["2011"]]},"citation-key":"schmithorstDiffusionTensorImaging2011"}}],"schema":"https://github.com/citation-style-language/schema/raw/master/csl-citation.json"}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(4, 44, 45)</w:t>
      </w:r>
      <w:r w:rsidRPr="005B4F50">
        <w:rPr>
          <w:rFonts w:ascii="Arial" w:hAnsi="Arial" w:cs="Arial"/>
          <w:sz w:val="20"/>
          <w:szCs w:val="20"/>
        </w:rPr>
        <w:fldChar w:fldCharType="end"/>
      </w:r>
      <w:r w:rsidRPr="005B4F50">
        <w:rPr>
          <w:rFonts w:ascii="Arial" w:hAnsi="Arial" w:cs="Arial"/>
          <w:sz w:val="20"/>
          <w:szCs w:val="20"/>
        </w:rPr>
        <w:t xml:space="preserve">, to our knowledge, the physiology and role of this effective connection have yet to be studied. The MCC’s predominant connections to frontal, </w:t>
      </w:r>
      <w:proofErr w:type="spellStart"/>
      <w:r w:rsidRPr="005B4F50">
        <w:rPr>
          <w:rFonts w:ascii="Arial" w:hAnsi="Arial" w:cs="Arial"/>
          <w:sz w:val="20"/>
          <w:szCs w:val="20"/>
        </w:rPr>
        <w:t>somato</w:t>
      </w:r>
      <w:proofErr w:type="spellEnd"/>
      <w:r w:rsidRPr="005B4F50">
        <w:rPr>
          <w:rFonts w:ascii="Arial" w:hAnsi="Arial" w:cs="Arial"/>
          <w:sz w:val="20"/>
          <w:szCs w:val="20"/>
        </w:rPr>
        <w:t xml:space="preserve">-motor, insular, and mesial temporal structures, and the PCC’s connections to frontal, parietal, insular, and mesial temporal structures also support previous findings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{"citationID":"tjErRbWZ","properties":{"formattedCitation":"(4, 41)","plainCitation":"(4, 41)","noteIndex":0},"citationItems":[{"id":3364,"uris":["http://zotero.org/users/7023408/items/S35QUQE3"],"itemData":{"id":3364,"type":"article-journal","abstract":"The cingulate cortex is part of the limbic system. Its function and connectivity are organized in a rostro-caudal and ventral-dorsal manner which was addressed by various other studies using rather coarse cortical parcellations. In this study, we aim at describing its function and connectivity using invasive recordings from patients explored for focal drug-resistant epilepsy. We included patients that underwent stereo-electroencephalographic recordings using intracranial electrodes in the University Emergency Hospital Bucharest between 2012 and 2019. We reviewed all high frequency stimulations (50 ​Hz) performed for functional mapping of the cingulate cortex. We used two methods to characterize brain connectivity. Effective connectivity was inferred based on the analysis of cortico-cortical potentials (CCEPs) evoked by single pulse electrical stimulation (SPES) (15 ​s inter-pulse interval). Functional connectivity was estimated using the non-linear regression method applied to 60 ​s spontaneous electrical brain signal intervals. The effective (stimulation-evoked) and functional (non-evoked) connectivity analyses highlight brain networks in a different way. While non-evoked connectivity evidences areas having related activity, often in close proximity to each other, evoked connectivity highlights spatially extended networks. To highlight in a comprehensive way the cingulate cortex’s network, we have performed a bi-modal connectivity analysis that combines the resting-state broadband h2 non-linear correlation with cortico-cortical evoked potentials. We co-registered the patient’s anatomy with the fsaverage FreeSurfer template to perform the automatic labeling based on HCP-MMP parcellation. At a group level, connectivity was estimated by averaging responses over stimulated/recorded or recorded sites in each pair of parcels. Finally, for multiple regions that evoked a clinical response during high frequency stimulation, we combined the connectivity of individual pairs using maximum intensity projection. Connectivity was assessed by applying SPES on 2094 contact pairs and recording CCEPs on 3580 contacts out of 8582 contacts of 660 electrodes implanted in 47 patients. Clinical responses elicited by high frequency stimulations in 107 sites (pairs of contacts) located in the cingulate cortex were divided in 10 groups: affective, motor behavior, motor elementary, versive, speech, vestibular, autonomic, somatosensory, visual and changes in body perception. Anterior cingulate cortex was shown to be connected to the mesial temporal, orbitofrontal and prefrontal cortex. In the middle cingulate cortex, we located affective, motor behavior in the anterior region, and elementary motor and somatosensory in the posterior part. This region is connected to the prefrontal, premotor and primary motor network. Finally, the posterior cingulate was shown to be connected with the visual areas, mesial and lateral parietal and temporal cortex.","container-title":"NeuroImage","DOI":"10.1016/j.neuroimage.2020.117059","ISSN":"1053-8119","journalAbbreviation":"NeuroImage","language":"en","page":"117059","source":"ScienceDirect","title":"Cingulate cortex function and multi-modal connectivity mapped using intracranial stimulation","volume":"220","author":[{"family":"Oane","given":"Irina"},{"family":"Barborica","given":"Andrei"},{"family":"Chetan","given":"Filip"},{"family":"Donos","given":"Cristian"},{"family":"Maliia","given":"Mihai Dragos"},{"family":"Arbune","given":"Anca Adriana"},{"family":"Daneasa","given":"Andrei"},{"family":"Pistol","given":"Constantin"},{"family":"Nica","given":"Adriana Elena"},{"family":"Bajenaru","given":"Ovidiu Alexandru"},{"family":"Mindruta","given":"Ioana"}],"issued":{"date-parts":[["2020",10,15]]},"citation-key":"oaneCingulateCortexFunction2020"}},{"id":3368,"uris":["http://zotero.org/users/7023408/items/9NJXW7ZV"],"itemData":{"id":3368,"type":"article-journal","abstract":"Summary: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(4, 41)</w:t>
      </w:r>
      <w:r w:rsidRPr="005B4F50">
        <w:rPr>
          <w:rFonts w:ascii="Arial" w:hAnsi="Arial" w:cs="Arial"/>
          <w:sz w:val="20"/>
          <w:szCs w:val="20"/>
        </w:rPr>
        <w:fldChar w:fldCharType="end"/>
      </w:r>
      <w:r w:rsidRPr="005B4F50">
        <w:rPr>
          <w:rFonts w:ascii="Arial" w:hAnsi="Arial" w:cs="Arial"/>
          <w:sz w:val="20"/>
          <w:szCs w:val="20"/>
        </w:rPr>
        <w:t>.</w:t>
      </w:r>
    </w:p>
    <w:p w14:paraId="70062D65" w14:textId="03D4401C"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We were able to profile the relative connectivity of each cortical region to each of the Cg subregions. Through this analysis, we found that the middle-frontal gyrus, the triangular part of the inferior frontal gyrus, and the gyrus rectus exhibited near-equivalent effective connectivity with all three CC subregions. This was true for both of our effective connectivity measures, meaning that the observed CCEPs in these regions had near-equal magnitude (directional connectivity) and coherence (morphological diversity)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{"citationID":"j9LsMwXm","properties":{"formattedCitation":"(28)","plainCitation":"(28)","noteIndex":0},"citationItems":[{"id":4268,"uris":["http://zotero.org/users/7023408/items/ZAVRVS7A"],"itemData":{"id":4268,"type":"article-journal","abstract":"Background\nCortico-cortical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(28)</w:t>
      </w:r>
      <w:r w:rsidRPr="005B4F50">
        <w:rPr>
          <w:rFonts w:ascii="Arial" w:hAnsi="Arial" w:cs="Arial"/>
          <w:sz w:val="20"/>
          <w:szCs w:val="20"/>
        </w:rPr>
        <w:fldChar w:fldCharType="end"/>
      </w:r>
      <w:r w:rsidRPr="005B4F50">
        <w:rPr>
          <w:rFonts w:ascii="Arial" w:hAnsi="Arial" w:cs="Arial"/>
          <w:sz w:val="20"/>
          <w:szCs w:val="20"/>
        </w:rPr>
        <w:t xml:space="preserve">. This finding reveals the existence of Cg “hubs,” or regions with effective overlap between all three Cg subregions. Specifically, the highly similar nature of connective input from each cingulate subregion to these regions (in both magnitude and </w:t>
      </w:r>
      <w:r w:rsidRPr="005B4F50">
        <w:rPr>
          <w:rFonts w:ascii="Arial" w:hAnsi="Arial" w:cs="Arial"/>
          <w:sz w:val="20"/>
          <w:szCs w:val="20"/>
        </w:rPr>
        <w:lastRenderedPageBreak/>
        <w:t>morphological diversity) suggests these regions may play a similar computational or functional role in all three Cg effective networks.</w:t>
      </w:r>
    </w:p>
    <w:p w14:paraId="38087719" w14:textId="750AEBD0"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While current evidence cannot provide a concrete mechanistic explanation for why these regions share common effective connectivity with all three cingulate subregions, existing literature points towards potential explanations and future directions. For example, the middle frontal gyrus (nomenclature used in the anatomical parcellation for this study, commonly referred to as the </w:t>
      </w:r>
      <w:proofErr w:type="spellStart"/>
      <w:r w:rsidRPr="005B4F50">
        <w:rPr>
          <w:rFonts w:ascii="Arial" w:hAnsi="Arial" w:cs="Arial"/>
          <w:sz w:val="20"/>
          <w:szCs w:val="20"/>
        </w:rPr>
        <w:t>dlPFC</w:t>
      </w:r>
      <w:proofErr w:type="spellEnd"/>
      <w:r w:rsidRPr="005B4F50">
        <w:rPr>
          <w:rFonts w:ascii="Arial" w:hAnsi="Arial" w:cs="Arial"/>
          <w:sz w:val="20"/>
          <w:szCs w:val="20"/>
        </w:rPr>
        <w:t xml:space="preserve">) is functionally coupled with the ACC in cognitive control tasks as part of the executive control circuit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{"citationID":"7iVvkn1b","properties":{"formattedCitation":"(46)","plainCitation":"(46)","noteIndex":0},"citationItems":[{"id":4275,"uris":["http://zotero.org/users/7023408/items/AY9GR95T"],"itemData":{"id":4275,"type":"article-journal","abstract":"Dorsal anterior cingulate cortex (dACC) is composed of functionally distinct subregions that may contribute to the top-down control of response selection and preparation. Multiple motor areas have been identified in dACC, including an anterior zone implicated in conflict monitoring and a caudal zone involved in movement execution. This study tested the involvement of a third cingulate area, the posterior zone of dACC, in the top-down control of response selection and preparation. Sixteen healthy young adults were scanned with event-related functional magnetic resonance imaging while performing a cued go/no-go task that was designed to minimize response conflicts. The activation and functional connectivity of dACC were tested with standard convolution models and psychophysiological interaction analyses, respectively. Ready cues that informed the direction of the impending response triggered preparatory neural activity in the posterior zone of dACC and strengthened functional connectivity with the anterior and caudal zones of dACC, as well as perigenual anterior cingulate cortex, frontal operculum, dorsolateral prefrontal cortex, sensory association cortices, and extra-pyramidal motor areas. The preparatory cues activated dACC above and beyond the general arousing effects common to cues despite negligible conflict in the go/no-go task. The integration of cognitive, sensorimotor, and incentive signals in dACC places the region in an ideal position to select and prepare appropriate behavioral responses to achieve higher-level goals.","container-title":"NeuroImage","DOI":"10.1016/j.neuroimage.2011.04.023","ISSN":"1053-8119","issue":"1","journalAbbreviation":"Neuroimage","note":"PMID: 21515388\nPMCID: PMC3101271","page":"242-250","source":"PubMed Central","title":"Preparatory Activity and Connectivity in Dorsal Anterior Cingulate Cortex for Cognitive Control","volume":"57","author":[{"family":"Schulz","given":"Kurt P."},{"family":"Bédard","given":"Anne-Claude V."},{"family":"Czarnecki","given":"Rosa"},{"family":"Fan","given":"Jin"}],"issued":{"date-parts":[["2011",7,1]]},"citation-key":"schulzPreparatoryActivityConnectivity2011"}}],"schema":"https://github.com/citation-style-language/schema/raw/master/csl-citation.json"}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(46)</w:t>
      </w:r>
      <w:r w:rsidRPr="005B4F50">
        <w:rPr>
          <w:rFonts w:ascii="Arial" w:hAnsi="Arial" w:cs="Arial"/>
          <w:sz w:val="20"/>
          <w:szCs w:val="20"/>
        </w:rPr>
        <w:fldChar w:fldCharType="end"/>
      </w:r>
      <w:r w:rsidRPr="005B4F50">
        <w:rPr>
          <w:rFonts w:ascii="Arial" w:hAnsi="Arial" w:cs="Arial"/>
          <w:sz w:val="20"/>
          <w:szCs w:val="20"/>
        </w:rPr>
        <w:t xml:space="preserve">, implicated in MCC function such as task anticipation and feedback mediated decision making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{"citationID":"1BOstraw","properties":{"formattedCitation":"(18)","plainCitation":"(18)","noteIndex":0},"citationItems":[{"id":3640,"uris":["http://zotero.org/users/7023408/items/IA9TP3UA"],"itemData":{"id":3640,"type":"article-journal","abstract":"Midcingulate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(18)</w:t>
      </w:r>
      <w:r w:rsidRPr="005B4F50">
        <w:rPr>
          <w:rFonts w:ascii="Arial" w:hAnsi="Arial" w:cs="Arial"/>
          <w:sz w:val="20"/>
          <w:szCs w:val="20"/>
        </w:rPr>
        <w:fldChar w:fldCharType="end"/>
      </w:r>
      <w:r w:rsidRPr="005B4F50">
        <w:rPr>
          <w:rFonts w:ascii="Arial" w:hAnsi="Arial" w:cs="Arial"/>
          <w:sz w:val="20"/>
          <w:szCs w:val="20"/>
        </w:rPr>
        <w:t xml:space="preserve">, and co-activates with the PCC and precuneus as part of frontoparietal default mode regions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{"citationID":"gJXs28AA","properties":{"formattedCitation":"(47)","plainCitation":"(47)","noteIndex":0},"citationItems":[{"id":4276,"uris":["http://zotero.org/users/7023408/items/6T6X7FML"],"itemData":{"id":4276,"type":"article-journal","abstract":"Tasks that demand externalized attention reliably suppress default network activity while activating the dorsal attention network. These networks have an intrinsic competitive relationship; activation of one suppresses activity of the other. Consequently, many assume that default network activity is suppressed during goal-directed cognition. We challenge this assumption in an fMRI study of planning. Recent studies link default network activity with internally focused cognition, such as imagining personal future events, suggesting a role in autobiographical planning. However, it is unclear how goal-directed cognition with an internal focus is mediated by these opposing networks. A third anatomically interposed ‘frontoparietal control network’ might mediate planning across domains, flexibly coupling with either the default or dorsal attention network in support of internally versus externally focused goal-directed cognition, respectively. We tested this hypothesis by comparing brain activity during autobiographical versus visuospatial planning. Autobiographical planning engaged the default network, whereas visuospatial planning engaged the dorsal attention network, consistent with the anti-correlated domains of internalized and externalized cognition. Critically, both planning tasks engaged the frontoparietal control network. Task-related activation of these three networks was anatomically consistent with independently defined resting-state functional connectivity MRI maps. Together, our findings suggest that the default network can be involved in goal-directed cognition when its activity is coupled with the frontoparietal control network. Additionally, the frontoparietal control network may flexibly couple with the default and dorsal attention networks according to task domain, serving as a cortical mediator linking the two networks in support of goal-directed cognitive processes.","container-title":"NeuroImage","DOI":"10.1016/j.neuroimage.2010.06.016","ISSN":"1053-8119","issue":"1","journalAbbreviation":"Neuroimage","note":"PMID: 20600998\nPMCID: PMC2914129","page":"303-317","source":"PubMed Central","title":"Default network activity, coupled with the frontoparietal control network, supports goal-directed cognition","volume":"53","author":[{"family":"Spreng","given":"R. Nathan"},{"family":"Stevens","given":"W. Dale"},{"family":"Chamberlain","given":"Jon P."},{"family":"Gilmore","given":"Adrian W."},{"family":"Schacter","given":"Daniel L."}],"issued":{"date-parts":[["2010",10,15]]},"citation-key":"sprengDefaultNetworkActivity2010"}}],"schema":"https://github.com/citation-style-language/schema/raw/master/csl-citation.json"}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(47)</w:t>
      </w:r>
      <w:r w:rsidRPr="005B4F50">
        <w:rPr>
          <w:rFonts w:ascii="Arial" w:hAnsi="Arial" w:cs="Arial"/>
          <w:sz w:val="20"/>
          <w:szCs w:val="20"/>
        </w:rPr>
        <w:fldChar w:fldCharType="end"/>
      </w:r>
      <w:r w:rsidRPr="005B4F50">
        <w:rPr>
          <w:rFonts w:ascii="Arial" w:hAnsi="Arial" w:cs="Arial"/>
          <w:sz w:val="20"/>
          <w:szCs w:val="20"/>
        </w:rPr>
        <w:t xml:space="preserve">. However, it is unknown as to whether this overlap is due to region-specific domain-general computations that are inherently required by all three Cg networks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{"citationID":"zOrDd6pG","properties":{"formattedCitation":"(48)","plainCitation":"(48)","noteIndex":0},"citationItems":[{"id":4277,"uris":["http://zotero.org/users/7023408/items/VR52W8VX"],"itemData":{"id":4277,"type":"article-journal","abstract":"Numerous brain imaging studies identified a domain-general or \"multiple-demand\" (MD) activation pattern accompanying many tasks and may play a core role in cognitive control. Though this finding is well established, the limited spatial localization provided by traditional imaging methods precluded a consensus regarding the precise anatomy, functional differentiation, and connectivity of the MD system. To address these limitations, we used data from 449 subjects from the Human Connectome Project, with the cortex of each individual parcellated using neurobiologically grounded multimodal MRI features. The conjunction of three cognitive contrasts reveals a core of 10 widely distributed MD parcels per hemisphere that are most strongly activated and functionally interconnected, surrounded by a penumbra of 17 additional areas. Outside cerebral cortex, MD activation is most prominent in the caudate and cerebellum. Comparison with canonical resting-state networks shows MD regions concentrated in the fronto-parietal network but also engaging three other networks. MD activations show modest relative task preferences accompanying strong co-recruitment. With distributed anatomical organization, mosaic functional preferences, and strong interconnectivity, we suggest MD regions are well positioned to integrate and assemble the diverse components of cognitive operations. Our precise delineation of MD regions provides a basis for refined analyses of their functions.","container-title":"Cerebral Cortex (New York, N.Y.: 1991)","DOI":"10.1093/cercor/bhaa023","ISSN":"1460-2199","issue":"8","journalAbbreviation":"Cereb Cortex","language":"eng","note":"PMID: 32244253\nPMCID: PMC7325801","page":"4361-4380","source":"PubMed","title":"A Domain-General Cognitive Core Defined in Multimodally Parcellated Human Cortex","volume":"30","author":[{"family":"Assem","given":"Moataz"},{"family":"Glasser","given":"Matthew F."},{"family":"Van Essen","given":"David C."},{"family":"Duncan","given":"John"}],"issued":{"date-parts":[["2020",6,30]]},"citation-key":"assemDomainGeneralCognitiveCore2020"}}],"schema":"https://github.com/citation-style-language/schema/raw/master/csl-citation.json"}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(48)</w:t>
      </w:r>
      <w:r w:rsidRPr="005B4F50">
        <w:rPr>
          <w:rFonts w:ascii="Arial" w:hAnsi="Arial" w:cs="Arial"/>
          <w:sz w:val="20"/>
          <w:szCs w:val="20"/>
        </w:rPr>
        <w:fldChar w:fldCharType="end"/>
      </w:r>
      <w:r w:rsidRPr="005B4F50">
        <w:rPr>
          <w:rFonts w:ascii="Arial" w:hAnsi="Arial" w:cs="Arial"/>
          <w:sz w:val="20"/>
          <w:szCs w:val="20"/>
        </w:rPr>
        <w:t xml:space="preserve">, or whether there is a coordination role of the </w:t>
      </w:r>
      <w:proofErr w:type="spellStart"/>
      <w:r w:rsidRPr="005B4F50">
        <w:rPr>
          <w:rFonts w:ascii="Arial" w:hAnsi="Arial" w:cs="Arial"/>
          <w:sz w:val="20"/>
          <w:szCs w:val="20"/>
        </w:rPr>
        <w:t>dlPFC</w:t>
      </w:r>
      <w:proofErr w:type="spellEnd"/>
      <w:r w:rsidRPr="005B4F50">
        <w:rPr>
          <w:rFonts w:ascii="Arial" w:hAnsi="Arial" w:cs="Arial"/>
          <w:sz w:val="20"/>
          <w:szCs w:val="20"/>
        </w:rPr>
        <w:t xml:space="preserve"> that mediates dynamic interactions between these networks, potentially through top-down neurophysiological and cognitive processes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{"citationID":"5omt8KuC","properties":{"formattedCitation":"(49)","plainCitation":"(49)","noteIndex":0},"citationItems":[{"id":4278,"uris":["http://zotero.org/users/7023408/items/IWALX2PZ"],"itemData":{"id":4278,"type":"article-journal","abstract":"Executive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Advances","DOI":"10.1177/23982128211007769","ISSN":"2398-2128","journalAbbreviation":"Brain Neurosci Adv","language":"eng","note":"PMID: 33997292\nPMCID: PMC8076773","page":"23982128211007769","source":"PubMed","title":"Hot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A."}],"issued":{"date-parts":[["2021"]]},"citation-key":"salehinejadHotColdExecutive2021"}}],"schema":"https://github.com/citation-style-language/schema/raw/master/csl-citation.json"}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(49)</w:t>
      </w:r>
      <w:r w:rsidRPr="005B4F50">
        <w:rPr>
          <w:rFonts w:ascii="Arial" w:hAnsi="Arial" w:cs="Arial"/>
          <w:sz w:val="20"/>
          <w:szCs w:val="20"/>
        </w:rPr>
        <w:fldChar w:fldCharType="end"/>
      </w:r>
      <w:r w:rsidRPr="005B4F50">
        <w:rPr>
          <w:rFonts w:ascii="Arial" w:hAnsi="Arial" w:cs="Arial"/>
          <w:sz w:val="20"/>
          <w:szCs w:val="20"/>
        </w:rPr>
        <w:t xml:space="preserve">. Future work incorporating relevant behavioral paradigms during effective connectivity mapping or direct high-frequency stimulation of these Cg hub regions will be essential to resolve their mechanistic function across each Cg network. Further, convergent models evaluating the CCEP characteristics at each Cg subregion in response to stimulation of these hub regions will provide insight into the directionality and characteristics of these connections. </w:t>
      </w:r>
    </w:p>
    <w:p w14:paraId="37CDDA37" w14:textId="259C795D"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Beyond direct connectivity measures, we analyzed spatial patterns of effective connectivity to provide insight into high-level spatial trends of the Cg networks. </w:t>
      </w:r>
      <w:bookmarkStart w:id="3" w:name="OLE_LINK1"/>
      <w:r w:rsidRPr="005B4F50">
        <w:rPr>
          <w:rFonts w:ascii="Arial" w:hAnsi="Arial" w:cs="Arial"/>
          <w:sz w:val="20"/>
          <w:szCs w:val="20"/>
        </w:rPr>
        <w:t xml:space="preserve">Since CCEPs represent synaptic input into regions connected to the site of stimulation, </w:t>
      </w:r>
      <w:bookmarkEnd w:id="3"/>
      <w:r w:rsidRPr="005B4F50">
        <w:rPr>
          <w:rFonts w:ascii="Arial" w:hAnsi="Arial" w:cs="Arial"/>
          <w:sz w:val="20"/>
          <w:szCs w:val="20"/>
        </w:rPr>
        <w:t xml:space="preserve">we would expect that the spatial profiles of our Cg effective networks would follow similar trends to known Cg tractography and white-matter anatomy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{"citationID":"VLH0fszL","properties":{"formattedCitation":"(50)","plainCitation":"(50)","noteIndex":0},"citationItems":[{"id":4285,"uris":["http://zotero.org/users/7023408/items/MDNIHGVL"],"itemData":{"id":4285,"type":"article-journal","abstract":"INTRODUCTION: Cortico-cortical evoked potentials (CCEPs) are utilized to identify effective networks in the human brain. Following single-pulse electrical stimulation of cortical electrodes, evoked responses are recorded from distant cortical areas. A negative deflection (N1) which occurs 10-50 ​ms post-stimulus is considered to be a marker for direct cortico-cortical connectivity. However, with CCEPs alone it is not possible to observe the white matter pathways that conduct the signal or accurately predict N1 amplitude and latency at downstream recoding sites. Here, we develop a new approach, termed \"dynamic tractography,\" which integrates CCEP data with diffusion-weighted imaging (DWI) data collected from the same patients. This innovative method allows greater insights into cortico-cortical networks than provided by each method alone and may improve the understanding of large-scale networks that support cognitive functions. The dynamic tractography model produces several fundamental hypotheses which we investigate: 1) DWI-based pathlength predicts N1 latency; 2) DWI-based pathlength negatively predicts N1 voltage; and 3) fractional anisotropy (FA) along the white matter path predicts N1 propagation velocity.\nMETHODS: Twenty-three neurosurgical patients with drug-resistant epilepsy underwent both extraoperative CCEP recordings and preoperative DWI scans. Subdural grids of 3 ​mm diameter electrodes were used for stimulation and recording, with 98-128 eligible electrodes per patient. CCEPs were elicited by trains of 1 ​Hz stimuli with an intensity of 5 ​mA and recorded at a sample rate of 1 ​kHz. N1 peak and latency were defined as the maximum of a negative deflection within 10-50 ​ms post-stimulus with a z-score &gt; 5 relative to baseline. Electrodes and DWI were coregistered to construct electrode connectomes for white matter quantification.\nRESULTS: Clinical variables (age, sex, number of anti-epileptic drugs, handedness, and stimulated hemisphere) did not correlate with the key outcome measures (N1 peak amplitude, latency, velocity, or DWI pathlength). All subjects and electrodes were therefore pooled into a group-level analysis to determine overall patterns. As hypothesized, DWI path length positively predicted N1 latency (R2 ​= ​0.81, β ​= ​1.51, p ​= ​4.76e-16) and negatively predicted N1 voltage (R2 ​= ​0.79, β ​= ​-0.094, p ​= ​9.30e-15), while FA predicted N1 propagation velocity (R2 ​= ​0.35, β ​= ​48.0, p ​= ​0.001).\nCONCLUSION: We have demonstrated that the strength and timing of the CCEP N1 is dependent on the properties of the underlying white matter network. Integrated CCEP and DWI visualization allows robust localization of intact axonal pathways which effectively interconnect eloquent cortex.","container-title":"NeuroImage","DOI":"10.1016/j.neuroimage.2020.116763","ISSN":"1095-9572","journalAbbreviation":"Neuroimage","language":"eng","note":"PMID: 32294537\nPMCID: PMC7292749","page":"116763","source":"PubMed","title":"Dynamic tractography: Integrating cortico-cortical evoked potentials and diffusion imaging","title-short":"Dynamic tractography","volume":"215","author":[{"family":"Silverstein","given":"Brian H."},{"family":"Asano","given":"Eishi"},{"family":"Sugiura","given":"Ayaka"},{"family":"Sonoda","given":"Masaki"},{"family":"Lee","given":"Min-Hee"},{"family":"Jeong","given":"Jeong-Won"}],"issued":{"date-parts":[["2020",7,15]]},"citation-key":"silversteinDynamicTractographyIntegrating2020"}}],"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(50)</w:t>
      </w:r>
      <w:r w:rsidRPr="005B4F50">
        <w:rPr>
          <w:rFonts w:ascii="Arial" w:hAnsi="Arial" w:cs="Arial"/>
          <w:sz w:val="20"/>
          <w:szCs w:val="20"/>
        </w:rPr>
        <w:fldChar w:fldCharType="end"/>
      </w:r>
      <w:r w:rsidRPr="005B4F50">
        <w:rPr>
          <w:rFonts w:ascii="Arial" w:hAnsi="Arial" w:cs="Arial"/>
          <w:sz w:val="20"/>
          <w:szCs w:val="20"/>
        </w:rPr>
        <w:t xml:space="preserve">. As such, we hypothesized that the effective connectivity distribution of the human Cg would follow a corresponding anterior-posterior gradient, specifically that distributions of connectivity would be most anteriorly weighted for the ACC stimulation condition, and most posteriorly weighted for the PCC stimulation condition. Indeed, our results support this hypothesis, demonstrating a statistically significant relationship between the anterior-posterior spatial distribution of connectivity for each Cg network and the anatomical positions of the human Cg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{"citationID":"TZh3EPze","properties":{"formattedCitation":"(2)","plainCitation":"(2)","noteIndex":0},"citationItems":[{"id":4286,"uris":["http://zotero.org/users/7023408/items/U7I4MQ49"],"itemData":{"id":4286,"type":"article-journal","abstract":"Introduction\nHuman cingulate cortex (CC) has been implicated in many functions, which is highly suggestive of the existence of functional subregions.\n\nMethods\nIn this study, we used resting</w:instrText>
      </w:r>
      <w:r w:rsidR="00A957AF">
        <w:rPr>
          <w:rFonts w:ascii="Cambria Math" w:hAnsi="Cambria Math" w:cs="Cambria Math"/>
          <w:sz w:val="20"/>
          <w:szCs w:val="20"/>
        </w:rPr>
        <w:instrText>‐</w:instrText>
      </w:r>
      <w:r w:rsidR="00A957AF">
        <w:rPr>
          <w:rFonts w:ascii="Arial" w:hAnsi="Arial" w:cs="Arial"/>
          <w:sz w:val="20"/>
          <w:szCs w:val="20"/>
        </w:rPr>
        <w:instrText>state functional magnetic resonance imaging (rs</w:instrText>
      </w:r>
      <w:r w:rsidR="00A957AF">
        <w:rPr>
          <w:rFonts w:ascii="Cambria Math" w:hAnsi="Cambria Math" w:cs="Cambria Math"/>
          <w:sz w:val="20"/>
          <w:szCs w:val="20"/>
        </w:rPr>
        <w:instrText>‐</w:instrText>
      </w:r>
      <w:r w:rsidR="00A957AF">
        <w:rPr>
          <w:rFonts w:ascii="Arial" w:hAnsi="Arial" w:cs="Arial"/>
          <w:sz w:val="20"/>
          <w:szCs w:val="20"/>
        </w:rPr>
        <w:instrText>fMRI) and diffusion tensor imaging (DTI) to parcellate the human cingulate cortex (CC) based on resting</w:instrText>
      </w:r>
      <w:r w:rsidR="00A957AF">
        <w:rPr>
          <w:rFonts w:ascii="Cambria Math" w:hAnsi="Cambria Math" w:cs="Cambria Math"/>
          <w:sz w:val="20"/>
          <w:szCs w:val="20"/>
        </w:rPr>
        <w:instrText>‐</w:instrText>
      </w:r>
      <w:r w:rsidR="00A957AF">
        <w:rPr>
          <w:rFonts w:ascii="Arial" w:hAnsi="Arial" w:cs="Arial"/>
          <w:sz w:val="20"/>
          <w:szCs w:val="20"/>
        </w:rPr>
        <w:instrText>state functional connectivity (rsFC) patterns and anatomical connectivity (AC) patterns, to analyze the rsFC patterns and the AC patterns of different subregions, and to recognize whether the parcellation results obtained by the two different methods were consistent.\n\nResults\nThe CC was divided into six functional subregions, including the anterior cingulate cortex, dorsal anterior midcingulate cortex, ventral anterior midcingulate cortex, posterior midcingulate cortex, dorsal posterior cingulate cortex, and ventral posterior cingulate cortex. The CC was also divided into ten anatomical subregions, termed Subregion 1 (S1) to Subregion 10 (S10). Each subregion showed specific connectivity patterns, although the functional subregions and the anatomical subregions were internally consistent.\n\nConclusions\nUsing different model MRI images, we established a parcellation scheme, which is internally consistent for the human CC, which may provide an in vivo guide for subregion</w:instrText>
      </w:r>
      <w:r w:rsidR="00A957AF">
        <w:rPr>
          <w:rFonts w:ascii="Cambria Math" w:hAnsi="Cambria Math" w:cs="Cambria Math"/>
          <w:sz w:val="20"/>
          <w:szCs w:val="20"/>
        </w:rPr>
        <w:instrText>‐</w:instrText>
      </w:r>
      <w:r w:rsidR="00A957AF">
        <w:rPr>
          <w:rFonts w:ascii="Arial" w:hAnsi="Arial" w:cs="Arial"/>
          <w:sz w:val="20"/>
          <w:szCs w:val="20"/>
        </w:rPr>
        <w:instrText>level studies and improve our understanding of this brain area at subregional levels.","container-title":"Brain and Behavior","DOI":"10.1002/brb3.1070","ISSN":"2162-3279","issue":"8","journalAbbreviation":"Brain Behav","note":"PMID: 30039643\nPMCID: PMC6085915","page":"e01070","source":"PubMed Central","title":"Functional and anatomical connectivity</w:instrText>
      </w:r>
      <w:r w:rsidR="00A957AF">
        <w:rPr>
          <w:rFonts w:ascii="Cambria Math" w:hAnsi="Cambria Math" w:cs="Cambria Math"/>
          <w:sz w:val="20"/>
          <w:szCs w:val="20"/>
        </w:rPr>
        <w:instrText>‐</w:instrText>
      </w:r>
      <w:r w:rsidR="00A957AF">
        <w:rPr>
          <w:rFonts w:ascii="Arial" w:hAnsi="Arial" w:cs="Arial"/>
          <w:sz w:val="20"/>
          <w:szCs w:val="20"/>
        </w:rPr>
        <w:instrText xml:space="preserve">based parcellation of human cingulate cortex","volume":"8","author":[{"family":"Jin","given":"Fei"},{"family":"Zheng","given":"Pengpeng"},{"family":"Liu","given":"Huaigui"},{"family":"Guo","given":"Hui"},{"family":"Sun","given":"Zhihua"}],"issued":{"date-parts":[["2018",7,24]]},"citation-key":"jinFunctionalAnatomicalConnectivitybased2018"}}],"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w:t>
      </w:r>
      <w:r w:rsidRPr="005B4F50">
        <w:rPr>
          <w:rFonts w:ascii="Arial" w:hAnsi="Arial" w:cs="Arial"/>
          <w:sz w:val="20"/>
          <w:szCs w:val="20"/>
        </w:rPr>
        <w:fldChar w:fldCharType="end"/>
      </w:r>
      <w:r w:rsidRPr="005B4F50">
        <w:rPr>
          <w:rFonts w:ascii="Arial" w:hAnsi="Arial" w:cs="Arial"/>
          <w:sz w:val="20"/>
          <w:szCs w:val="20"/>
        </w:rPr>
        <w:t>. This finding not only demonstrates the utility of emergent profiling of effective connectivity networks but also its potential in bridging measures of connectivity.</w:t>
      </w:r>
    </w:p>
    <w:p w14:paraId="6F394B8A" w14:textId="30602BB9"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Following similar evidence profiling hemispheric differences in white matter tractography and cingulate network functional asymmetry, we evaluated the differences in Cg effective connectivity between hemispheres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{"citationID":"Wis29Oyw","properties":{"formattedCitation":"(51)","plainCitation":"(51)","noteIndex":0},"citationItems":[{"id":4287,"uris":["http://zotero.org/users/7023408/items/V5C629H3"],"itemData":{"id":4287,"type":"article-journal","abstract":"The diffusion tensor model for diffusion MRI has been used extensively to study asymmetry in the human brain white matter. However, given the limitations of the tensor model, the nature of any underlying asymmetries remains uncertain, particularly in crossing fibre regions. Here, we provide a more robust characterisation of human brain white matter asymmetries based on fibre-specific diffusion MRI metrics and a whole-brain data-driven approach. We used high-quality diffusion MRI data (n = 100) from the Human Connectome Project, the spherical deconvolution model for fibre orientation distribution estimation, and the Fixel-Based Analysis framework to utilise crossing fibre information in registration, data smoothing and statistical inference. We found many significant asymmetries, widespread throughout the brain white matter, with both left&gt;right and right&gt;left dominances observed in different pathways. No influences of sex, age, or handedness on asymmetry were found. We also report on the relative contributions of microstructural and morphological white matter properties toward the asymmetry findings. Our findings should provide important information to future studies focussing on how these asymmetries are affected by disease, development/ageing, or how they correlate to functional/cognitive measures.","container-title":"NeuroImage","DOI":"10.1016/j.neuroimage.2020.117505","ISSN":"1053-8119","journalAbbreviation":"NeuroImage","page":"117505","source":"ScienceDirect","title":"Characterisation of white matter asymmetries in the healthy human brain using diffusion MRI fixel-based analysis","volume":"225","author":[{"family":"Honnedevasthana Arun","given":"Arush"},{"family":"Connelly","given":"Alan"},{"family":"Smith","given":"Robert E."},{"family":"Calamante","given":"Fernando"}],"issued":{"date-parts":[["2021",1,15]]},"citation-key":"honnedevasthanaarunCharacterisationWhiteMatter2021"}}],"schema":"https://github.com/citation-style-language/schema/raw/master/csl-citation.json"}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(51)</w:t>
      </w:r>
      <w:r w:rsidRPr="005B4F50">
        <w:rPr>
          <w:rFonts w:ascii="Arial" w:hAnsi="Arial" w:cs="Arial"/>
          <w:sz w:val="20"/>
          <w:szCs w:val="20"/>
        </w:rPr>
        <w:fldChar w:fldCharType="end"/>
      </w:r>
      <w:r w:rsidRPr="005B4F50">
        <w:rPr>
          <w:rFonts w:ascii="Arial" w:hAnsi="Arial" w:cs="Arial"/>
          <w:sz w:val="20"/>
          <w:szCs w:val="20"/>
        </w:rPr>
        <w:t xml:space="preserve">. Of significant comparisons between hemispheres with adequate coverage, Cg networks showed ipsilateral right-hemisphere dominance across most major regions, except for the frontal cortex, which had significantly higher left-hemisphere connectivity in the ACC and MCC networks. Frontal asymmetries related to ACC and MCC network functions have been documented in functional imaging and electrophysiological studies, with left hemisphere frontal dominance being associated with gray matter volume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{"citationID":"uCvgBiCp","properties":{"formattedCitation":"(52)","plainCitation":"(52)","noteIndex":0},"citationItems":[{"id":4288,"uris":["http://zotero.org/users/7023408/items/6V6YQ4D7"],"itemData":{"id":4288,"type":"article-journal","abstract":"Resting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(52)</w:t>
      </w:r>
      <w:r w:rsidRPr="005B4F50">
        <w:rPr>
          <w:rFonts w:ascii="Arial" w:hAnsi="Arial" w:cs="Arial"/>
          <w:sz w:val="20"/>
          <w:szCs w:val="20"/>
        </w:rPr>
        <w:fldChar w:fldCharType="end"/>
      </w:r>
      <w:r w:rsidRPr="005B4F50">
        <w:rPr>
          <w:rFonts w:ascii="Arial" w:hAnsi="Arial" w:cs="Arial"/>
          <w:sz w:val="20"/>
          <w:szCs w:val="20"/>
        </w:rPr>
        <w:t xml:space="preserve">, emotion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{"citationID":"vC1NkmBs","properties":{"formattedCitation":"(53)","plainCitation":"(53)","noteIndex":0},"citationItems":[{"id":4289,"uris":["http://zotero.org/users/7023408/items/DSIKQH6F"],"itemData":{"id":4289,"type":"article-journal","abstract":"The present mini-review was aimed at exploring the frontal EEG asymmetry of mood. With respect to emotion, interpreted as a discrete affective process, mood is more controllable, more nebulous, and more related to mind/cognition; in addition, causes are less well-defined than those eliciting emotion. Therefore, firstly, the rational for the distinction between emotion and mood was provided. Then, the main frontal EEG asymmetry models were presented, such as the motivational approach/withdrawal, valence/arousal, capability, and inhibition asymmetric models. Afterward, the frontal EEG asymmetry of mood was investigated following three research lines, that is considering studies involving different mood induction procedures, dispositional mood (positive and negative affect), and mood alterations in both healthy and clinical populations. In general, results were found to be contradictory, no model is unequivocally supported regardless the research line considered. Different methodological issues were raised, such as: the composition of samples used across studies, in particular, gender and age were found to be critical variables that should be better addressed in future studies; the importance of third variables that might mediate the relationship between frontal EEG asymmetries and mood, for example bodily states and hormonal responses; the role of cognition, namely the interplay between mood and executive functions. In light of these issues, future research directions were proposed. Amongst others, the need to explore the neural connectivity that underpins EEG asymmetries, and the need to include both positive and negative mood conditions in the experimental designs have been highlighted.","container-title":"Frontiers in Behavioral Neuroscience","DOI":"10.3389/fnbeh.2017.00224","ISSN":"1662-5153","journalAbbreviation":"Front Behav Neurosci","note":"PMID: 29209180\nPMCID: PMC5701669","page":"224","source":"PubMed Central","title":"Frontal EEG Asymmetry of Mood: A Mini-Review","title-short":"Frontal EEG Asymmetry of Mood","volume":"11","author":[{"family":"Palmiero","given":"Massimiliano"},{"family":"Piccardi","given":"Laura"}],"issued":{"date-parts":[["2017",11,6]]},"citation-key":"palmieroFrontalEEGAsymmetry2017"}}],"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(53)</w:t>
      </w:r>
      <w:r w:rsidRPr="005B4F50">
        <w:rPr>
          <w:rFonts w:ascii="Arial" w:hAnsi="Arial" w:cs="Arial"/>
          <w:sz w:val="20"/>
          <w:szCs w:val="20"/>
        </w:rPr>
        <w:fldChar w:fldCharType="end"/>
      </w:r>
      <w:r w:rsidRPr="005B4F50">
        <w:rPr>
          <w:rFonts w:ascii="Arial" w:hAnsi="Arial" w:cs="Arial"/>
          <w:sz w:val="20"/>
          <w:szCs w:val="20"/>
        </w:rPr>
        <w:t xml:space="preserve">, pain perception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{"citationID":"H0HHl8io","properties":{"formattedCitation":"(54, 55)","plainCitation":"(54, 55)","noteIndex":0},"citationItems":[{"id":3641,"uris":["http://zotero.org/users/7023408/items/9VF3SJBR"],"itemData":{"id":3641,"type":"manuscript","note":"DOI: 10.21203/rs.3.rs-2973437/v1","title":"A novel theta-controlled vibrotactile brain-computer interface to treat chronic pain: A pilot study","URL":"https://www.researchsquare.com/article/rs-2973437/v1","author":[{"family":"Demarest","given":"Phillip"},{"family":"Rustamov","given":"Nabi"},{"family":"Swift","given":"James"},{"family":"Tao","given":"Xie"},{"family":"Adamek","given":"Markus"},{"family":"Cho","given":"Hohyun"},{"family":"Wilson","given":"Elizabeth"},{"family":"Han","given":"Zhuangyu"},{"family":"Belsten","given":"Alexander"},{"family":"Luczak","given":"Nicholas"},{"family":"Brunner","given":"Peter"},{"family":"Haroutounian","given":"Simon"},{"family":"Leuthardt","given":"Eric"}],"issued":{"date-parts":[["2023",5]]},"citation-key":"demarestNovelThetacontrolledVibrotactile2023"}},{"id":6,"uris":["http://zotero.org/users/7023408/items/5I44UEFZ"],"itemData":{"id":6,"type":"article-journal","abstract":"The objective of this study was to comprehensively investigate patterns of brain activities associated with pain recovery following experimental tonic pain in humans. Specific electrophysiological features of pain recovery may either be monitored or be modulated through neurofeedback (NF) as a novel chronic pain treatment. The cold pressor test was applied with simultaneous electroencephalogram (EEG) recording. EEG data were acquired, and analyzed to define: (1) EEG power topography patterns of pain recovery; (2) source generators of pain recovery at cortical level; (3) changes in functional connectivity associated with pain recovery; (4) features of phase-amplitude coupling (PAC) as it relates to pain recovery. The novel finding of this study is that recovery from pain was characterized by significant theta power rebound at the left fronto-central area. The sources of theta power over-recovery were located in the left dorsolateral prefrontal cortex (DLPFC), cingulate cortex, left insula and contralateral sensorimotor cortex. These effects were paralleled by theta band connectivity increase within hemispheres in a prefrontal–somatosensory network and interhemispherically between prefrontal and parietal areas. In addition, this study revealed significant reduction in PAC between theta/alpha and gamma oscillations during recovery period following tonic pain. These findings have largely been replicated across two identical sessions. Our study emphasizes the association between pain recovery and left lateral prefrontal theta power rebound, and significant over-recovery of functional connectivity in prefrontal-sensorimotor neural network synchronized at theta frequencies. These findings may provide basis for chronic pain treatment by modulating neural oscillations at theta frequencies in left prefrontal cortex.","container-title":"Neuroscience","DOI":"10.1016/j.neuroscience.2021.04.008","ISSN":"0306-4522","journalAbbreviation":"Neuroscience","language":"en","page":"23-37","source":"ScienceDirect","title":"Spatial and Frequency-specific Electrophysiological Signatures of Tonic Pain Recovery in Humans","volume":"465","author":[{"family":"Rustamov","given":"Nabi"},{"family":"Sharma","given":"Lokesh"},{"family":"Chiang","given":"Sarah N."},{"family":"Burk","given":"Carrie"},{"family":"Haroutounian","given":"Simon"},{"family":"Leuthardt","given":"Eric C."}],"issued":{"date-parts":[["2021",6,15]]},"citation-key":"rustamovSpatialFrequencyspecificElectrophysiological2021"}}],"schema":"https://github.com/citation-style-language/schema/raw/master/csl-citation.json"}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(54, 55)</w:t>
      </w:r>
      <w:r w:rsidRPr="005B4F50">
        <w:rPr>
          <w:rFonts w:ascii="Arial" w:hAnsi="Arial" w:cs="Arial"/>
          <w:sz w:val="20"/>
          <w:szCs w:val="20"/>
        </w:rPr>
        <w:fldChar w:fldCharType="end"/>
      </w:r>
      <w:r w:rsidRPr="005B4F50">
        <w:rPr>
          <w:rFonts w:ascii="Arial" w:hAnsi="Arial" w:cs="Arial"/>
          <w:sz w:val="20"/>
          <w:szCs w:val="20"/>
        </w:rPr>
        <w:t xml:space="preserve">, and cognition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{"citationID":"eBAzf9wD","properties":{"formattedCitation":"(56)","plainCitation":"(56)","noteIndex":0},"citationItems":[{"id":4290,"uris":["http://zotero.org/users/7023408/items/5NEETSJG"],"itemData":{"id":4290,"type":"article-journal","abstract":"Frontal electroencephalographic (EEG) alpha asymmetry is widely researched in studies of emotion, motivation, and psychopathology, yet it is a metric that has been quantified and analyzed using diverse procedures, and diversity in procedures muddles cross-study interpretation. The aim of this article is to provide an updated tutorial for EEG alpha asymmetry recording, processing, analysis, and interpretation, with an eye towards improving consistency of results across studies. First, a brief background in alpha asymmetry findings is provided. Then, some guidelines for recording, processing, and analyzing alpha asymmetry are presented with an emphasis on the creation of asymmetry scores, referencing choices, and artifact removal. Processing steps are explained in detail, and references to MATLAB-based toolboxes that are helpful for creating and investigating alpha asymmetry are noted. Then, conceptual challenges and interpretative issues are reviewed, including a discussion of alpha asymmetry as a mediator/moderator of emotion and psychopathology. Finally, the effects of two automated component-based artifact correction algorithms—MARA and ADJUST—on frontal alpha asymmetry are evaluated.","container-title":"International journal of psychophysiology : official journal of the International Organization of Psychophysiology","DOI":"10.1016/j.ijpsycho.2016.11.005","ISSN":"0167-8760","journalAbbreviation":"Int J Psychophysiol","note":"PMID: 27865882\nPMCID: PMC6449497","page":"98-114","source":"PubMed Central","title":"Assessing and Conceptualizing Frontal EEG Asymmetry: An Updated Primer on Recording, Processing, Analyzing, and Interpreting Frontal Alpha Asymmetry","title-short":"Assessing and Conceptualizing Frontal EEG Asymmetry","volume":"111","author":[{"family":"Smith","given":"Ezra E."},{"family":"Reznik","given":"Samantha J."},{"family":"Stewart","given":"Jennifer L."},{"family":"Allen","given":"John J. B."}],"issued":{"date-parts":[["2017",1]]},"citation-key":"smithAssessingConceptualizingFrontal2017"}}],"schema":"https://github.com/citation-style-language/schema/raw/master/csl-citation.json"}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(56)</w:t>
      </w:r>
      <w:r w:rsidRPr="005B4F50">
        <w:rPr>
          <w:rFonts w:ascii="Arial" w:hAnsi="Arial" w:cs="Arial"/>
          <w:sz w:val="20"/>
          <w:szCs w:val="20"/>
        </w:rPr>
        <w:fldChar w:fldCharType="end"/>
      </w:r>
      <w:r w:rsidRPr="005B4F50">
        <w:rPr>
          <w:rFonts w:ascii="Arial" w:hAnsi="Arial" w:cs="Arial"/>
          <w:sz w:val="20"/>
          <w:szCs w:val="20"/>
        </w:rPr>
        <w:t xml:space="preserve">. Our observations of significant ipsilateral right-hemisphere dominance coincide with previous evaluations of hemispheric asymmetries in the DMN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{"citationID":"GPGs9oFo","properties":{"formattedCitation":"(52)","plainCitation":"(52)","noteIndex":0},"citationItems":[{"id":4288,"uris":["http://zotero.org/users/7023408/items/6V6YQ4D7"],"itemData":{"id":4288,"type":"article-journal","abstract":"Resting state networks such as the default mode network have been widely reported. Although a plethora of information on its functional relevance has been generated, little is known about lateralization or hemisphere asymmetry within the DMN. We used high-resolution resting state fMRI and T1 3D data to investigate such asymmetries in two groups of healthy subjects, one right-handed and one left-handed. Independent component analysis and the dual regression approach were carried out to identify functional asymmetries, while voxel-based morphometry was used to identify structural asymmetries in grey matter volume within the DMN. Greater leftward functional connectivity was observed in the posterior cingulate gyrus (PCG) for both groups. Leftward functional asymmetry was observed in the thalamus and rightward functional asymmetries were observed in the middle frontal and middle/superior temporal gyrus in the right-handed group. Rightward asymmetries in grey matter volume were observed in the posterior portion of the PCG for both groups. The right-handed group exhibited leftward structural asymmetries in the anterior portion of the PCG and in the middle frontal and posterior portion of the middle temporal gyrus, while rightward asymmetries were observed in the posterior portion of the PCG and anterior portions of temporal regions. These results suggest that functional connectivity and grey matter volume are not equally distributed between hemispheres within the DMN, and that functional asymmetries are not always reflected or determined by structural asymmetries.","container-title":"Neuropsychologia","DOI":"10.1016/j.neuropsychologia.2012.02.014","ISSN":"0028-3932","issue":"7","journalAbbreviation":"Neuropsychologia","page":"1308-1315","source":"ScienceDirect","title":"Hemispheric asymmetries of functional connectivity and grey matter volume in the default mode network","volume":"50","author":[{"family":"Saenger","given":"Victor M."},{"family":"Barrios","given":"Fernando A."},{"family":"Martínez-Gudiño","given":"María L."},{"family":"Alcauter","given":"Sarael"}],"issued":{"date-parts":[["2012",6,1]]},"citation-key":"saengerHemisphericAsymmetriesFunctional2012"}}],"schema":"https://github.com/citation-style-language/schema/raw/master/csl-citation.json"}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(52)</w:t>
      </w:r>
      <w:r w:rsidRPr="005B4F50">
        <w:rPr>
          <w:rFonts w:ascii="Arial" w:hAnsi="Arial" w:cs="Arial"/>
          <w:sz w:val="20"/>
          <w:szCs w:val="20"/>
        </w:rPr>
        <w:fldChar w:fldCharType="end"/>
      </w:r>
      <w:r w:rsidRPr="005B4F50">
        <w:rPr>
          <w:rFonts w:ascii="Arial" w:hAnsi="Arial" w:cs="Arial"/>
          <w:sz w:val="20"/>
          <w:szCs w:val="20"/>
        </w:rPr>
        <w:t xml:space="preserve">. In contrast, another study characterizing the asymmetries of cingulum bundle connections revealed left-hemisphere dominance across most cortical regions; however, their stimulation targets, stimulation parameters, and measures of connectivity differed from ours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{"citationID":"DWpnxt70","properties":{"formattedCitation":"(57)","plainCitation":"(57)","noteIndex":0},"citationItems":[{"id":4291,"uris":["http://zotero.org/users/7023408/items/GBPK9RLF"],"itemData":{"id":4291,"type":"article-journal","abstract":"The cingulum bundle (CB) is a group of axons supporting connectivity among several functional brain networks relevant in healthy and diseased states. The paracingulate sulcus (PCS) is present in at least one cerebral hemisphere across 70% of the population. PCS presence versus absence is linked to differences in structure and function of the anterior cingulate cortex, though the influence of PCS on the white matter of the CB remains unknown. The objective of this work was to define the CB electrographic connectivity profile and determine the impact of PCS morphology on CB engagement. Single</w:instrText>
      </w:r>
      <w:r w:rsidR="00A957AF">
        <w:rPr>
          <w:rFonts w:ascii="Cambria Math" w:hAnsi="Cambria Math" w:cs="Cambria Math"/>
          <w:sz w:val="20"/>
          <w:szCs w:val="20"/>
        </w:rPr>
        <w:instrText>‐</w:instrText>
      </w:r>
      <w:r w:rsidR="00A957AF">
        <w:rPr>
          <w:rFonts w:ascii="Arial" w:hAnsi="Arial" w:cs="Arial"/>
          <w:sz w:val="20"/>
          <w:szCs w:val="20"/>
        </w:rPr>
        <w:instrText>pulse electrical stimulation in combination with stereo</w:instrText>
      </w:r>
      <w:r w:rsidR="00A957AF">
        <w:rPr>
          <w:rFonts w:ascii="Cambria Math" w:hAnsi="Cambria Math" w:cs="Cambria Math"/>
          <w:sz w:val="20"/>
          <w:szCs w:val="20"/>
        </w:rPr>
        <w:instrText>‐</w:instrText>
      </w:r>
      <w:r w:rsidR="00A957AF">
        <w:rPr>
          <w:rFonts w:ascii="Arial" w:hAnsi="Arial" w:cs="Arial"/>
          <w:sz w:val="20"/>
          <w:szCs w:val="20"/>
        </w:rPr>
        <w:instrText>electroencephalography recordings was used to measure neural responses to left and right CB stimulation in 19 patients undergoing intracranial monitoring for treatment of refractory epilepsy. Evoked potential responses were extracted from brain areas, and a connectivity robustness ratio was computed. Network</w:instrText>
      </w:r>
      <w:r w:rsidR="00A957AF">
        <w:rPr>
          <w:rFonts w:ascii="Cambria Math" w:hAnsi="Cambria Math" w:cs="Cambria Math"/>
          <w:sz w:val="20"/>
          <w:szCs w:val="20"/>
        </w:rPr>
        <w:instrText>‐</w:instrText>
      </w:r>
      <w:r w:rsidR="00A957AF">
        <w:rPr>
          <w:rFonts w:ascii="Arial" w:hAnsi="Arial" w:cs="Arial"/>
          <w:sz w:val="20"/>
          <w:szCs w:val="20"/>
        </w:rPr>
        <w:instrText xml:space="preserve">level responses were compared across left and right CB, and with consideration of PCS morphology. CB electrographic connectivity demonstrated leftward dominance, but this was strongly impacted by PCS morphology in both cerebral hemispheres. Maximal left CB connectivity was observed in the presence of left PCS morphology, while right CB connectivity was strongest in its absence. These data strongly suggest that bilateral CB engagement is modulated by PCS morphology in the left hemisphere. These findings are particularly relevant when considering the CB as a target for treating neuropsychiatric disorders., Electrical stimulation reveals hemispheric asymmetry in cingulum bundle connectivity, which is further modulated by variability in paracingulate sulcus morphology. Differences in cingulum bundle connectivity across hemispheres may support functional specialization, and the impact of paracingulate sulcus morphology may suggest differences in fiber organization.","container-title":"Human Brain Mapping","DOI":"10.1002/hbm.70230","ISSN":"1065-9471","issue":"9","journalAbbreviation":"Hum Brain Mapp","note":"PMID: 40525815\nPMCID: PMC12172119","page":"e70230","source":"PubMed Central","title":"Asymmetric Cingulum Bundle Connectivity Is Modulated by Paracingulate Sulcus Morphology","volume":"46","author":[{"family":"Danstrom","given":"Isabel A."},{"family":"Adkinson","given":"Joshua A."},{"family":"Robinson","given":"Meghan E."},{"family":"Lin","given":"Lu"},{"family":"Maheshwari","given":"Atul"},{"family":"Shofty","given":"Ben"},{"family":"Banks","given":"Garrett"},{"family":"Hasen","given":"Mohammed"},{"family":"Sheth","given":"Sameer A."},{"family":"Goldman","given":"Alica M."},{"family":"Bartoli","given":"Eleonora"},{"family":"Heilbronner","given":"Sarah R."},{"family":"Bijanki","given":"Kelly R."}],"issued":{"date-parts":[["2025",6,17]]},"citation-key":"danstromAsymmetricCingulumBundle2025"}}],"schema":"https://github.com/citation-style-language/schema/raw/master/csl-citation.json"}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(57)</w:t>
      </w:r>
      <w:r w:rsidRPr="005B4F50">
        <w:rPr>
          <w:rFonts w:ascii="Arial" w:hAnsi="Arial" w:cs="Arial"/>
          <w:sz w:val="20"/>
          <w:szCs w:val="20"/>
        </w:rPr>
        <w:fldChar w:fldCharType="end"/>
      </w:r>
      <w:r w:rsidRPr="005B4F50">
        <w:rPr>
          <w:rFonts w:ascii="Arial" w:hAnsi="Arial" w:cs="Arial"/>
          <w:sz w:val="20"/>
          <w:szCs w:val="20"/>
        </w:rPr>
        <w:t xml:space="preserve">. While our results reinforce the utility of effective modeling in understanding the overlap between functional and anatomical connectivity and further elucidate the spatial dimension of Cg effective connectivity, future work with higher spatial sampling and symmetrical coverage will be necessary to better understand hemispheric asymmetries of Cg networks. </w:t>
      </w:r>
    </w:p>
    <w:p w14:paraId="0413EBFE" w14:textId="703725FB"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Studies of effective connectivity resulting from the analysis of CCEPs are often constrained to a subset of approaches that specifically evaluate the interactions between sites of stimulation and recording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{"citationID":"0kDj8DgG","properties":{"formattedCitation":"(26, 32)","plainCitation":"(26, 32)","noteIndex":0},"citationItems":[{"id":3036,"uris":["http://zotero.org/users/7023408/items/CUSVQH4H"],"itemData":{"id":3036,"type":"article-journal","abstract":"Brain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(26, 32)</w:t>
      </w:r>
      <w:r w:rsidRPr="005B4F50">
        <w:rPr>
          <w:rFonts w:ascii="Arial" w:hAnsi="Arial" w:cs="Arial"/>
          <w:sz w:val="20"/>
          <w:szCs w:val="20"/>
        </w:rPr>
        <w:fldChar w:fldCharType="end"/>
      </w:r>
      <w:r w:rsidRPr="005B4F50">
        <w:rPr>
          <w:rFonts w:ascii="Arial" w:hAnsi="Arial" w:cs="Arial"/>
          <w:sz w:val="20"/>
          <w:szCs w:val="20"/>
        </w:rPr>
        <w:t xml:space="preserve">. Since the morphological content of CCEPs is critical to </w:t>
      </w:r>
      <w:r w:rsidRPr="005B4F50">
        <w:rPr>
          <w:rFonts w:ascii="Arial" w:hAnsi="Arial" w:cs="Arial"/>
          <w:sz w:val="20"/>
          <w:szCs w:val="20"/>
        </w:rPr>
        <w:lastRenderedPageBreak/>
        <w:t xml:space="preserve">modeling effective networks, we implemented an inter-regional model of morphological similarity and used a threshold-optimized hierarchical clustering approach to identify prevalent waveforms across Cg subregion networks. This also allowed us to cluster regions by CCEP morphology, further contributing to the utility of our comprehensive effective connectivity profiles of the Cg. Specifically, while divergent models of connectivity are often complicated due to the number of data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{"citationID":"TuWA51QS","properties":{"formattedCitation":"(32)","plainCitation":"(32)","noteIndex":0},"citationItems":[{"id":3036,"uris":["http://zotero.org/users/7023408/items/CUSVQH4H"],"itemData":{"id":3036,"type":"article-journal","abstract":"Brain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(32)</w:t>
      </w:r>
      <w:r w:rsidRPr="005B4F50">
        <w:rPr>
          <w:rFonts w:ascii="Arial" w:hAnsi="Arial" w:cs="Arial"/>
          <w:sz w:val="20"/>
          <w:szCs w:val="20"/>
        </w:rPr>
        <w:fldChar w:fldCharType="end"/>
      </w:r>
      <w:r w:rsidRPr="005B4F50">
        <w:rPr>
          <w:rFonts w:ascii="Arial" w:hAnsi="Arial" w:cs="Arial"/>
          <w:sz w:val="20"/>
          <w:szCs w:val="20"/>
        </w:rPr>
        <w:t xml:space="preserve">, this inter-regional model allowed us to reduce the dimensionality of our divergent model to identify groups of regions with shared CCEP morphology. Thus, this analysis has tremendous utility in identifying regions of interest for hypothesis pre-selected studies, or for characterizing network-wide and region-specific changes in CCEP morphological content.  </w:t>
      </w:r>
    </w:p>
    <w:p w14:paraId="0B511052" w14:textId="34DEC041"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The intuition behind this analysis is that the inter-regional landscape of morphological similarity can reveal additional information about the diversity of CCEPs within networks, which presents insights into the neural interactions and functions underlying effective networks. We found that the MCC network contained the highest morphological similarity between regions and the largest cluster of regions of the three Cg networks. While all three Cg subregions perform highly diverse and complex functions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{"citationID":"mjq9pbWS","properties":{"formattedCitation":"(4)","plainCitation":"(4)","noteIndex":0},"citationItems":[{"id":3368,"uris":["http://zotero.org/users/7023408/items/9NJXW7ZV"],"itemData":{"id":3368,"type":"article-journal","abstract":"Summary: \n          The cingulate cortex is a paired brain region located on the medial wall of each hemisphere. This review explores the anatomy as well as the structural and functional connectivity of the cingulate cortex underlying essential roles this region plays in emotion, autonomic, cognitive, motor control, visual–spatial processing, and memory.","container-title":"Journal of Clinical Neurophysiology","DOI":"10.1097/WNP.0000000000000970","ISSN":"0736-0258","language":"en-US","note":"Citation Key: Cingulate Cortex: Anatomy, Structural and Functional Connectivity","page":"10.1097/WNP.0000000000000970","source":"journals.lww.com","title":"Cingulate Cortex: Anatomy, Structural and Functional Connectivity","title-short":"Cingulate Cortex","author":[{"family":"Oane","given":"Irina"},{"family":"Barborica","given":"Andrei"},{"family":"Mindruta","given":"Ioana R."}],"issued":{"date-parts":[["2022",5,17]]},"citation-key":"Cingulate Cortex: Anatomy, Structural and Functional Connectivity"}}],"schema":"https://github.com/citation-style-language/schema/raw/master/csl-citation.json"}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(4)</w:t>
      </w:r>
      <w:r w:rsidRPr="005B4F50">
        <w:rPr>
          <w:rFonts w:ascii="Arial" w:hAnsi="Arial" w:cs="Arial"/>
          <w:sz w:val="20"/>
          <w:szCs w:val="20"/>
        </w:rPr>
        <w:fldChar w:fldCharType="end"/>
      </w:r>
      <w:r w:rsidRPr="005B4F50">
        <w:rPr>
          <w:rFonts w:ascii="Arial" w:hAnsi="Arial" w:cs="Arial"/>
          <w:sz w:val="20"/>
          <w:szCs w:val="20"/>
        </w:rPr>
        <w:t xml:space="preserve">, the MCC’s role in behaviors requiring rapid response selection (for example, response to pain, and orienting the body to stimuli) may support the notion that it requires sets of stereotyped neural interactions with other regions to produce rapid, stereotyped behaviors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{"citationID":"iQ7JUoWH","properties":{"formattedCitation":"(18)","plainCitation":"(18)","noteIndex":0},"citationItems":[{"id":3640,"uris":["http://zotero.org/users/7023408/items/IA9TP3UA"],"itemData":{"id":3640,"type":"article-journal","abstract":"Midcingulate cortex (MCC) has risen in prominence as human imaging identifies unique structural and functional activity therein and this is the first review of its structure, connections, functions and disease vulnerabilities. The MCC has two divisions (anterior, aMCC and posterior, pMCC) that represent functional units and the cytoarchitecture, connections and neurocytology of each is shown with immunohistochemistry and receptor binding. The MCC is not a division of anterior cingulate cortex (ACC) and the “dorsal ACC” designation is a misnomer as it incorrectly implies that MCC is a division of ACC. Interpretation of findings among species and developing models of human diseases requires detailed comparative studies which is shown here for five species with flat maps and immunohistochemistry (human, monkey, rabbit, rat, mouse). The largest neurons in human cingulate cortex are in layer Vb of area 24 d in pMCC which project to the spinal cord. This area is part of the caudal cingulate premotor area which is involved in multisensory orientation of the head and body in space and neuron responses are tuned for the force and direction of movement. In contrast, the rostral cingulate premotor area in aMCC is involved in action-reinforcement associations and selection based on the amount of reward or aversive properties of a potential movement. The aMCC is activated by nociceptive information from the midline, mediodorsal and intralaminar thalamic nuclei which evoke fear and mediates nocifensive behaviors. This subregion also has high dopaminergic afferents and high dopamine-1 receptor binding and is engaged in reward processes. Opposing pain/avoidance and reward/approach functions are selected by assessment of potential outcomes and error detection according to feedback-mediated, decision making. Parietal afferents differentially terminate in MCC and provide for multisensory control in an eye- and head-centric manner. Finally, MCC vulnerability in human disease confirms the unique organization of MCC and supports the predictive validity of the MCC dichotomy. Vulnerability of aMCC is shown in chronic pain, obsessive-compulsive disorder with checking symptoms and attention-deficit/hyperactivity disorder and methylphenidate and pain medications selectively impact aMCC. In contrast, pMCC vulnerabilities are for progressive supranuclear palsy, unipolar depression and posttraumatic stress disorder. Thus, there is an emerging picture of the organization, functions and diseases of MCC. Future work will take this type of modular analysis to individual areas of which there are at least 10 in MCC.","container-title":"Journal of Chemical Neuroanatomy","DOI":"10.1016/j.jchemneu.2016.01.010","ISSN":"0891-0618","journalAbbreviation":"Journal of Chemical Neuroanatomy","page":"28-46","source":"ScienceDirect","title":"Midcingulate cortex: Structure, connections, homologies, functions and diseases","title-short":"Midcingulate cortex","volume":"74","author":[{"family":"Vogt","given":"Brent A."}],"issued":{"date-parts":[["2016",7,1]]},"citation-key":"vogtMidcingulateCortexStructure2016"}}],"schema":"https://github.com/citation-style-language/schema/raw/master/csl-citation.json"}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(18)</w:t>
      </w:r>
      <w:r w:rsidRPr="005B4F50">
        <w:rPr>
          <w:rFonts w:ascii="Arial" w:hAnsi="Arial" w:cs="Arial"/>
          <w:sz w:val="20"/>
          <w:szCs w:val="20"/>
        </w:rPr>
        <w:fldChar w:fldCharType="end"/>
      </w:r>
      <w:r w:rsidRPr="005B4F50">
        <w:rPr>
          <w:rFonts w:ascii="Arial" w:hAnsi="Arial" w:cs="Arial"/>
          <w:sz w:val="20"/>
          <w:szCs w:val="20"/>
        </w:rPr>
        <w:t>. Interestingly, temporal analysis revealed that CCEPs in the MCC condition were low-latency and homogenous, which further supports this idea. Thus, it is possible that out of the three Cg subregions, the MCC network has the most stereotyped set of communication characteristics and thus requires less diversity in how it communicates with other regions when compared to the ACC or PCC. This, of course, is preliminary and speculative, and does not account for the battery of complex cognitive functions of the MCC, which likely require diverse communication protocols between regions. However, such studies evaluating the relationship between network function and diversity of inter-regional neural interactions can be supported through this analysis.</w:t>
      </w:r>
    </w:p>
    <w:p w14:paraId="3FEBD13D" w14:textId="5001C802"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This inter-regional analysis also presents CCEP clusters organized by morphological similarity between regions. We found that the morphology of some clusters followed the N1/N2 shape often described in contemporary analyses of CCEPs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{"citationID":"eVC5tDOh","properties":{"formattedCitation":"(26, 28, 58, 59)","plainCitation":"(26, 28, 58, 59)","noteIndex":0},"citationItems":[{"id":4268,"uris":["http://zotero.org/users/7023408/items/ZAVRVS7A"],"itemData":{"id":4268,"type":"article-journal","abstract":"Background\nCortico-cortical evoked potentials (CCEPs) are a common tool for probing effective connectivity in intracranial human electrophysiology. As with all human electrophysiology data, CCEP data are highly susceptible to noise. To address noise, filters and re-referencing are often applied to CCEP data, but different processing strategies are used from study to study.\nNew method\nWe systematically compare how common average re-referencing and filtering CCEP data impacts quantification.\nResults\nWe show that common average re-referencing and filters, particularly filters that cut out more frequencies, can significantly impact the quantification of CCEP magnitude and morphology. We identify that high cutoff high pass filters (&gt; 0.5 Hz), low cutoff low pass filters (&lt; 200 Hz), and common average re-referencing impact quantification across subjects. However, we also demonstrate that the presence of noise may impact CCEP quantification, and preprocessing is necessary to mitigate this. We show that filtering is more effective than re-referencing or averaging across trials for reducing most common types of noise.\nComparison with existing methods\nThese results suggest that existing CCEP processing methods must be applied with care to maximize noise reduction and minimize changes to the data. We do not test every available processing strategy; rather we demonstrate that processing can influence the results of CCEP studies. We emphasize the importance of reporting all processing methods, particularly re-referencing methods.\nConclusions\nWe propose a general framework for choosing an appropriate processing pipeline for CCEP data, taking into consideration the noise levels of a specific dataset. We suggest that minimal gentle filtering is preferable.","container-title":"Journal of Neuroscience Methods","DOI":"10.1016/j.jneumeth.2024.110130","ISSN":"0165-0270","journalAbbreviation":"Journal of Neuroscience Methods","page":"110130","source":"ScienceDirect","title":"Data processing techniques impact quantification of cortico-cortical evoked potentials","volume":"408","author":[{"family":"Levinson","given":"L. H."},{"family":"Sun","given":"S."},{"family":"Paschall","given":"C. J."},{"family":"Perks","given":"K. M."},{"family":"Weaver","given":"K. E."},{"family":"Perlmutter","given":"S. I."},{"family":"Ko","given":"A. L."},{"family":"Ojemann","given":"J. G."},{"family":"Herron","given":"J. A."}],"issued":{"date-parts":[["2024",8,1]]},"citation-key":"levinsonDataProcessingTechniques2024"}},{"id":3516,"uris":["http://zotero.org/users/7023408/items/PIPUQARN"],"itemData":{"id":3516,"type":"article-journal","abstract":"The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D."}],"issued":{"date-parts":[["2014",10,5]]},"citation-key":"kellerMappingHumanBrain2014"}},{"id":3366,"uris":["http://zotero.org/users/7023408/items/IT2T88K7"],"itemData":{"id":3366,"type":"article-journal","abstract":"Objective\nTo investigate the human limbic system using cortico-cortical evoked potential (CCEP), which reveals the brain networks.\nMethods\nFive patients with nonlesional medically intractable focal epilepsy with ictal onset outside the limbic system were enrolled. All patients underwent stereoelectroencephalogram electrode implantation in order to delineate the epileptogenic zone. Alternating 1Hz electrical stimuli were delivered to the hippocampus and posterior cingulate gyrus. A total of sixty stimuli were averaged in each trial to obtain CCEP responses.\nResults\nHippocampal stimulation elicited prominent CCEP responses in the posterior cingulate gyrus. The latencies of early (N1) and late (N2) negative peak ranged 20–60ms and 102–175ms respectively. In addition, CCEP responses were observed in the posterior parahippocampal gyrus, medial superior frontal gyrus (SFG) and orbitofrontal cortex. Stimulation of posterior cingulate contacts induced CCEPs in the hippocampus with N1 and N2 latencies of 25–43ms and 90–234ms respectively in all five patients.\nConclusion\nThis finding supports the assertion that the hippocampus is connected with the posterior cingulate gyrus, posterior parahippocampal gyrus, medial SFG and orbitofrontal cortex. The hippocampus and posterior cingulate gyrus have a bidirectional network through the cingulum.\nSignificance\nThe present study provides new insight into the human limbic network.","container-title":"Clinical Neurophysiology","DOI":"10.1016/j.clinph.2013.01.024","ISSN":"1388-2457","issue":"8","journalAbbreviation":"Clinical Neurophysiology","language":"en","page":"1547-1556","source":"ScienceDirect","title":"In vivo human hippocampal cingulate connectivity: A corticocortical evoked potentials (CCEPs) study","title-short":"In vivo human hippocampal cingulate connectivity","volume":"124","author":[{"family":"Kubota","given":"Yuichi"},{"family":"Enatsu","given":"Rei"},{"family":"Gonzalez-Martinez","given":"Jorge"},{"family":"Bulacio","given":"Juan"},{"family":"Mosher","given":"John"},{"family":"Burgess","given":"Richard C."},{"family":"Nair","given":"Dileep R."}],"issued":{"date-parts":[["2013",8,1]]},"citation-key":"kubotaVivoHumanHippocampal2013"}},{"id":4294,"uris":["http://zotero.org/users/7023408/items/G9VYCQ54"],"itemData":{"id":4294,"type":"article-journal","abstract":"Epilepsy presurgical investigation may include focal intracortical single-pulse electrical stimulations with depth electrodes, which induce cortico-cortical evoked potentials at distant sites because of white matter connectivity. Cortico-cortical evoked potentials provide a unique window on functional brain networks because they contain sufficient information to infer dynamical properties of large-scale brain connectivity, such as preferred directionality and propagation latencies.  Here, we developed a biologically informed modelling approach to estimate the neural physiological parameters of brain functional networks from the cortico-cortical evoked potentials recorded in a large multicentric database. Specifically, we considered each cortico-cortical evoked potential as the output of a transient stimulus entering the stimulated region, which directly propagated to the recording region. Both regions were modelled as coupled neural mass models, the parameters of which were estimated from the first cortico-cortical evoked potential component, occurring before 80 ms, using dynamic causal modelling and Bayesian model inversion. This methodology was applied to the data of 780 patients with epilepsy from the F-TRACT database, providing a total of 34 354 bipolar stimulations and 774 445 cortico-cortical evoked potentials. The cortical mapping of the local excitatory and inhibitory synaptic time constants and of the axonal conduction delays between cortical regions was obtained at the population level using anatomy-based averaging procedures, based on the Lausanne2008 and the HCP-MMP1 parcellation schemes, containing 130 and 360 parcels, respectively. To rule out brain maturation effects, a separate analysis was performed for older (&gt;15 years) and younger patients (&lt;15 years). In the group of older subjects, we found that the cortico-cortical axonal conduction delays between parcels were globally short (median = 10.2 ms) and only 16% were larger than 20 ms. This was associated to a median velocity of 3.9 m/s. Although a general lengthening of these delays with the distance between the stimulating and recording contacts was observed across the cortex, some regions were less affected by this rule, such as the insula for which almost all efferent and afferent connections were faster than 10 ms. Synaptic time constants were found to be shorter in the sensorimotor, medial occipital and latero-temporal regions, than in other cortical areas. Finally, we found that axonal conduction delays were significantly larger in the group of subjects younger than 15 years, which corroborates that brain maturation increases the speed of brain dynamics. To our knowledge, this study is the first to provide a local estimation of axonal conduction delays and synaptic time constants across the whole human cortex in vivo, based on intracerebral electrophysiological recordings.","container-title":"Brain: A Journal of Neurology","DOI":"10.1093/brain/awab362","ISSN":"1460-2156","issue":"5","journalAbbreviation":"Brain","language":"eng","note":"PMID: 35416942\nPMCID: PMC9166555","page":"1653-1667","source":"PubMed","title":"A brain atlas of axonal and synaptic delays based on modelling of cortico-cortical evoked potentials","volume":"145","author":[{"family":"Lemaréchal","given":"Jean-Didier"},{"family":"Jedynak","given":"Maciej"},{"family":"Trebaul","given":"Lena"},{"family":"Boyer","given":"Anthony"},{"family":"Tadel","given":"François"},{"family":"Bhattacharjee","given":"Manik"},{"family":"Deman","given":"Pierre"},{"family":"Tuyisenge","given":"Viateur"},{"family":"Ayoubian","given":"Leila"},{"family":"Hugues","given":"Etienne"},{"family":"Chanteloup-Forêt","given":"Blandine"},{"family":"Saubat","given":"Carole"},{"family":"Zouglech","given":"Raouf"},{"family":"Reyes Mejia","given":"Gina Catalina"},{"family":"Tourbier","given":"Sébastien"},{"family":"Hagmann","given":"Patric"},{"family":"Adam","given":"Claude"},{"family":"Barba","given":"Carmen"},{"family":"Bartolomei","given":"Fabrice"},{"family":"Blauwblomme","given":"Thomas"},{"family":"Curot","given":"Jonathan"},{"family":"Dubeau","given":"François"},{"family":"Francione","given":"Stefano"},{"family":"Garcés","given":"Mercedes"},{"family":"Hirsch","given":"Edouard"},{"family":"Landré","given":"Elizabeth"},{"family":"Liu","given":"Sinclair"},{"family":"Maillard","given":"Louis"},{"family":"Metsähonkala","given":"Eeva-Liisa"},{"family":"Mindruta","given":"Ioana"},{"family":"Nica","given":"Anca"},{"family":"Pail","given":"Martin"},{"family":"Petrescu","given":"Ana Maria"},{"family":"Rheims","given":"Sylvain"},{"family":"Rocamora","given":"Rodrigo"},{"family":"Schulze-Bonhage","given":"Andreas"},{"family":"Szurhaj","given":"William"},{"family":"Taussig","given":"Delphine"},{"family":"Valentin","given":"Antonio"},{"family":"Wang","given":"Haixiang"},{"family":"Kahane","given":"Philippe"},{"family":"George","given":"Nathalie"},{"family":"David","given":"Olivier"},{"literal":"F-TRACT consortium"}],"issued":{"date-parts":[["2022",6,3]]},"citation-key":"lemarechalBrainAtlasAxonal2022"}}],"schema":"https://github.com/citation-style-language/schema/raw/master/csl-citation.json"}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(26, 28, 58, 59)</w:t>
      </w:r>
      <w:r w:rsidRPr="005B4F50">
        <w:rPr>
          <w:rFonts w:ascii="Arial" w:hAnsi="Arial" w:cs="Arial"/>
          <w:sz w:val="20"/>
          <w:szCs w:val="20"/>
        </w:rPr>
        <w:fldChar w:fldCharType="end"/>
      </w:r>
      <w:r w:rsidRPr="005B4F50">
        <w:rPr>
          <w:rFonts w:ascii="Arial" w:hAnsi="Arial" w:cs="Arial"/>
          <w:sz w:val="20"/>
          <w:szCs w:val="20"/>
        </w:rPr>
        <w:t xml:space="preserve">, especially clusters with the highest inter-regional morphological similarity. However, other clusters expressed CCEP morphologies beyond the commonly assumed N1/N2 shape. Others have noted CCEP morphologies that do not rely on pre-defined assumptions about shape, the limitations of such assumptions on characterizing effective networks, and the utility of assumption-free approaches for formalizing CCEP analysis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{"citationID":"Gi599aCE","properties":{"formattedCitation":"(29, 35, 60)","plainCitation":"(29, 35, 60)","noteIndex":0},"citationItems":[{"id":4293,"uris":["http://zotero.org/users/7023408/items/DUZJRH6R"],"itemData":{"id":4293,"type":"article-journal","abstract":"Single-pulse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id":3668,"uris":["http://zotero.org/users/7023408/items/A74SVIDZ"],"itemData":{"id":3668,"type":"article-journal","abstract":"Stimulation-evoked signals are starting to be used as biomarkers to indicate the state and health of brain networks. The human limbic network, often targeted for brain stimulation therapy, is involved in emotion and memory processing. Previous anatomic, neurophysiological, and functional studies suggest distinct subsystems within the limbic network (Rolls, 2015). Studies using intracranial electrical stimulation, however, have emphasized the similarities of the evoked waveforms across the limbic network. We test whether these subsystems have distinct stimulation-driven signatures. In eight patients (four male, four female) with drug-resistant epilepsy, we stimulated the limbic system with single-pulse electrical stimulation. Reliable corticocortical evoked potentials (CCEPs) were measured between hippocampus and the posterior cingulate cortex (PCC) and between the amygdala and the anterior cingulate cortex (ACC). However, the CCEP waveform in the PCC after hippocampal stimulation showed a unique and reliable morphology, which we term the “limbic Hippocampus-Anterior nucleus of the thalamus-Posterior cingulate, HAP-wave.” This limbic HAP-wave was visually distinct and separately decoded from the CCEP waveform in ACC after amygdala stimulation. Diffusion MRI data show that the measured end points in the PCC overlap with the end points of the parolfactory cingulum bundle rather than the parahippocampal cingulum, suggesting that the limbic HAP-wave may travel through fornix, mammillary bodies, and the anterior nucleus of the thalamus (ANT). This was further confirmed by stimulating the ANT, which evoked the same limbic HAP-wave but with an earlier latency. Limbic subsystems have unique stimulation-evoked signatures that may be used in the future to help network pathology diagnosis.\n            \n              SIGNIFICANCE STATEMENT\n              The limbic system is often compromised in diverse clinical conditions, such as epilepsy or Alzheimer’s disease, and characterizing its typical circuit responses may provide diagnostic insight. Stimulation-evoked waveforms have been used in the motor system to diagnose circuit pathology. We translate this framework to limbic subsystems using human intracranial stereo EEG (sEEG) recordings that measure deeper brain areas. Our sEEG recordings describe a stimulation-evoked waveform characteristic to the memory and spatial subsystem of the limbic network that we term the “limbic HAP-wave.” The limbic HAP-wave follows anatomic white matter pathways from hippocampus to thalamus to the posterior cingulum and shows promise as a distinct biomarker of signaling in the human brain memory and spatial limbic network.","container-title":"The Journal of Neuroscience","DOI":"10.1523/JNEUROSCI.2201-22.2023","ISSN":"0270-6474, 1529-2401","issue":"39","journalAbbreviation":"J. Neurosci.","language":"en","page":"6697-6711","source":"DOI.org (Crossref)","title":"Signatures of Electrical Stimulation Driven Network Interactions in the Human Limbic System","volume":"43","author":[{"family":"Ojeda Valencia","given":"Gabriela"},{"family":"Gregg","given":"Nicholas M."},{"family":"Huang","given":"Harvey"},{"family":"Lundstrom","given":"Brian N."},{"family":"Brinkmann","given":"Benjamin H."},{"family":"Pal Attia","given":"Tal"},{"family":"Van Gompel","given":"Jamie J."},{"family":"Bernstein","given":"Matt A."},{"family":"In","given":"Myung-Ho"},{"family":"Huston","given":"John"},{"family":"Worrell","given":"Gregory A."},{"family":"Miller","given":"Kai J."},{"family":"Hermes","given":"Dora"}],"issued":{"date-parts":[["2023",9,27]]},"citation-key":"ojedavalenciaSignaturesElectricalStimulation2023"}},{"id":4295,"uris":["http://zotero.org/users/7023408/items/3L4MQ25G"],"itemData":{"id":4295,"type":"article-journal","abstract":"Theta-burst stimulation (TBS), a patterned brain stimulation technique that mimics rhythmic bursts of 3-8 Hz endogenous brain rhythms, has emerged as a promising therapeutic approach for treating a wide range of brain disorders, though the neural mechanism of TBS action remains poorly understood. We investigated the neural effects of TBS using intracranial EEG (iEEG) in 10 pre-surgical epilepsy participants undergoing intracranial monitoring. Here we show that individual bursts of direct electrical TBS at 29 frontal and temporal sites evoked strong neural responses spanning broad cortical regions. These responses exhibited dynamic local field potential voltage changes over the course of stimulation presentations, including either increasing or decreasing responses, suggestive of short-term plasticity. Stronger stimulation augmented the mean TBS response amplitude and spread with more recording sites demonstrating short-term plasticity. TBS responses were stimulation site-specific with stronger TBS responses observed in regions with strong baseline stimulation effective (cortico-cortical evoked potentials) and functional (low frequency phase locking) connectivity. Further, we could use these measures to predict stable and varying (e.g. short-term plasticity) TBS response locations. Future work may integrate pre-treatment connectivity alongside other biophysical factors to personalize stimulation parameters, thereby optimizing induction of neuroplasticity within disease-relevant brain networks.","container-title":"Nature Communications","DOI":"10.1038/s41467-024-51443-1","ISSN":"2041-1723","issue":"1","journalAbbreviation":"Nat Commun","language":"eng","note":"PMID: 39143083\nPMCID: PMC11324911","page":"6982","source":"PubMed","title":"Theta-burst direct electrical stimulation remodels human brain networks","volume":"15","author":[{"family":"Huang","given":"Yuhao"},{"family":"Zelmann","given":"Rina"},{"family":"Hadar","given":"Peter"},{"family":"Dezha-Peralta","given":"Jaquelin"},{"family":"Richardson","given":"R. Mark"},{"family":"Williams","given":"Ziv M."},{"family":"Cash","given":"Sydney S."},{"family":"Keller","given":"Corey J."},{"family":"Paulk","given":"Angelique C."}],"issued":{"date-parts":[["2024",8,14]]},"citation-key":"huangThetaburstDirectElectrical2024"}}],"schema":"https://github.com/citation-style-language/schema/raw/master/csl-citation.json"}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(29, 35, 60)</w:t>
      </w:r>
      <w:r w:rsidRPr="005B4F50">
        <w:rPr>
          <w:rFonts w:ascii="Arial" w:hAnsi="Arial" w:cs="Arial"/>
          <w:sz w:val="20"/>
          <w:szCs w:val="20"/>
        </w:rPr>
        <w:fldChar w:fldCharType="end"/>
      </w:r>
      <w:r w:rsidRPr="005B4F50">
        <w:rPr>
          <w:rFonts w:ascii="Arial" w:hAnsi="Arial" w:cs="Arial"/>
          <w:sz w:val="20"/>
          <w:szCs w:val="20"/>
        </w:rPr>
        <w:t xml:space="preserve">. This aligns with our findings; however, to our knowledge, no other study has directly supported this notion with quantitative evidence. To this end, we used a random forest model to assess the predictive strength across a panel of CCEP features for classifying which cingulate subregion was stimulated. This approach revealed the CCEP features with the highest predictive strength for characterizing Cg effective networks. We found that assumption-based waveform features consisting of qualities of N1 and N2 peaks had the lowest predictor strength for classifying the stimulated Cg subregion. This result indicates that the quantitative content represented by these assumption-based features is inferior to other measures (such as coherence or magnitude) in differentiating Cg networks. This further supports previous assertions that formalized, assumption-free methods of analyzing CCEPs will be essential to characterize and compare effective networks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{"citationID":"1NXi1vGh","properties":{"formattedCitation":"(29)","plainCitation":"(29)","noteIndex":0},"citationItems":[{"id":4293,"uris":["http://zotero.org/users/7023408/items/DUZJRH6R"],"itemData":{"id":4293,"type":"article-journal","abstract":"Single-pulse electrical stimulation in the nervous system, often called cortico-cortical evoked potential (CCEP) measurement, is an important technique to understand how brain regions interact with one another. Voltages are measured from implanted electrodes in one brain area while stimulating another with brief current impulses separated by several seconds. Historically, researchers have tried to understand the significance of evoked voltage polyphasic deflections by visual inspection, but no general-purpose tool has emerged to understand their shapes or describe them mathematically. We describe and illustrate a new technique to parameterize brain stimulation data, where voltage response traces are projected into one another using a semi-normalized dot product. The length of timepoints from stimulation included in the dot product is varied to obtain a temporal profile of structural significance, and the peak of the profile uniquely identifies the duration of the response. Using linear kernel PCA, a canonical response shape is obtained over this duration, and then single-trial traces are parameterized as a projection of this canonical shape with a residual term. Such parameterization allows for dissimilar trace shapes from different brain areas to be directly compared by quantifying cross-projection magnitudes, response duration, canonical shape projection amplitudes, signal-to-noise ratios, explained variance, and statistical significance. Artifactual trials are automatically identified by outliers in sub-distributions of cross-projection magnitude, and rejected. This technique, which we call \"Canonical Response Parameterization\" (CRP) dramatically simplifies the study of CCEP shapes, and may also be applied in a wide range of other settings involving event-triggered data.","container-title":"PLoS computational biology","DOI":"10.1371/journal.pcbi.1011105","ISSN":"1553-7358","issue":"5","journalAbbreviation":"PLoS Comput Biol","language":"eng","note":"PMID: 37228169\nPMCID: PMC10246848","page":"e1011105","source":"PubMed","title":"Canonical Response Parameterization: Quantifying the structure of responses to single-pulse intracranial electrical brain stimulation","title-short":"Canonical Response Parameterization","volume":"19","author":[{"family":"Miller","given":"Kai J."},{"family":"Müller","given":"Klaus-Robert"},{"family":"Valencia","given":"Gabriela Ojeda"},{"family":"Huang","given":"Harvey"},{"family":"Gregg","given":"Nicholas M."},{"family":"Worrell","given":"Gregory A."},{"family":"Hermes","given":"Dora"}],"issued":{"date-parts":[["2023",5]]},"citation-key":"millerCanonicalResponseParameterization2023"}}],"schema":"https://github.com/citation-style-language/schema/raw/master/csl-citation.json"}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(29)</w:t>
      </w:r>
      <w:r w:rsidRPr="005B4F50">
        <w:rPr>
          <w:rFonts w:ascii="Arial" w:hAnsi="Arial" w:cs="Arial"/>
          <w:sz w:val="20"/>
          <w:szCs w:val="20"/>
        </w:rPr>
        <w:fldChar w:fldCharType="end"/>
      </w:r>
      <w:r w:rsidRPr="005B4F50">
        <w:rPr>
          <w:rFonts w:ascii="Arial" w:hAnsi="Arial" w:cs="Arial"/>
          <w:sz w:val="20"/>
          <w:szCs w:val="20"/>
        </w:rPr>
        <w:t>.</w:t>
      </w:r>
    </w:p>
    <w:p w14:paraId="6AD3D778" w14:textId="5D2EC7B2"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When evaluating the classification accuracy of our model across cortical regions, we hypothesized that Cg “hub” regions, i.e., regions with near identical primary measures of effective connectivity, would have the lowest classification accuracy, especially due to the similarity of how connected these regions are to each Cg subregion. We did not observe this in our results, indicating that the statistical content of features beyond primary measures of effective connectivity is useful for distinguishing CC subregion networks. Instead, hippocampal and amygdala structures had the lowest classification accuracy, demonstrating low distinguishability </w:t>
      </w:r>
      <w:r w:rsidRPr="005B4F50">
        <w:rPr>
          <w:rFonts w:ascii="Arial" w:hAnsi="Arial" w:cs="Arial"/>
          <w:sz w:val="20"/>
          <w:szCs w:val="20"/>
        </w:rPr>
        <w:lastRenderedPageBreak/>
        <w:t>between the statistical content extracted from CCEPs in this region. Interestingly, when comparing the frequency of statistical significance between correctly and incorrectly classified CCEPs, we found that while statistical significance was more prevalent in correctly classified responses, only 18-26% of these responses showed statistical significance. This finding may challenge the notion that traditional statistics are sufficient to fully describe effective networks, and instead, multi-modal approaches consisting of a breadth of features will be necessary in characterizing them.</w:t>
      </w:r>
    </w:p>
    <w:p w14:paraId="5BFDF8AC" w14:textId="1DD99E88" w:rsidR="00941AE5" w:rsidRPr="005B4F50" w:rsidRDefault="00941AE5" w:rsidP="00750445">
      <w:pPr>
        <w:rPr>
          <w:rFonts w:ascii="Arial" w:hAnsi="Arial" w:cs="Arial"/>
          <w:i/>
          <w:iCs/>
          <w:sz w:val="20"/>
          <w:szCs w:val="20"/>
        </w:rPr>
      </w:pPr>
      <w:r w:rsidRPr="005B4F50">
        <w:rPr>
          <w:rFonts w:ascii="Arial" w:hAnsi="Arial" w:cs="Arial"/>
          <w:i/>
          <w:iCs/>
          <w:sz w:val="20"/>
          <w:szCs w:val="20"/>
        </w:rPr>
        <w:t>Limitations and Future Directions</w:t>
      </w:r>
    </w:p>
    <w:p w14:paraId="3939D5D9" w14:textId="77368A0A" w:rsidR="00941AE5" w:rsidRPr="005B4F50" w:rsidRDefault="00941AE5" w:rsidP="00750445">
      <w:pPr>
        <w:rPr>
          <w:rFonts w:ascii="Arial" w:hAnsi="Arial" w:cs="Arial"/>
          <w:sz w:val="20"/>
          <w:szCs w:val="20"/>
        </w:rPr>
      </w:pPr>
      <w:r w:rsidRPr="005B4F50">
        <w:rPr>
          <w:rFonts w:ascii="Arial" w:hAnsi="Arial" w:cs="Arial"/>
          <w:sz w:val="20"/>
          <w:szCs w:val="20"/>
        </w:rPr>
        <w:tab/>
        <w:t xml:space="preserve">Our study included patients with medically refractory epilepsy requiring invasive monitoring via SEEG. It is possible that excessive epileptiform activity could have an impact on the physiology underlying models of effective networks. Regardless, invasively monitored patients with epilepsy have remained a strong model of normal human physiology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{"citationID":"pA0nYX6Z","properties":{"formattedCitation":"(26)","plainCitation":"(26)","noteIndex":0},"citationItems":[{"id":3516,"uris":["http://zotero.org/users/7023408/items/PIPUQARN"],"itemData":{"id":3516,"type":"article-journal","abstract":"The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(26)</w:t>
      </w:r>
      <w:r w:rsidRPr="005B4F50">
        <w:rPr>
          <w:rFonts w:ascii="Arial" w:hAnsi="Arial" w:cs="Arial"/>
          <w:sz w:val="20"/>
          <w:szCs w:val="20"/>
        </w:rPr>
        <w:fldChar w:fldCharType="end"/>
      </w:r>
      <w:r w:rsidRPr="005B4F50">
        <w:rPr>
          <w:rFonts w:ascii="Arial" w:hAnsi="Arial" w:cs="Arial"/>
          <w:sz w:val="20"/>
          <w:szCs w:val="20"/>
        </w:rPr>
        <w:t>.</w:t>
      </w:r>
    </w:p>
    <w:p w14:paraId="7ACDA6DE" w14:textId="07D734F0" w:rsidR="00941AE5" w:rsidRPr="005B4F50" w:rsidRDefault="00941AE5" w:rsidP="00750445">
      <w:pPr>
        <w:ind w:firstLine="720"/>
        <w:rPr>
          <w:rFonts w:ascii="Arial" w:hAnsi="Arial" w:cs="Arial"/>
          <w:sz w:val="20"/>
          <w:szCs w:val="20"/>
        </w:rPr>
      </w:pPr>
      <w:r w:rsidRPr="005B4F50">
        <w:rPr>
          <w:rFonts w:ascii="Arial" w:hAnsi="Arial" w:cs="Arial"/>
          <w:sz w:val="20"/>
          <w:szCs w:val="20"/>
        </w:rPr>
        <w:t xml:space="preserve">Our study provides a comprehensive profile of the Cg effective connectivity networks. These profiles were constructed using a divergent model of effective connectivity, meaning that the characteristics of the features we extracted reflect the connections from the Cg subregion to regions of the cortex. Since effective networks consist of complex, often multidirectional neural interactions, our results do not reflect a complete model of the human Cg effective networks. To form a complete model of the human cingulate cortex’s effective connectivity, future convergent models following similar frameworks will be necessary to characterize all directional patterns of neural interactions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{"citationID":"ErrpNGwl","properties":{"formattedCitation":"(32)","plainCitation":"(32)","noteIndex":0},"citationItems":[{"id":3036,"uris":["http://zotero.org/users/7023408/items/CUSVQH4H"],"itemData":{"id":3036,"type":"article-journal","abstract":"Brain networks can be explored by delivering brief pulses of electrical current in one area while measuring voltage responses in other areas. We propose a convergent paradigm to study brain dynamics, focusing on a single brain site to observe the average effect of stimulating each of many other brain sites. Viewed in this manner, visually-apparent motifs in the temporal response shape emerge from adjacent stimulation sites. This work constructs and illustrates a data-driven approach to determine characteristic spatiotemporal structure in these response shapes, summarized by a set of unique “basis profile curves” (BPCs). Each BPC may be mapped back to underlying anatomy in a natural way, quantifying projection strength from each stimulation site using simple metrics. Our technique is demonstrated for an array of implanted brain surface electrodes in a human patient. This framework enables straightforward interpretation of single-pulse brain stimulation data, and can be applied generically to explore the diverse milieu of interactions that comprise the connectome.","container-title":"PLOS Computational Biology","DOI":"10.1371/journal.pcbi.1008710","ISSN":"1553-7358","issue":"9","journalAbbreviation":"PLOS Computational Biology","language":"en","page":"e1008710","source":"PLoS Journals","title":"Basis profile curve identification to understand electrical stimulation effects in human brain networks","volume":"17","author":[{"family":"Miller","given":"Kai J."},{"family":"Müller","given":"Klaus-Robert"},{"family":"Hermes","given":"Dora"}],"issued":{"date-parts":[["2021",9,2]]},"citation-key":"millerBasisProfileCurve2021"}}],"schema":"https://github.com/citation-style-language/schema/raw/master/csl-citation.json"}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(32)</w:t>
      </w:r>
      <w:r w:rsidRPr="005B4F50">
        <w:rPr>
          <w:rFonts w:ascii="Arial" w:hAnsi="Arial" w:cs="Arial"/>
          <w:sz w:val="20"/>
          <w:szCs w:val="20"/>
        </w:rPr>
        <w:fldChar w:fldCharType="end"/>
      </w:r>
      <w:r w:rsidRPr="005B4F50">
        <w:rPr>
          <w:rFonts w:ascii="Arial" w:hAnsi="Arial" w:cs="Arial"/>
          <w:sz w:val="20"/>
          <w:szCs w:val="20"/>
        </w:rPr>
        <w:t xml:space="preserve">. </w:t>
      </w:r>
    </w:p>
    <w:p w14:paraId="3E8785F7" w14:textId="77777777" w:rsidR="00941AE5" w:rsidRPr="005B4F50" w:rsidRDefault="00941AE5" w:rsidP="00750445">
      <w:pPr>
        <w:ind w:firstLine="720"/>
        <w:rPr>
          <w:rFonts w:ascii="Arial" w:hAnsi="Arial" w:cs="Arial"/>
          <w:sz w:val="20"/>
          <w:szCs w:val="20"/>
        </w:rPr>
      </w:pPr>
      <w:r w:rsidRPr="005B4F50">
        <w:rPr>
          <w:rFonts w:ascii="Arial" w:hAnsi="Arial" w:cs="Arial"/>
          <w:sz w:val="20"/>
          <w:szCs w:val="20"/>
        </w:rPr>
        <w:t>Further, “one-to-all” (divergent) and “all-to-one” (convergent) studies produce data that are often high-dimensional, making interpretation of specific connections difficult. While our present work provides a profile of Cg effective connectivity indexing across all available regions, we do not present detailed qualities of single connections. We believe that future work, centered on single or a few effective pathways, will be essential to approaching a comprehensive understanding of the Cg’s effective networks. However, our work provides a comprehensive, methodologically sound profile that we believe will be useful to any future work evaluating Cg connectivity or function.</w:t>
      </w:r>
    </w:p>
    <w:p w14:paraId="7550C69C" w14:textId="02F68B69" w:rsidR="00E6133D" w:rsidRPr="005B4F50" w:rsidRDefault="00941AE5" w:rsidP="00750445">
      <w:pPr>
        <w:ind w:firstLine="720"/>
        <w:rPr>
          <w:rFonts w:ascii="Arial" w:hAnsi="Arial" w:cs="Arial"/>
          <w:sz w:val="20"/>
          <w:szCs w:val="20"/>
        </w:rPr>
      </w:pPr>
      <w:r w:rsidRPr="005B4F50">
        <w:rPr>
          <w:rFonts w:ascii="Arial" w:hAnsi="Arial" w:cs="Arial"/>
          <w:sz w:val="20"/>
          <w:szCs w:val="20"/>
        </w:rPr>
        <w:t>Another limitation of this study is contact coverage. Invasive studies of human effective connectivity are limited by several factors, including biases in contact placement due to clinical needs. While our study addresses other confounding factors, the resolution of our Cg networks is limited by the placement and density of contacts. The subregions of the Cg consist of parcellations more granular than the level of resolution presented in this study. However, as the formalization of CCEP analysis and effective network modeling improves within the field, we will be able to produce effective connectivity models with higher resolution and investigate the profile of the Cg in greater detail.</w:t>
      </w:r>
    </w:p>
    <w:p w14:paraId="36E04416" w14:textId="77777777" w:rsidR="00980C22" w:rsidRPr="005B4F50" w:rsidRDefault="00980C22" w:rsidP="00750445">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5B4F50" w:rsidRDefault="00E6133D" w:rsidP="00750445">
      <w:pPr>
        <w:pBdr>
          <w:top w:val="nil"/>
          <w:left w:val="nil"/>
          <w:bottom w:val="nil"/>
          <w:right w:val="nil"/>
          <w:between w:val="nil"/>
        </w:pBdr>
        <w:spacing w:after="0"/>
        <w:contextualSpacing/>
        <w:rPr>
          <w:rFonts w:ascii="Arial" w:hAnsi="Arial" w:cs="Arial"/>
          <w:color w:val="000000"/>
          <w:sz w:val="20"/>
          <w:szCs w:val="20"/>
        </w:rPr>
      </w:pPr>
      <w:r w:rsidRPr="005B4F50">
        <w:rPr>
          <w:rFonts w:ascii="Arial" w:hAnsi="Arial" w:cs="Arial"/>
          <w:b/>
          <w:color w:val="000000"/>
          <w:sz w:val="20"/>
          <w:szCs w:val="20"/>
        </w:rPr>
        <w:t>Materials and Methods</w:t>
      </w:r>
    </w:p>
    <w:p w14:paraId="3C2712AB" w14:textId="77777777" w:rsidR="00E6133D" w:rsidRPr="005B4F50" w:rsidRDefault="00E6133D" w:rsidP="00750445">
      <w:pPr>
        <w:pBdr>
          <w:top w:val="nil"/>
          <w:left w:val="nil"/>
          <w:bottom w:val="nil"/>
          <w:right w:val="nil"/>
          <w:between w:val="nil"/>
        </w:pBdr>
        <w:spacing w:after="0"/>
        <w:contextualSpacing/>
        <w:rPr>
          <w:rFonts w:ascii="Arial" w:hAnsi="Arial" w:cs="Arial"/>
          <w:b/>
          <w:color w:val="000000"/>
          <w:sz w:val="20"/>
          <w:szCs w:val="20"/>
        </w:rPr>
      </w:pPr>
    </w:p>
    <w:p w14:paraId="4483DBE9" w14:textId="462D508F" w:rsidR="004C4175" w:rsidRPr="005B4F50" w:rsidRDefault="004C4175" w:rsidP="00750445">
      <w:pPr>
        <w:rPr>
          <w:rFonts w:ascii="Arial" w:hAnsi="Arial" w:cs="Arial"/>
          <w:sz w:val="20"/>
          <w:szCs w:val="20"/>
        </w:rPr>
      </w:pPr>
      <w:r w:rsidRPr="005B4F50">
        <w:rPr>
          <w:rFonts w:ascii="Arial" w:hAnsi="Arial" w:cs="Arial"/>
          <w:i/>
          <w:iCs/>
          <w:sz w:val="20"/>
          <w:szCs w:val="20"/>
        </w:rPr>
        <w:t>Participants and data collection:</w:t>
      </w:r>
      <w:r w:rsidRPr="005B4F50">
        <w:rPr>
          <w:rFonts w:ascii="Arial" w:hAnsi="Arial" w:cs="Arial"/>
          <w:sz w:val="20"/>
          <w:szCs w:val="20"/>
        </w:rPr>
        <w:t xml:space="preserve"> This study includes 15 patients with intractable epilepsy undergoing invasive SEEG monitoring at the Barnes-Jewish Hospital epilepsy monitoring unit (Saint Louis, MO).</w:t>
      </w:r>
      <w:r w:rsidR="005B4F50" w:rsidRPr="005B4F50">
        <w:rPr>
          <w:rFonts w:ascii="Arial" w:hAnsi="Arial" w:cs="Arial"/>
          <w:sz w:val="20"/>
          <w:szCs w:val="20"/>
        </w:rPr>
        <w:t xml:space="preserve"> Patients underwent intracranial SPES as part of their clinical mapping procedure and were provided </w:t>
      </w:r>
      <w:r w:rsidR="00B94799">
        <w:rPr>
          <w:rFonts w:ascii="Arial" w:hAnsi="Arial" w:cs="Arial"/>
          <w:sz w:val="20"/>
          <w:szCs w:val="20"/>
        </w:rPr>
        <w:t xml:space="preserve">with </w:t>
      </w:r>
      <w:r w:rsidR="005B4F50" w:rsidRPr="005B4F50">
        <w:rPr>
          <w:rFonts w:ascii="Arial" w:hAnsi="Arial" w:cs="Arial"/>
          <w:sz w:val="20"/>
          <w:szCs w:val="20"/>
        </w:rPr>
        <w:t>informed consent.</w:t>
      </w:r>
      <w:r w:rsidRPr="005B4F50">
        <w:rPr>
          <w:rFonts w:ascii="Arial" w:hAnsi="Arial" w:cs="Arial"/>
          <w:sz w:val="20"/>
          <w:szCs w:val="20"/>
        </w:rPr>
        <w:t xml:space="preserve"> Patient electrophysiology was recorded using a 256-channel clinical system at a sampling rate of 2 kHz. Data collection and event logging were managed using BCI2000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{"citationID":"edn4rXbB","properties":{"formattedCitation":"(61)","plainCitation":"(61)","noteIndex":0},"citationItems":[{"id":19,"uris":["http://zotero.org/users/7023408/items/63MKKR2J"],"itemData":{"id":19,"type":"article-journal","abstract":"Many laboratories have begun to develop brain-computer interface (BCI) systems that provide communication and control capabilities to people with severe motor disabilities. Further progress and realization of practical applications depends on systematic evaluations and comparisons of different brain signals, recording methods, processing algorithms, output formats, and operating protocols. However, the typical BCI system is designed specifically for one particular BCI method and is, therefore, not suited to the systematic studies that are essential for continued progress. In response to this problem, we have developed a documented general-purpose BCI research and development platform called BCI2000. BCI2000 can incorporate alone or in combination any brain signals, signal processing methods, output devices, and operating protocols. This report is intended to describe to investigators, biomedical engineers, and computer scientists the concepts that the BCI2000 system is based upon and gives examples of successful BCI implementations using this system. To date, we have used BCI2000 to create BCI systems for a variety of brain signals, processing methods, and applications. The data show that these systems function well in online operation and that BCI2000 satisfies the stringent real-time requirements of BCI systems. By substantially reducing labor and cost, BCI2000 facilitates the implementation of different BCI systems and other psychophysiological experiments. It is available with full documentation and free of charge for research or educational purposes and is currently being used in a variety of studies by many research groups.","container-title":"IEEE Transactions on Biomedical Engineering","DOI":"10.1109/TBME.2004.827072","ISSN":"1558-2531","issue":"6","page":"1034-1043","source":"IEEE Xplore","title":"BCI2000: a general-purpose brain-computer interface (BCI) system","title-short":"BCI2000","volume":"51","author":[{"family":"Schalk","given":"G."},{"family":"McFarland","given":"D.J."},{"family":"Hinterberger","given":"T."},{"family":"Birbaumer","given":"N."},{"family":"Wolpaw","given":"J.R."}],"issued":{"date-parts":[["2004",6]]},"citation-key":"schalkBCI2000GeneralpurposeBraincomputer2004"}}],"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(61)</w:t>
      </w:r>
      <w:r w:rsidRPr="005B4F50">
        <w:rPr>
          <w:rFonts w:ascii="Arial" w:hAnsi="Arial" w:cs="Arial"/>
          <w:sz w:val="20"/>
          <w:szCs w:val="20"/>
        </w:rPr>
        <w:fldChar w:fldCharType="end"/>
      </w:r>
      <w:r w:rsidRPr="005B4F50">
        <w:rPr>
          <w:rFonts w:ascii="Arial" w:hAnsi="Arial" w:cs="Arial"/>
          <w:sz w:val="20"/>
          <w:szCs w:val="20"/>
        </w:rPr>
        <w:t>. SEEG electrodes were composed of 4-18 contacts with 1.5-mm insulation between them. Patients included in this study had at least one electrode in the PCC, MCC, or ACC. Patients with major lesions or prior resections were not included in this study. Patients unable to provide informed consent or who refused to give informed consent were not recruited for this study.</w:t>
      </w:r>
    </w:p>
    <w:p w14:paraId="193B0B14" w14:textId="0CFEC820" w:rsidR="004C4175" w:rsidRPr="005B4F50" w:rsidRDefault="004C4175" w:rsidP="00750445">
      <w:pPr>
        <w:rPr>
          <w:rFonts w:ascii="Arial" w:hAnsi="Arial" w:cs="Arial"/>
          <w:sz w:val="20"/>
          <w:szCs w:val="20"/>
        </w:rPr>
      </w:pPr>
      <w:r w:rsidRPr="005B4F50">
        <w:rPr>
          <w:rFonts w:ascii="Arial" w:hAnsi="Arial" w:cs="Arial"/>
          <w:i/>
          <w:iCs/>
          <w:sz w:val="20"/>
          <w:szCs w:val="20"/>
        </w:rPr>
        <w:lastRenderedPageBreak/>
        <w:t xml:space="preserve">Electrode localization and patient brain segmentation: </w:t>
      </w:r>
      <w:r w:rsidRPr="005B4F50">
        <w:rPr>
          <w:rFonts w:ascii="Arial" w:hAnsi="Arial" w:cs="Arial"/>
          <w:sz w:val="20"/>
          <w:szCs w:val="20"/>
        </w:rPr>
        <w:t xml:space="preserve">Patient-specific brain models were generated using pre-operative T1-weighted structural MRI, computer tomography scans, </w:t>
      </w:r>
      <w:proofErr w:type="spellStart"/>
      <w:r w:rsidRPr="005B4F50">
        <w:rPr>
          <w:rFonts w:ascii="Arial" w:hAnsi="Arial" w:cs="Arial"/>
          <w:sz w:val="20"/>
          <w:szCs w:val="20"/>
        </w:rPr>
        <w:t>FreeSurfer</w:t>
      </w:r>
      <w:proofErr w:type="spellEnd"/>
      <w:r w:rsidRPr="005B4F50">
        <w:rPr>
          <w:rFonts w:ascii="Arial" w:hAnsi="Arial" w:cs="Arial"/>
          <w:sz w:val="20"/>
          <w:szCs w:val="20"/>
        </w:rPr>
        <w:t xml:space="preserve">, and the VERA colocalization software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{"citationID":"OMDN3RUP","properties":{"formattedCitation":"(62)","plainCitation":"(62)","noteIndex":0},"citationItems":[{"id":3649,"uris":["http://zotero.org/users/7023408/items/X5B6N2WR"],"itemData":{"id":3649,"type":"software","note":"Citation Key: Adamek_VERA_-_A_2022\nDOI: 10.5281/zenodo.7486842","title":"VERA - a versatile electrode localization framework","URL":"https://github.com/neurotechcenter/VERA","version":"1.0.0","author":[{"family":"Adamek","given":"Markus"},{"family":"Swift, James","given":"Robert"},{"family":"Brunner","given":"Peter"}],"issued":{"date-parts":[["2022",12]]},"citation-key":"Adamek_VERA_-_A_2022"}}],"schema":"https://github.com/citation-style-language/schema/raw/master/csl-citation.json"}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(62)</w:t>
      </w:r>
      <w:r w:rsidRPr="005B4F50">
        <w:rPr>
          <w:rFonts w:ascii="Arial" w:hAnsi="Arial" w:cs="Arial"/>
          <w:sz w:val="20"/>
          <w:szCs w:val="20"/>
        </w:rPr>
        <w:fldChar w:fldCharType="end"/>
      </w:r>
      <w:r w:rsidRPr="005B4F50">
        <w:rPr>
          <w:rFonts w:ascii="Arial" w:hAnsi="Arial" w:cs="Arial"/>
          <w:sz w:val="20"/>
          <w:szCs w:val="20"/>
        </w:rPr>
        <w:t xml:space="preserve">. The </w:t>
      </w:r>
      <w:proofErr w:type="spellStart"/>
      <w:r w:rsidRPr="005B4F50">
        <w:rPr>
          <w:rFonts w:ascii="Arial" w:hAnsi="Arial" w:cs="Arial"/>
          <w:sz w:val="20"/>
          <w:szCs w:val="20"/>
        </w:rPr>
        <w:t>Destrieus</w:t>
      </w:r>
      <w:proofErr w:type="spellEnd"/>
      <w:r w:rsidRPr="005B4F50">
        <w:rPr>
          <w:rFonts w:ascii="Arial" w:hAnsi="Arial" w:cs="Arial"/>
          <w:sz w:val="20"/>
          <w:szCs w:val="20"/>
        </w:rPr>
        <w:t xml:space="preserve"> Atlas (2009), which includes a cytoarchitectonic and functional parcellation of the cingulate sulci and gyri, was used for cortical parcellation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{"citationID":"8lvBAAAc","properties":{"formattedCitation":"(63)","plainCitation":"(63)","noteIndex":0},"citationItems":[{"id":4317,"uris":["http://zotero.org/users/7023408/items/CJXAUKB4"],"itemData":{"id":4317,"type":"article-journal","abstract":"Precise localization of sulco-gyral structures of the human cerebral cortex is important for the interpretation of morpho-functional data, but requires anatomical expertise and is time consuming because of the brain s geometric complexity. Software developed to automatically identify sulco-gyral structures has improved substantially as a result of techniques providing topologically-correct reconstructions permitting inflated views of the human brain. Here we describe a complete parcellation of the cortical surface using standard internationally-accepted nomenclature and criteria. This parcellation is available in the FreeSurfer package. First, a computer-assisted hand parcellation classified each vertex as sulcal or gyral, and these were then subparcellated into 74 labels per hemisphere. Twelve datasets were used to develop rules and algorithms (reported here) that produced labels consistent with anatomical rules as well as automated computational parcellation. The final parcellation was used to build an atlas for automatically labeling the whole cerebral cortex. This atlas was used to label an additional 12 datasets, which were found to have good concordance with manual labels. This paper presents a precisely-defined method for automatically labeling the cortical surface in standard terminology.","container-title":"NeuroImage","DOI":"10.1016/j.neuroimage.2010.06.010","ISSN":"1053-8119","issue":"1","journalAbbreviation":"Neuroimage","note":"PMID: 20547229\nPMCID: PMC2937159","page":"1-15","source":"PubMed Central","title":"Automatic parcellation of human cortical gyri and sulci using standard anatomical nomenclature","volume":"53","author":[{"family":"DESTRIEUX","given":"Christophe"},{"family":"FISCHL","given":"Bruce"},{"family":"DALE","given":"Anders"},{"family":"HALGREN","given":"Eric"}],"issued":{"date-parts":[["2010",10,15]]},"citation-key":"destrieuxAutomaticParcellationHuman2010"}}],"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(63)</w:t>
      </w:r>
      <w:r w:rsidRPr="005B4F50">
        <w:rPr>
          <w:rFonts w:ascii="Arial" w:hAnsi="Arial" w:cs="Arial"/>
          <w:sz w:val="20"/>
          <w:szCs w:val="20"/>
        </w:rPr>
        <w:fldChar w:fldCharType="end"/>
      </w:r>
      <w:r w:rsidRPr="005B4F50">
        <w:rPr>
          <w:rFonts w:ascii="Arial" w:hAnsi="Arial" w:cs="Arial"/>
          <w:sz w:val="20"/>
          <w:szCs w:val="20"/>
        </w:rPr>
        <w:t xml:space="preserve">. Electrode localization was performed using VERA, which performs an automated cluster-based detection of electrodes using post-operative CT scans, with manual post-detection alignments and adjustments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{"citationID":"4afzoGKk","properties":{"formattedCitation":"(62)","plainCitation":"(62)","noteIndex":0},"citationItems":[{"id":3649,"uris":["http://zotero.org/users/7023408/items/X5B6N2WR"],"itemData":{"id":3649,"type":"software","note":"Citation Key: Adamek_VERA_-_A_2022\nDOI: 10.5281/zenodo.7486842","title":"VERA - a versatile electrode localization framework","URL":"https://github.com/neurotechcenter/VERA","version":"1.0.0","author":[{"family":"Adamek","given":"Markus"},{"family":"Swift, James","given":"Robert"},{"family":"Brunner","given":"Peter"}],"issued":{"date-parts":[["2022",12]]},"citation-key":"Adamek_VERA_-_A_2022"}}],"schema":"https://github.com/citation-style-language/schema/raw/master/csl-citation.json"}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(62)</w:t>
      </w:r>
      <w:r w:rsidRPr="005B4F50">
        <w:rPr>
          <w:rFonts w:ascii="Arial" w:hAnsi="Arial" w:cs="Arial"/>
          <w:sz w:val="20"/>
          <w:szCs w:val="20"/>
        </w:rPr>
        <w:fldChar w:fldCharType="end"/>
      </w:r>
      <w:r w:rsidRPr="005B4F50">
        <w:rPr>
          <w:rFonts w:ascii="Arial" w:hAnsi="Arial" w:cs="Arial"/>
          <w:sz w:val="20"/>
          <w:szCs w:val="20"/>
        </w:rPr>
        <w:t xml:space="preserve">. For the standardization of anatomy and electrode locations, brain models and electrodes were projected to MNI space. Electrodes were labeled based on the anatomical label of parcellation nearest to the electrode coordinate center. Electrodes localized in Cg subregions were selected </w:t>
      </w:r>
      <w:r w:rsidRPr="005B4F50">
        <w:rPr>
          <w:rFonts w:ascii="Arial" w:hAnsi="Arial" w:cs="Arial"/>
          <w:i/>
          <w:iCs/>
          <w:sz w:val="20"/>
          <w:szCs w:val="20"/>
        </w:rPr>
        <w:t>a priori</w:t>
      </w:r>
      <w:r w:rsidRPr="005B4F50">
        <w:rPr>
          <w:rFonts w:ascii="Arial" w:hAnsi="Arial" w:cs="Arial"/>
          <w:sz w:val="20"/>
          <w:szCs w:val="20"/>
        </w:rPr>
        <w:t xml:space="preserve"> for SPES. Electrode pairs for SPES were then defined as any pair comprising at least one electrode in a Cg subregion.</w:t>
      </w:r>
    </w:p>
    <w:p w14:paraId="61E89EFE" w14:textId="4650585A" w:rsidR="004C4175" w:rsidRPr="005B4F50" w:rsidRDefault="004C4175" w:rsidP="00750445">
      <w:pPr>
        <w:rPr>
          <w:rFonts w:ascii="Arial" w:hAnsi="Arial" w:cs="Arial"/>
          <w:sz w:val="20"/>
          <w:szCs w:val="20"/>
        </w:rPr>
      </w:pPr>
      <w:r w:rsidRPr="005B4F50">
        <w:rPr>
          <w:rFonts w:ascii="Arial" w:hAnsi="Arial" w:cs="Arial"/>
          <w:i/>
          <w:iCs/>
          <w:sz w:val="20"/>
          <w:szCs w:val="20"/>
        </w:rPr>
        <w:t>Intracranial SPES:</w:t>
      </w:r>
      <w:r w:rsidRPr="005B4F50">
        <w:rPr>
          <w:rFonts w:ascii="Arial" w:hAnsi="Arial" w:cs="Arial"/>
          <w:sz w:val="20"/>
          <w:szCs w:val="20"/>
        </w:rPr>
        <w:t xml:space="preserve"> To evoke cortical responses to stimulation of the Cg subregions across the cortex, bipolar SPES was delivered to each Cg subregion. The current work defines three stimulation conditions: stimulation of the ACC, MCC, or PCC. SPES was delivered at 6 mA at 0.5 Hz, using a 0.2-ms biphasic square pulse. These parameters have previously been validated in both clinical mapping procedures and studies of effective connectivity in humans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{"citationID":"qm5goBH7","properties":{"formattedCitation":"(26, 27, 64)","plainCitation":"(26, 27, 64)","noteIndex":0},"citationItems":[{"id":3516,"uris":["http://zotero.org/users/7023408/items/PIPUQARN"],"itemData":{"id":3516,"type":"article-journal","abstract":"The cerebral cortex forms a sheet of neurons organized into a network of interconnected modules that is highly expanded in humans and presumably enables our most refined sensory and cognitive abilities. The links of this network form a fundamental aspect of its organization, and a great deal of research is focusing on understanding how information flows within and between different regions. However, an often-overlooked element of this connectivity regards a causal, hierarchical structure of regions, whereby certain nodes of the cortical network may exert greater influence over the others. While this is difficult to ascertain non-invasively, patients undergoing invasive electrode monitoring for epilepsy provide a unique window into this aspect of cortical organization. In this review, we highlight the potential for cortico-cortical evoked potential (CCEP) mapping to directly measure neuronal propagation across large-scale brain networks with spatio-temporal resolution that is superior to traditional neuroimaging methods. We first introduce effective connectivity and discuss the mechanisms underlying CCEP generation. Next, we highlight how CCEP mapping has begun to provide insight into the neural basis of non-invasive imaging signals. Finally, we present a novel approach to perturbing and measuring brain network function during cognitive processing. The direct measurement of CCEPs in response to electrical stimulation represents a potentially powerful clinical and basic science tool for probing the large-scale networks of the human cerebral cortex.","container-title":"Philosophical Transactions of the Royal Society B: Biological Sciences","DOI":"10.1098/rstb.2013.0528","ISSN":"0962-8436","issue":"1653","journalAbbreviation":"Philos Trans R Soc Lond B Biol Sci","note":"PMID: 25180306\nPMCID: PMC4150303","page":"20130528","source":"PubMed Central","title":"Mapping human brain networks with cortico-cortical evoked potentials","volume":"369","author":[{"family":"Keller","given":"Corey J."},{"family":"Honey","given":"Christopher J."},{"family":"Mégevand","given":"Pierre"},{"family":"Entz","given":"Laszlo"},{"family":"Ulbert","given":"Istvan"},{"family":"Mehta","given":"Ashesh D."}],"issued":{"date-parts":[["2014",10,5]]},"citation-key":"kellerMappingHumanBrain2014"}},{"id":2437,"uris":["http://zotero.org/users/7023408/items/DKI6SEKJ"],"itemData":{"id":2437,"type":"article-journal","abstract":"In the last decade, single pulse electrical stimulation (SPES) has been used as an investigational tool in the field of epilepsy surgery. Direct cortical stimulation applied at a frequency of </w:instrText>
      </w:r>
      <w:r w:rsidR="00A957AF">
        <w:rPr>
          <w:rFonts w:ascii="Cambria Math" w:hAnsi="Cambria Math" w:cs="Cambria Math"/>
          <w:sz w:val="20"/>
          <w:szCs w:val="20"/>
        </w:rPr>
        <w:instrText>∼</w:instrText>
      </w:r>
      <w:r w:rsidR="00A957AF">
        <w:rPr>
          <w:rFonts w:ascii="Arial" w:hAnsi="Arial" w:cs="Arial"/>
          <w:sz w:val="20"/>
          <w:szCs w:val="20"/>
        </w:rPr>
        <w:instrText xml:space="preserve">1Hz can probe cortico-cortical connections by averaging electrocorticogram time-lock to the stimuli (2×20-30 trials). These evoked potentials that emanate from adjacent and remote cortices have been termed cortico-cortical evoked potentials (CCEPs). Although limited to patients undergoing invasive presurgical evaluations with intracranial electrodes, CCEP provides a novel way to explore inter-areal connectivity in vivo in the living human brain to probe functional brain networks such as language and cognitive motor networks. In addition to its impact on systems neuroscience, this method, in combination with 50Hz electrical cortical stimulation, could contribute clinically to map the functional brain systems by tracking the cortico-cortical connections among the functional cortical regions in each individual patient. This approach may help identify the normal cortico-cortical network within pathology as well as reveal connections that might arise from neural plasticity. Because of its high practicality, it has been recently applied for intraoperative monitoring of the functional brain networks for patients with brain tumor. With regard to epilepsy, SPES has been used for the two major purposes, one to probe cortical excitability of the focus, namely, epileptogenicity, and the other to probe seizure networks. Both early (i.e., CCEP) and delayed responses, and probably their high frequency oscillation counterparts, are regarded as a surrogate marker of epileptogenicity. With regards to its impact on the human brain connectivity map, worldwide collaboration is warranted to establish the standardized CCEP connectivity map as a solid reference for non-invasive connectome researches.","container-title":"Seizure","DOI":"10.1016/j.seizure.2016.11.003","ISSN":"1532-2688","journalAbbreviation":"Seizure","language":"eng","note":"PMID: 27939100\nPMCID: PMC5291825","page":"27-36","source":"PubMed","title":"Single pulse electrical stimulation to probe functional and pathological connectivity in epilepsy","volume":"44","author":[{"family":"Matsumoto","given":"Riki"},{"family":"Kunieda","given":"Takeharu"},{"family":"Nair","given":"Dileep"}],"issued":{"date-parts":[["2017",1]]},"citation-key":"matsumotoSinglePulseElectrical2017"}},{"id":4270,"uris":["http://zotero.org/users/7023408/items/3YRNXVAK"],"itemData":{"id":4270,"type":"article-journal","abstract":"Objective\nThe aim of the present study was to investigate the optimal stimulation parameters for eliciting cortico-cortical evoked potentials (CCEPs) for mapping functional and epileptogenic networks.\nMethods\nWe studied 13 patients with refractory epilepsy undergoing intracranial EEG monitoring. We systematically titrated the intensity of single-pulse electrical stimulation at multiple sites to assess the effect of increasing current on salient features of CCEPs such as N1 potential magnitude, signal to noise ratio, waveform similarity, and spatial distribution of responses. Responses at each incremental stimulation setting were compared to each other and to a final set of responses at the maximum intensity used in each patient (3.5–10 mA, median 6 mA).\nResults\nWe found that with a biphasic 0.15 ms/phase pulse at least 2–4 mA is needed to differentiate between non-responsive and responsive sites, and that stimulation currents of 6–7 mA are needed to maximize amplitude and spatial distribution of N1 responses and stabilize waveform morphology.\nConclusions\nWe determined a minimum stimulation threshold necessary for eliciting CCEPs, as well as a point at which the current-dependent relationship of several response metrics all saturate.\nSignificance\nThis titration study provides practical, immediate guidance on optimal stimulation parameters to study specific features of CCEPs, which have been increasingly used to map both functional and epileptic brain networks in humans.","container-title":"Clinical Neurophysiology","DOI":"10.1016/j.clinph.2021.08.008","ISSN":"1388-2457","issue":"11","journalAbbreviation":"Clinical Neurophysiology","page":"2766-2777","source":"ScienceDirect","title":"Effects of stimulation intensity on intracranial cortico-cortical evoked potentials: A titration study","title-short":"Effects of stimulation intensity on intracranial cortico-cortical evoked potentials","volume":"132","author":[{"family":"Hays","given":"Mark A."},{"family":"Smith","given":"Rachel J."},{"family":"Haridas","given":"Babitha"},{"family":"Coogan","given":"Christopher"},{"family":"Crone","given":"Nathan E."},{"family":"Kang","given":"Joon Y."}],"issued":{"date-parts":[["2021",11,1]]},"citation-key":"haysEffectsStimulationIntensity2021"}}],"schema":"https://github.com/citation-style-language/schema/raw/master/csl-citation.json"}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(26, 27, 64)</w:t>
      </w:r>
      <w:r w:rsidRPr="005B4F50">
        <w:rPr>
          <w:rFonts w:ascii="Arial" w:hAnsi="Arial" w:cs="Arial"/>
          <w:sz w:val="20"/>
          <w:szCs w:val="20"/>
        </w:rPr>
        <w:fldChar w:fldCharType="end"/>
      </w:r>
      <w:r w:rsidRPr="005B4F50">
        <w:rPr>
          <w:rFonts w:ascii="Arial" w:hAnsi="Arial" w:cs="Arial"/>
          <w:sz w:val="20"/>
          <w:szCs w:val="20"/>
        </w:rPr>
        <w:t xml:space="preserve">. Stimulation was delivered using a Nihon </w:t>
      </w:r>
      <w:proofErr w:type="spellStart"/>
      <w:r w:rsidRPr="005B4F50">
        <w:rPr>
          <w:rFonts w:ascii="Arial" w:hAnsi="Arial" w:cs="Arial"/>
          <w:sz w:val="20"/>
          <w:szCs w:val="20"/>
        </w:rPr>
        <w:t>Kohden</w:t>
      </w:r>
      <w:proofErr w:type="spellEnd"/>
      <w:r w:rsidRPr="005B4F50">
        <w:rPr>
          <w:rFonts w:ascii="Arial" w:hAnsi="Arial" w:cs="Arial"/>
          <w:sz w:val="20"/>
          <w:szCs w:val="20"/>
        </w:rPr>
        <w:t xml:space="preserve"> MS-120B-K-EEG cortical stimulator in conjunction with Nihon </w:t>
      </w:r>
      <w:proofErr w:type="spellStart"/>
      <w:r w:rsidRPr="005B4F50">
        <w:rPr>
          <w:rFonts w:ascii="Arial" w:hAnsi="Arial" w:cs="Arial"/>
          <w:sz w:val="20"/>
          <w:szCs w:val="20"/>
        </w:rPr>
        <w:t>Kohden</w:t>
      </w:r>
      <w:proofErr w:type="spellEnd"/>
      <w:r w:rsidRPr="005B4F50">
        <w:rPr>
          <w:rFonts w:ascii="Arial" w:hAnsi="Arial" w:cs="Arial"/>
          <w:sz w:val="20"/>
          <w:szCs w:val="20"/>
        </w:rPr>
        <w:t xml:space="preserve"> PE-210AK software (Nihon </w:t>
      </w:r>
      <w:proofErr w:type="spellStart"/>
      <w:r w:rsidRPr="005B4F50">
        <w:rPr>
          <w:rFonts w:ascii="Arial" w:hAnsi="Arial" w:cs="Arial"/>
          <w:sz w:val="20"/>
          <w:szCs w:val="20"/>
        </w:rPr>
        <w:t>Kohden</w:t>
      </w:r>
      <w:proofErr w:type="spellEnd"/>
      <w:r w:rsidRPr="005B4F50">
        <w:rPr>
          <w:rFonts w:ascii="Arial" w:hAnsi="Arial" w:cs="Arial"/>
          <w:sz w:val="20"/>
          <w:szCs w:val="20"/>
        </w:rPr>
        <w:t xml:space="preserve">, Japan). Single pulses were delivered across each preselected electrode pair (dipole) localized within the Cg for each patient. SPES was delivered for approximately two minutes for 60 stimulation events (trials). Stimulation events were logged using </w:t>
      </w:r>
      <w:proofErr w:type="spellStart"/>
      <w:proofErr w:type="gramStart"/>
      <w:r w:rsidRPr="005B4F50">
        <w:rPr>
          <w:rFonts w:ascii="Arial" w:hAnsi="Arial" w:cs="Arial"/>
          <w:sz w:val="20"/>
          <w:szCs w:val="20"/>
        </w:rPr>
        <w:t>g.TRIGBOX</w:t>
      </w:r>
      <w:proofErr w:type="spellEnd"/>
      <w:proofErr w:type="gramEnd"/>
      <w:r w:rsidRPr="005B4F50">
        <w:rPr>
          <w:rFonts w:ascii="Arial" w:hAnsi="Arial" w:cs="Arial"/>
          <w:sz w:val="20"/>
          <w:szCs w:val="20"/>
        </w:rPr>
        <w:t xml:space="preserve"> (</w:t>
      </w:r>
      <w:proofErr w:type="spellStart"/>
      <w:r w:rsidRPr="005B4F50">
        <w:rPr>
          <w:rFonts w:ascii="Arial" w:hAnsi="Arial" w:cs="Arial"/>
          <w:sz w:val="20"/>
          <w:szCs w:val="20"/>
        </w:rPr>
        <w:t>g.tec</w:t>
      </w:r>
      <w:proofErr w:type="spellEnd"/>
      <w:r w:rsidRPr="005B4F50">
        <w:rPr>
          <w:rFonts w:ascii="Arial" w:hAnsi="Arial" w:cs="Arial"/>
          <w:sz w:val="20"/>
          <w:szCs w:val="20"/>
        </w:rPr>
        <w:t xml:space="preserve"> medical engineering, Austria) connected via a 3.5 mm tip-sleeve cable connected to the cortical stimulator.</w:t>
      </w:r>
    </w:p>
    <w:p w14:paraId="3428622C" w14:textId="022586F4" w:rsidR="004C4175" w:rsidRPr="005B4F50" w:rsidRDefault="004C4175" w:rsidP="00750445">
      <w:pPr>
        <w:rPr>
          <w:rFonts w:ascii="Arial" w:hAnsi="Arial" w:cs="Arial"/>
          <w:sz w:val="20"/>
          <w:szCs w:val="20"/>
        </w:rPr>
      </w:pPr>
      <w:r w:rsidRPr="005B4F50">
        <w:rPr>
          <w:rFonts w:ascii="Arial" w:hAnsi="Arial" w:cs="Arial"/>
          <w:i/>
          <w:iCs/>
          <w:sz w:val="20"/>
          <w:szCs w:val="20"/>
        </w:rPr>
        <w:t>Data Preprocessing:</w:t>
      </w:r>
      <w:r w:rsidRPr="005B4F50">
        <w:rPr>
          <w:rFonts w:ascii="Arial" w:hAnsi="Arial" w:cs="Arial"/>
          <w:sz w:val="20"/>
          <w:szCs w:val="20"/>
        </w:rPr>
        <w:t xml:space="preserve"> Processing of electrophysiological data and statistical analysis was conducted in MATLAB environment (</w:t>
      </w:r>
      <w:proofErr w:type="spellStart"/>
      <w:r w:rsidRPr="005B4F50">
        <w:rPr>
          <w:rFonts w:ascii="Arial" w:hAnsi="Arial" w:cs="Arial"/>
          <w:sz w:val="20"/>
          <w:szCs w:val="20"/>
        </w:rPr>
        <w:t>Mathworks</w:t>
      </w:r>
      <w:proofErr w:type="spellEnd"/>
      <w:r w:rsidRPr="005B4F50">
        <w:rPr>
          <w:rFonts w:ascii="Arial" w:hAnsi="Arial" w:cs="Arial"/>
          <w:sz w:val="20"/>
          <w:szCs w:val="20"/>
        </w:rPr>
        <w:t xml:space="preserve">, </w:t>
      </w:r>
      <w:proofErr w:type="spellStart"/>
      <w:r w:rsidRPr="005B4F50">
        <w:rPr>
          <w:rFonts w:ascii="Arial" w:hAnsi="Arial" w:cs="Arial"/>
          <w:sz w:val="20"/>
          <w:szCs w:val="20"/>
        </w:rPr>
        <w:t>Nattick</w:t>
      </w:r>
      <w:proofErr w:type="spellEnd"/>
      <w:r w:rsidRPr="005B4F50">
        <w:rPr>
          <w:rFonts w:ascii="Arial" w:hAnsi="Arial" w:cs="Arial"/>
          <w:sz w:val="20"/>
          <w:szCs w:val="20"/>
        </w:rPr>
        <w:t xml:space="preserve">, MA, USA). SEEG data were preprocessed by first removing the stimulation artifact across all trials. The onset of stimulation was determined using the logged stimulation events recorded through the </w:t>
      </w:r>
      <w:proofErr w:type="spellStart"/>
      <w:proofErr w:type="gramStart"/>
      <w:r w:rsidRPr="005B4F50">
        <w:rPr>
          <w:rFonts w:ascii="Arial" w:hAnsi="Arial" w:cs="Arial"/>
          <w:sz w:val="20"/>
          <w:szCs w:val="20"/>
        </w:rPr>
        <w:t>g.TRIGBOX</w:t>
      </w:r>
      <w:proofErr w:type="spellEnd"/>
      <w:proofErr w:type="gramEnd"/>
      <w:r w:rsidRPr="005B4F50">
        <w:rPr>
          <w:rFonts w:ascii="Arial" w:hAnsi="Arial" w:cs="Arial"/>
          <w:sz w:val="20"/>
          <w:szCs w:val="20"/>
        </w:rPr>
        <w:t xml:space="preserve">. Stimulation artifacts were removed from the SEEG recordings using two-way interpolation. Channels containing excessive epileptogenic activity were excluded from analysis. For each channel and stimulation event, we replaced the signal within a 15-sample window around stimulation onset with an interpolated signal derived from time-reversed pre- and post-stimulation segments, weighted by complementary ramp functions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{"citationID":"uXOXUtO0","properties":{"formattedCitation":"(65)","plainCitation":"(65)","noteIndex":0},"citationItems":[{"id":3828,"uris":["http://zotero.org/users/7023408/items/8QZ9QMXH"],"itemData":{"id":3828,"type":"article-journal","abstract":"Background\nElectrical stimulation of the cortex using subdurally implanted electrodes can causally reveal structural connectivity by eliciting cortico-cortical evoked potentials (CCEPs). While many studies have demonstrated the potential value of CCEPs, the methods to evaluate them were often relatively subjective, did not consider potential artifacts, and did not lend themselves to systematic scientific investigations.\nNew method\nWe developed an automated and quantitative method called SIGNI (Stimulation-Induced Gamma-based Network Identification) to evaluate cortical population-level responses to electrical stimulation that minimizes the impact of electrical artifacts. We applied SIGNI to electrocorticographic (ECoG) data from eight human subjects who were implanted with a total of 978 subdural electrodes. Across the eight subjects, we delivered 92 trains of approximately 200 discrete electrical stimuli each (amplitude 4–15 mA) to a total of 64 electrode pairs.\nResults\nWe verified SIGNI's efficacy by demonstrating a relationship between the magnitude of evoked cortical activity and stimulation amplitude, as well as between the latency of evoked cortical activity and the distance from the stimulated locations.\nConclusions\nSIGNI reveals the timing and amplitude of cortical responses to electrical stimulation as well as the structural connectivity supporting these responses. With these properties, it enables exploration of new and important questions about the neurophysiology of cortical communication and may also be useful for pre-surgical planning.","container-title":"Journal of Neuroscience Methods","DOI":"10.1016/j.jneumeth.2018.09.034","ISSN":"0165-0270","journalAbbreviation":"Journal of Neuroscience Methods","page":"67-75","source":"ScienceDirect","title":"A quantitative method for evaluating cortical responses to electrical stimulation","volume":"311","author":[{"family":"Crowther","given":"Lawrence J."},{"family":"Brunner","given":"Peter"},{"family":"Kapeller","given":"Christoph"},{"family":"Guger","given":"Christoph"},{"family":"Kamada","given":"Kyousuke"},{"family":"Bunch","given":"Marjorie E."},{"family":"Frawley","given":"Bridget K."},{"family":"Lynch","given":"Timothy M."},{"family":"Ritaccio","given":"Anthony L."},{"family":"Schalk","given":"Gerwin"}],"issued":{"date-parts":[["2019",1,1]]},"citation-key":"crowtherQuantitativeMethodEvaluating2019"}}],"schema":"https://github.com/citation-style-language/schema/raw/master/csl-citation.json"}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(65)</w:t>
      </w:r>
      <w:r w:rsidRPr="005B4F50">
        <w:rPr>
          <w:rFonts w:ascii="Arial" w:hAnsi="Arial" w:cs="Arial"/>
          <w:sz w:val="20"/>
          <w:szCs w:val="20"/>
        </w:rPr>
        <w:fldChar w:fldCharType="end"/>
      </w:r>
      <w:r w:rsidRPr="005B4F50">
        <w:rPr>
          <w:rFonts w:ascii="Arial" w:hAnsi="Arial" w:cs="Arial"/>
          <w:sz w:val="20"/>
          <w:szCs w:val="20"/>
        </w:rPr>
        <w:t>. Next, a 5</w:t>
      </w:r>
      <w:r w:rsidRPr="005B4F50">
        <w:rPr>
          <w:rFonts w:ascii="Arial" w:hAnsi="Arial" w:cs="Arial"/>
          <w:sz w:val="20"/>
          <w:szCs w:val="20"/>
          <w:vertAlign w:val="superscript"/>
        </w:rPr>
        <w:t>th</w:t>
      </w:r>
      <w:r w:rsidRPr="005B4F50">
        <w:rPr>
          <w:rFonts w:ascii="Arial" w:hAnsi="Arial" w:cs="Arial"/>
          <w:sz w:val="20"/>
          <w:szCs w:val="20"/>
        </w:rPr>
        <w:t>-order Butterworth high-pass filter with a 0.5 Hz cutoff frequency was applied to remove slow drift. A 60 Hz line noise and its harmonics at 120 Hz and 180 Hz were removed using a 2</w:t>
      </w:r>
      <w:r w:rsidRPr="005B4F50">
        <w:rPr>
          <w:rFonts w:ascii="Arial" w:hAnsi="Arial" w:cs="Arial"/>
          <w:sz w:val="20"/>
          <w:szCs w:val="20"/>
          <w:vertAlign w:val="superscript"/>
        </w:rPr>
        <w:t>nd</w:t>
      </w:r>
      <w:r w:rsidRPr="005B4F50">
        <w:rPr>
          <w:rFonts w:ascii="Arial" w:hAnsi="Arial" w:cs="Arial"/>
          <w:sz w:val="20"/>
          <w:szCs w:val="20"/>
        </w:rPr>
        <w:t>-order infinite impulse response notch filter.</w:t>
      </w:r>
    </w:p>
    <w:p w14:paraId="0C4AFB0B" w14:textId="77777777" w:rsidR="004C4175" w:rsidRPr="005B4F50" w:rsidRDefault="004C4175" w:rsidP="00750445">
      <w:pPr>
        <w:ind w:firstLine="720"/>
        <w:rPr>
          <w:rFonts w:ascii="Arial" w:hAnsi="Arial" w:cs="Arial"/>
          <w:sz w:val="20"/>
          <w:szCs w:val="20"/>
        </w:rPr>
      </w:pPr>
      <w:r w:rsidRPr="005B4F50">
        <w:rPr>
          <w:rFonts w:ascii="Arial" w:hAnsi="Arial" w:cs="Arial"/>
          <w:sz w:val="20"/>
          <w:szCs w:val="20"/>
        </w:rPr>
        <w:t xml:space="preserve">To improve the spatial specificity of recordings, a small Laplacian re-referencing method was used. The signal at each contact was re-referenced by subtracting the average signal recorded from all contacts within a 5-mm radius. The data were then </w:t>
      </w:r>
      <w:proofErr w:type="spellStart"/>
      <w:r w:rsidRPr="005B4F50">
        <w:rPr>
          <w:rFonts w:ascii="Arial" w:hAnsi="Arial" w:cs="Arial"/>
          <w:sz w:val="20"/>
          <w:szCs w:val="20"/>
        </w:rPr>
        <w:t>epoched</w:t>
      </w:r>
      <w:proofErr w:type="spellEnd"/>
      <w:r w:rsidRPr="005B4F50">
        <w:rPr>
          <w:rFonts w:ascii="Arial" w:hAnsi="Arial" w:cs="Arial"/>
          <w:sz w:val="20"/>
          <w:szCs w:val="20"/>
        </w:rPr>
        <w:t xml:space="preserve"> into 1900-ms trials centered about each stimulation event. Finally, the data were normalized by z-scoring to a 900-ms pre-stimulation window taken from the start of the trial to 50-ms before the stimulation event (to avoid any potential contamination from stimulation events).</w:t>
      </w:r>
    </w:p>
    <w:p w14:paraId="584BF508" w14:textId="76A314A3" w:rsidR="004C4175" w:rsidRPr="005B4F50" w:rsidRDefault="004C4175" w:rsidP="00750445">
      <w:pPr>
        <w:ind w:firstLine="720"/>
        <w:rPr>
          <w:rFonts w:ascii="Arial" w:hAnsi="Arial" w:cs="Arial"/>
          <w:sz w:val="20"/>
          <w:szCs w:val="20"/>
        </w:rPr>
      </w:pPr>
      <w:r w:rsidRPr="005B4F50">
        <w:rPr>
          <w:rFonts w:ascii="Arial" w:hAnsi="Arial" w:cs="Arial"/>
          <w:sz w:val="20"/>
          <w:szCs w:val="20"/>
        </w:rPr>
        <w:t xml:space="preserve">For downstream analysis of CCEP temporal dynamics and evoked gamma responses, we extracted spectral features from the re-referenced data, creating spectral time series that were then </w:t>
      </w:r>
      <w:proofErr w:type="spellStart"/>
      <w:r w:rsidRPr="005B4F50">
        <w:rPr>
          <w:rFonts w:ascii="Arial" w:hAnsi="Arial" w:cs="Arial"/>
          <w:sz w:val="20"/>
          <w:szCs w:val="20"/>
        </w:rPr>
        <w:t>epoched</w:t>
      </w:r>
      <w:proofErr w:type="spellEnd"/>
      <w:r w:rsidRPr="005B4F50">
        <w:rPr>
          <w:rFonts w:ascii="Arial" w:hAnsi="Arial" w:cs="Arial"/>
          <w:sz w:val="20"/>
          <w:szCs w:val="20"/>
        </w:rPr>
        <w:t xml:space="preserve"> as described above. For temporal dynamics analysis, we isolated the predominant broadband spectral content of the CCEPs (broadband CCEP) by applying a 3</w:t>
      </w:r>
      <w:r w:rsidRPr="005B4F50">
        <w:rPr>
          <w:rFonts w:ascii="Arial" w:hAnsi="Arial" w:cs="Arial"/>
          <w:sz w:val="20"/>
          <w:szCs w:val="20"/>
          <w:vertAlign w:val="superscript"/>
        </w:rPr>
        <w:t>rd</w:t>
      </w:r>
      <w:r w:rsidRPr="005B4F50">
        <w:rPr>
          <w:rFonts w:ascii="Arial" w:hAnsi="Arial" w:cs="Arial"/>
          <w:sz w:val="20"/>
          <w:szCs w:val="20"/>
        </w:rPr>
        <w:t>-order Butterworth bandpass filter with cutoff frequencies of 5-40 Hz. For evoked gamma responses, we extracted broadband gamma activity using a 4</w:t>
      </w:r>
      <w:r w:rsidRPr="005B4F50">
        <w:rPr>
          <w:rFonts w:ascii="Arial" w:hAnsi="Arial" w:cs="Arial"/>
          <w:sz w:val="20"/>
          <w:szCs w:val="20"/>
          <w:vertAlign w:val="superscript"/>
        </w:rPr>
        <w:t>th</w:t>
      </w:r>
      <w:r w:rsidRPr="005B4F50">
        <w:rPr>
          <w:rFonts w:ascii="Arial" w:hAnsi="Arial" w:cs="Arial"/>
          <w:sz w:val="20"/>
          <w:szCs w:val="20"/>
        </w:rPr>
        <w:t xml:space="preserve">-order Butterworth bandpass filter with cutoff frequencies of 70-170. Both filtering operations used transfer functions to second-order sections (SOS, via the tf2sos MATLAB function) to improve the numerical stability and reduce quantization errors inherent in higher-order digital filters. Data were then filtered using zero-phase filtering (using the </w:t>
      </w:r>
      <w:proofErr w:type="spellStart"/>
      <w:r w:rsidRPr="005B4F50">
        <w:rPr>
          <w:rFonts w:ascii="Arial" w:hAnsi="Arial" w:cs="Arial"/>
          <w:sz w:val="20"/>
          <w:szCs w:val="20"/>
        </w:rPr>
        <w:t>filtfilt</w:t>
      </w:r>
      <w:proofErr w:type="spellEnd"/>
      <w:r w:rsidRPr="005B4F50">
        <w:rPr>
          <w:rFonts w:ascii="Arial" w:hAnsi="Arial" w:cs="Arial"/>
          <w:sz w:val="20"/>
          <w:szCs w:val="20"/>
        </w:rPr>
        <w:t xml:space="preserve"> MATLAB function), which applies the filter in both forward and reverse directions to minimize phase distortion while effectively doubling the filter order.</w:t>
      </w:r>
    </w:p>
    <w:p w14:paraId="3A7E684E" w14:textId="0CAE00DF" w:rsidR="004C4175" w:rsidRPr="005B4F50" w:rsidRDefault="004C4175" w:rsidP="00750445">
      <w:pPr>
        <w:rPr>
          <w:rFonts w:ascii="Arial" w:hAnsi="Arial" w:cs="Arial"/>
          <w:sz w:val="20"/>
          <w:szCs w:val="20"/>
        </w:rPr>
      </w:pPr>
      <w:r w:rsidRPr="005B4F50">
        <w:rPr>
          <w:rFonts w:ascii="Arial" w:hAnsi="Arial" w:cs="Arial"/>
          <w:i/>
          <w:iCs/>
          <w:sz w:val="20"/>
          <w:szCs w:val="20"/>
        </w:rPr>
        <w:lastRenderedPageBreak/>
        <w:t>Data Processing and Statistical Analysis:</w:t>
      </w:r>
      <w:r w:rsidRPr="005B4F50">
        <w:rPr>
          <w:rFonts w:ascii="Arial" w:hAnsi="Arial" w:cs="Arial"/>
          <w:sz w:val="20"/>
          <w:szCs w:val="20"/>
        </w:rPr>
        <w:t xml:space="preserve"> For statistical analysis, we used non-parametric tests.  To account for multiple comparisons for significance tests conducted on data at the level of individual contacts, we used the Benjamini-Hochberg false discovery rate (FDR) procedure to calculate an Alpha value such that the FDR was &lt; 0.0001. </w:t>
      </w:r>
    </w:p>
    <w:p w14:paraId="1E745061" w14:textId="77777777" w:rsidR="004C4175" w:rsidRPr="005B4F50" w:rsidRDefault="004C4175" w:rsidP="00750445">
      <w:pPr>
        <w:rPr>
          <w:rFonts w:ascii="Arial" w:hAnsi="Arial" w:cs="Arial"/>
          <w:sz w:val="20"/>
          <w:szCs w:val="20"/>
        </w:rPr>
      </w:pPr>
      <w:r w:rsidRPr="005B4F50">
        <w:rPr>
          <w:rFonts w:ascii="Arial" w:hAnsi="Arial" w:cs="Arial"/>
          <w:sz w:val="20"/>
          <w:szCs w:val="20"/>
          <w:u w:val="single"/>
        </w:rPr>
        <w:t>Measures of Effective Connectivity:</w:t>
      </w:r>
      <w:r w:rsidRPr="005B4F50">
        <w:rPr>
          <w:rFonts w:ascii="Arial" w:hAnsi="Arial" w:cs="Arial"/>
          <w:sz w:val="20"/>
          <w:szCs w:val="20"/>
        </w:rPr>
        <w:t xml:space="preserve"> We defined two measures of effective connectivity: response coherence and response magnitude. Response coherence was used as a metric to quantify SPES-evoked changes in LFP morphology at each contact relative to pre-stimulation (Figure 2a-2b). This was done by comparing the distributions of inter-trial pairwise Spearman Correlations between pre- and post-stimulation time windows. The pre-stimulation (henceforth referred to as baseline) window was defined by an 850-ms window from the start of each trial, and the post-stimulation (henceforth referred to as CCEP) window was defined as a 700-ms window following stimulation onset. The Cohen’s d between these distributions defined the effect size of effective connectivity as measured by response coherence. A Wilcoxon rank sum test was used to determine which contacts were significantly effectively connected to the stimulated region between these distributions. </w:t>
      </w:r>
    </w:p>
    <w:p w14:paraId="79CD5DD4" w14:textId="46C82C04" w:rsidR="004C4175" w:rsidRPr="005B4F50" w:rsidRDefault="004C4175" w:rsidP="00750445">
      <w:pPr>
        <w:ind w:firstLine="720"/>
        <w:rPr>
          <w:rFonts w:ascii="Arial" w:hAnsi="Arial" w:cs="Arial"/>
          <w:sz w:val="20"/>
          <w:szCs w:val="20"/>
        </w:rPr>
      </w:pPr>
      <w:r w:rsidRPr="005B4F50">
        <w:rPr>
          <w:rFonts w:ascii="Arial" w:hAnsi="Arial" w:cs="Arial"/>
          <w:sz w:val="20"/>
          <w:szCs w:val="20"/>
        </w:rPr>
        <w:t>Response magnitude was calculated by taking the root mean square (RMS) of the CCEP window for each trial. The response magnitude at each contact was defined as the average RMS across trials. A Wilcoxon signed-rank test was used to compare the trial distributions of CCEP RMS and baseline RMS at each contact and determine which contacts had significant changes in LFP magnitude in response to SPES. For each Cg subregion stimulation condition, effective connectivity to a given brain region (measured by both coherence and magnitude) was computed as the mean value across all contacts in that region that showed a statistical significance (FDR &lt; 0.0001). The effective connectivity of each brain region to the Cg subregions was then calculated for both coherence and magnitude by taking the average of all significant contacts within each region.</w:t>
      </w:r>
    </w:p>
    <w:p w14:paraId="3F6A2F87" w14:textId="763AE70B" w:rsidR="004C4175" w:rsidRPr="005B4F50" w:rsidRDefault="004C4175" w:rsidP="00750445">
      <w:pPr>
        <w:rPr>
          <w:rFonts w:ascii="Arial" w:hAnsi="Arial" w:cs="Arial"/>
          <w:sz w:val="20"/>
          <w:szCs w:val="20"/>
        </w:rPr>
      </w:pPr>
      <w:r w:rsidRPr="005B4F50">
        <w:rPr>
          <w:rFonts w:ascii="Arial" w:hAnsi="Arial" w:cs="Arial"/>
          <w:sz w:val="20"/>
          <w:szCs w:val="20"/>
          <w:u w:val="single"/>
        </w:rPr>
        <w:t>Relative Cingulate Cortex Connectivity:</w:t>
      </w:r>
      <w:r w:rsidRPr="005B4F50">
        <w:rPr>
          <w:rFonts w:ascii="Arial" w:hAnsi="Arial" w:cs="Arial"/>
          <w:sz w:val="20"/>
          <w:szCs w:val="20"/>
        </w:rPr>
        <w:t xml:space="preserve"> To characterize the relative connectivity of brain regions to the three Cg subregions, we implemented a triangular geometric mean mapping approach. The connectivity values at each region to each of the three subregions were normalized to create barycentric coordinates, which were then mapped onto an equilateral triangle with vertices representing exclusive connectivity to each subregion. Brain regions were included in this relative connectivity analysis if they had valid connectivity values for all three subregion stimulation conditions. For any region-subregion pairing in which no contacts were significant, we assigned a connectivity value of zero for this analysis. For visualization, RGB color values were derived using trilinear interpolation across the triangular space, thus assigning each region a color corresponding to its relative connectivity to each of the cingulate cortex subregions. When assigning relative connectivity coordinates to cingulate subregions themselves, self-connectivity was set to zero to visualize the relative connectivity to the other two subregions. Any regions with barycentric coordinates within a central circle whose area was 5% of the equilateral triangle’s total area were classified as equally connected to all three subregions.</w:t>
      </w:r>
    </w:p>
    <w:p w14:paraId="67AE18AB" w14:textId="77777777" w:rsidR="004C4175" w:rsidRPr="005B4F50" w:rsidRDefault="004C4175" w:rsidP="00750445">
      <w:pPr>
        <w:rPr>
          <w:rFonts w:ascii="Arial" w:hAnsi="Arial" w:cs="Arial"/>
          <w:sz w:val="20"/>
          <w:szCs w:val="20"/>
        </w:rPr>
      </w:pPr>
      <w:r w:rsidRPr="005B4F50">
        <w:rPr>
          <w:rFonts w:ascii="Arial" w:hAnsi="Arial" w:cs="Arial"/>
          <w:sz w:val="20"/>
          <w:szCs w:val="20"/>
          <w:u w:val="single"/>
        </w:rPr>
        <w:t>Spatial Organization of Cg Connectivity:</w:t>
      </w:r>
      <w:r w:rsidRPr="005B4F50">
        <w:rPr>
          <w:rFonts w:ascii="Arial" w:hAnsi="Arial" w:cs="Arial"/>
          <w:sz w:val="20"/>
          <w:szCs w:val="20"/>
        </w:rPr>
        <w:t xml:space="preserve"> To characterize the spatial organization of effective connectivity across the three Cg subregions, we performed a spatial distribution analysis along three orthogonal anatomical axes: anterior-posterior, superior-inferior, and left-right. For each axis, the respective coordinates from significantly responsive contacts were divided into 50 equally spaced bins. The coherence effect sizes were min-max normalized to compare across stimulation conditions. Mean normalized effect sizes were computed for each bin, creating a spatial profile of connectivity strength along each anatomical axis. To capture smoothed spatial variation in connectivity strength while reducing noise from sparse electrode coverage, a 4</w:t>
      </w:r>
      <w:r w:rsidRPr="005B4F50">
        <w:rPr>
          <w:rFonts w:ascii="Arial" w:hAnsi="Arial" w:cs="Arial"/>
          <w:sz w:val="20"/>
          <w:szCs w:val="20"/>
          <w:vertAlign w:val="superscript"/>
        </w:rPr>
        <w:t>th</w:t>
      </w:r>
      <w:r w:rsidRPr="005B4F50">
        <w:rPr>
          <w:rFonts w:ascii="Arial" w:hAnsi="Arial" w:cs="Arial"/>
          <w:sz w:val="20"/>
          <w:szCs w:val="20"/>
        </w:rPr>
        <w:t>-order polynomial trend line was fitted to the binned mean effect sizes for each condition. The spatial centroid of each connectivity distribution was calculated as the weighted center of mass using the following equation:</w:t>
      </w:r>
    </w:p>
    <w:p w14:paraId="3CF1032A" w14:textId="5D034DDC" w:rsidR="00906570" w:rsidRDefault="00906570" w:rsidP="00750445">
      <w:pPr>
        <w:rPr>
          <w:rFonts w:ascii="Arial" w:eastAsiaTheme="minorEastAsia" w:hAnsi="Arial" w:cs="Arial"/>
          <w:sz w:val="20"/>
          <w:szCs w:val="20"/>
        </w:rPr>
      </w:pPr>
      <m:oMathPara>
        <m:oMath>
          <m:r>
            <m:rPr>
              <m:sty m:val="p"/>
            </m:rPr>
            <w:rPr>
              <w:rFonts w:ascii="Cambria Math" w:hAnsi="Cambria Math" w:cs="Arial"/>
              <w:sz w:val="20"/>
              <w:szCs w:val="20"/>
            </w:rPr>
            <w:lastRenderedPageBreak/>
            <m:t>c=</m:t>
          </m:r>
          <m:f>
            <m:fPr>
              <m:ctrlPr>
                <w:rPr>
                  <w:rFonts w:ascii="Cambria Math" w:hAnsi="Cambria Math" w:cs="Arial"/>
                  <w:sz w:val="20"/>
                  <w:szCs w:val="20"/>
                </w:rPr>
              </m:ctrlPr>
            </m:fPr>
            <m:num>
              <m:nary>
                <m:naryPr>
                  <m:chr m:val="∑"/>
                  <m:ctrlPr>
                    <w:rPr>
                      <w:rFonts w:ascii="Cambria Math" w:hAnsi="Cambria Math" w:cs="Arial"/>
                      <w:sz w:val="20"/>
                      <w:szCs w:val="20"/>
                    </w:rPr>
                  </m:ctrlPr>
                </m:naryPr>
                <m:sub>
                  <m:r>
                    <m:rPr>
                      <m:sty m:val="p"/>
                    </m:rPr>
                    <w:rPr>
                      <w:rFonts w:ascii="Cambria Math" w:hAnsi="Cambria Math" w:cs="Arial"/>
                      <w:sz w:val="20"/>
                      <w:szCs w:val="20"/>
                    </w:rPr>
                    <m:t>i=1</m:t>
                  </m:r>
                </m:sub>
                <m:sup>
                  <m:r>
                    <m:rPr>
                      <m:sty m:val="p"/>
                    </m:rPr>
                    <w:rPr>
                      <w:rFonts w:ascii="Cambria Math" w:hAnsi="Cambria Math" w:cs="Arial"/>
                      <w:sz w:val="20"/>
                      <w:szCs w:val="20"/>
                    </w:rPr>
                    <m:t>n</m:t>
                  </m:r>
                </m:sup>
                <m:e>
                  <m:d>
                    <m:dPr>
                      <m:ctrlPr>
                        <w:rPr>
                          <w:rFonts w:ascii="Cambria Math" w:hAnsi="Cambria Math" w:cs="Arial"/>
                          <w:sz w:val="20"/>
                          <w:szCs w:val="20"/>
                        </w:rPr>
                      </m:ctrlPr>
                    </m:dPr>
                    <m:e>
                      <m:sSub>
                        <m:sSubPr>
                          <m:ctrlPr>
                            <w:rPr>
                              <w:rFonts w:ascii="Cambria Math" w:hAnsi="Cambria Math" w:cs="Arial"/>
                              <w:sz w:val="20"/>
                              <w:szCs w:val="20"/>
                            </w:rPr>
                          </m:ctrlPr>
                        </m:sSubPr>
                        <m:e>
                          <m:r>
                            <m:rPr>
                              <m:sty m:val="p"/>
                            </m:rPr>
                            <w:rPr>
                              <w:rFonts w:ascii="Cambria Math" w:hAnsi="Cambria Math" w:cs="Arial"/>
                              <w:sz w:val="20"/>
                              <w:szCs w:val="20"/>
                            </w:rPr>
                            <m:t>x</m:t>
                          </m:r>
                        </m:e>
                        <m:sub>
                          <m:r>
                            <m:rPr>
                              <m:sty m:val="p"/>
                            </m:rPr>
                            <w:rPr>
                              <w:rFonts w:ascii="Cambria Math" w:hAnsi="Cambria Math" w:cs="Arial"/>
                              <w:sz w:val="20"/>
                              <w:szCs w:val="20"/>
                            </w:rPr>
                            <m:t>i</m:t>
                          </m:r>
                        </m:sub>
                      </m:sSub>
                      <m:r>
                        <m:rPr>
                          <m:sty m:val="p"/>
                        </m:rPr>
                        <w:rPr>
                          <w:rFonts w:ascii="Cambria Math" w:hAnsi="Cambria Math" w:cs="Arial"/>
                          <w:sz w:val="20"/>
                          <w:szCs w:val="20"/>
                        </w:rPr>
                        <m:t>⋅</m:t>
                      </m:r>
                      <m:sSub>
                        <m:sSubPr>
                          <m:ctrlPr>
                            <w:rPr>
                              <w:rFonts w:ascii="Cambria Math" w:hAnsi="Cambria Math" w:cs="Arial"/>
                              <w:sz w:val="20"/>
                              <w:szCs w:val="20"/>
                            </w:rPr>
                          </m:ctrlPr>
                        </m:sSubPr>
                        <m:e>
                          <m:r>
                            <m:rPr>
                              <m:sty m:val="p"/>
                            </m:rPr>
                            <w:rPr>
                              <w:rFonts w:ascii="Cambria Math" w:hAnsi="Cambria Math" w:cs="Arial"/>
                              <w:sz w:val="20"/>
                              <w:szCs w:val="20"/>
                            </w:rPr>
                            <m:t>w</m:t>
                          </m:r>
                        </m:e>
                        <m:sub>
                          <m:r>
                            <m:rPr>
                              <m:sty m:val="p"/>
                            </m:rPr>
                            <w:rPr>
                              <w:rFonts w:ascii="Cambria Math" w:hAnsi="Cambria Math" w:cs="Arial"/>
                              <w:sz w:val="20"/>
                              <w:szCs w:val="20"/>
                            </w:rPr>
                            <m:t>i</m:t>
                          </m:r>
                        </m:sub>
                      </m:sSub>
                    </m:e>
                  </m:d>
                </m:e>
              </m:nary>
            </m:num>
            <m:den>
              <m:nary>
                <m:naryPr>
                  <m:chr m:val="∑"/>
                  <m:ctrlPr>
                    <w:rPr>
                      <w:rFonts w:ascii="Cambria Math" w:hAnsi="Cambria Math" w:cs="Arial"/>
                      <w:sz w:val="20"/>
                      <w:szCs w:val="20"/>
                    </w:rPr>
                  </m:ctrlPr>
                </m:naryPr>
                <m:sub>
                  <m:r>
                    <m:rPr>
                      <m:sty m:val="p"/>
                    </m:rPr>
                    <w:rPr>
                      <w:rFonts w:ascii="Cambria Math" w:hAnsi="Cambria Math" w:cs="Arial"/>
                      <w:sz w:val="20"/>
                      <w:szCs w:val="20"/>
                    </w:rPr>
                    <m:t>i=1</m:t>
                  </m:r>
                </m:sub>
                <m:sup>
                  <m:r>
                    <m:rPr>
                      <m:sty m:val="p"/>
                    </m:rPr>
                    <w:rPr>
                      <w:rFonts w:ascii="Cambria Math" w:hAnsi="Cambria Math" w:cs="Arial"/>
                      <w:sz w:val="20"/>
                      <w:szCs w:val="20"/>
                    </w:rPr>
                    <m:t>n</m:t>
                  </m:r>
                </m:sup>
                <m:e>
                  <m:sSub>
                    <m:sSubPr>
                      <m:ctrlPr>
                        <w:rPr>
                          <w:rFonts w:ascii="Cambria Math" w:hAnsi="Cambria Math" w:cs="Arial"/>
                          <w:sz w:val="20"/>
                          <w:szCs w:val="20"/>
                        </w:rPr>
                      </m:ctrlPr>
                    </m:sSubPr>
                    <m:e>
                      <m:r>
                        <m:rPr>
                          <m:sty m:val="p"/>
                        </m:rPr>
                        <w:rPr>
                          <w:rFonts w:ascii="Cambria Math" w:hAnsi="Cambria Math" w:cs="Arial"/>
                          <w:sz w:val="20"/>
                          <w:szCs w:val="20"/>
                        </w:rPr>
                        <m:t>w</m:t>
                      </m:r>
                    </m:e>
                    <m:sub>
                      <m:r>
                        <m:rPr>
                          <m:sty m:val="p"/>
                        </m:rPr>
                        <w:rPr>
                          <w:rFonts w:ascii="Cambria Math" w:hAnsi="Cambria Math" w:cs="Arial"/>
                          <w:sz w:val="20"/>
                          <w:szCs w:val="20"/>
                        </w:rPr>
                        <m:t>i</m:t>
                      </m:r>
                    </m:sub>
                  </m:sSub>
                </m:e>
              </m:nary>
            </m:den>
          </m:f>
        </m:oMath>
      </m:oMathPara>
    </w:p>
    <w:p w14:paraId="0ACBBF85" w14:textId="0FB8BB2A" w:rsidR="004C4175" w:rsidRPr="005B4F50" w:rsidRDefault="004C4175" w:rsidP="00750445">
      <w:pPr>
        <w:rPr>
          <w:rFonts w:ascii="Arial" w:eastAsiaTheme="minorEastAsia" w:hAnsi="Arial" w:cs="Arial"/>
          <w:sz w:val="20"/>
          <w:szCs w:val="20"/>
        </w:rPr>
      </w:pPr>
      <w:r w:rsidRPr="005B4F50">
        <w:rPr>
          <w:rFonts w:ascii="Arial" w:eastAsiaTheme="minorEastAsia" w:hAnsi="Arial" w:cs="Arial"/>
          <w:b/>
          <w:bCs/>
          <w:sz w:val="20"/>
          <w:szCs w:val="20"/>
        </w:rPr>
        <w:t>Equation 1.</w:t>
      </w:r>
      <w:r w:rsidRPr="005B4F50">
        <w:rPr>
          <w:rFonts w:ascii="Arial" w:eastAsiaTheme="minorEastAsia" w:hAnsi="Arial" w:cs="Arial"/>
          <w:sz w:val="20"/>
          <w:szCs w:val="20"/>
        </w:rPr>
        <w:t xml:space="preserve"> Calculation for centroids of connectivity spatial distributions.</w:t>
      </w:r>
    </w:p>
    <w:p w14:paraId="457EF9DA" w14:textId="77777777" w:rsidR="004C4175" w:rsidRPr="005B4F50" w:rsidRDefault="004C4175" w:rsidP="00750445">
      <w:pPr>
        <w:rPr>
          <w:rFonts w:ascii="Arial" w:hAnsi="Arial" w:cs="Arial"/>
          <w:sz w:val="20"/>
          <w:szCs w:val="20"/>
        </w:rPr>
      </w:pPr>
      <w:r w:rsidRPr="005B4F50">
        <w:rPr>
          <w:rFonts w:ascii="Arial" w:hAnsi="Arial" w:cs="Arial"/>
          <w:sz w:val="20"/>
          <w:szCs w:val="20"/>
        </w:rPr>
        <w:t xml:space="preserve">Where </w:t>
      </w:r>
      <w:r w:rsidRPr="005B4F50">
        <w:rPr>
          <w:rFonts w:ascii="Arial" w:hAnsi="Arial" w:cs="Arial"/>
          <w:i/>
          <w:iCs/>
          <w:sz w:val="20"/>
          <w:szCs w:val="20"/>
        </w:rPr>
        <w:t>c</w:t>
      </w:r>
      <w:r w:rsidRPr="005B4F50">
        <w:rPr>
          <w:rFonts w:ascii="Arial" w:hAnsi="Arial" w:cs="Arial"/>
          <w:sz w:val="20"/>
          <w:szCs w:val="20"/>
        </w:rPr>
        <w:t xml:space="preserve"> is the centroid’s position, </w:t>
      </w:r>
      <w:r w:rsidRPr="005B4F50">
        <w:rPr>
          <w:rFonts w:ascii="Arial" w:hAnsi="Arial" w:cs="Arial"/>
          <w:i/>
          <w:iCs/>
          <w:sz w:val="20"/>
          <w:szCs w:val="20"/>
        </w:rPr>
        <w:t>x</w:t>
      </w:r>
      <w:r w:rsidRPr="005B4F50">
        <w:rPr>
          <w:rFonts w:ascii="Arial" w:hAnsi="Arial" w:cs="Arial"/>
          <w:sz w:val="20"/>
          <w:szCs w:val="20"/>
          <w:vertAlign w:val="subscript"/>
        </w:rPr>
        <w:t>i</w:t>
      </w:r>
      <w:r w:rsidRPr="005B4F50">
        <w:rPr>
          <w:rFonts w:ascii="Arial" w:hAnsi="Arial" w:cs="Arial"/>
          <w:sz w:val="20"/>
          <w:szCs w:val="20"/>
        </w:rPr>
        <w:t xml:space="preserve"> is the position along the spatial axis, and </w:t>
      </w:r>
      <w:proofErr w:type="spellStart"/>
      <w:r w:rsidRPr="005B4F50">
        <w:rPr>
          <w:rFonts w:ascii="Arial" w:hAnsi="Arial" w:cs="Arial"/>
          <w:i/>
          <w:iCs/>
          <w:sz w:val="20"/>
          <w:szCs w:val="20"/>
        </w:rPr>
        <w:t>w</w:t>
      </w:r>
      <w:r w:rsidRPr="005B4F50">
        <w:rPr>
          <w:rFonts w:ascii="Arial" w:hAnsi="Arial" w:cs="Arial"/>
          <w:sz w:val="20"/>
          <w:szCs w:val="20"/>
          <w:vertAlign w:val="subscript"/>
        </w:rPr>
        <w:t>i</w:t>
      </w:r>
      <w:proofErr w:type="spellEnd"/>
      <w:r w:rsidRPr="005B4F50">
        <w:rPr>
          <w:rFonts w:ascii="Arial" w:hAnsi="Arial" w:cs="Arial"/>
          <w:sz w:val="20"/>
          <w:szCs w:val="20"/>
        </w:rPr>
        <w:t xml:space="preserve"> is the mean effect size at each bin. </w:t>
      </w:r>
    </w:p>
    <w:p w14:paraId="3344044D" w14:textId="256B5195" w:rsidR="004C4175" w:rsidRPr="005B4F50" w:rsidRDefault="004C4175" w:rsidP="00750445">
      <w:pPr>
        <w:ind w:firstLine="720"/>
        <w:rPr>
          <w:rFonts w:ascii="Arial" w:hAnsi="Arial" w:cs="Arial"/>
          <w:sz w:val="20"/>
          <w:szCs w:val="20"/>
        </w:rPr>
      </w:pPr>
      <w:r w:rsidRPr="005B4F50">
        <w:rPr>
          <w:rFonts w:ascii="Arial" w:hAnsi="Arial" w:cs="Arial"/>
          <w:sz w:val="20"/>
          <w:szCs w:val="20"/>
        </w:rPr>
        <w:t xml:space="preserve">To assess whether the spatial distribution of connectivity effects exhibited spatial clustering, we performed Moran’s I spatial autocorrelation analysis on the polynomial-fitted connectivity profiles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{"citationID":"16oZKLhT","properties":{"formattedCitation":"(66)","plainCitation":"(66)","noteIndex":0},"citationItems":[{"id":4318,"uris":["http://zotero.org/users/7023408/items/I6PH5H3H"],"itemData":{"id":4318,"type":"article-journal","abstract":"Spatial autocorrelation plays an important role in geographical analysis; however, there is still room for improvement of this method. The formula for Moran’s index is complicated, and several basic problems remain to be solved. Therefore, I will reconstruct its mathematical framework using mathematical derivation based on linear algebra and present four simple approaches to calculating Moran’s index. Moran’s scatterplot will be ameliorated, and new test methods will be proposed. The relationship between the global Moran’s index and Geary’s coefficient will be discussed from two different vantage points: spatial population and spatial sample. The sphere of applications for both Moran’s index and Geary’s coefficient will be clarified and defined. One of theoretical findings is that Moran’s index is a characteristic parameter of spatial weight matrices, so the selection of weight functions is very significant for autocorrelation analysis of geographical systems. A case study of 29 Chinese cities in 2000 will be employed to validate the innovatory models and methods. This work is a methodological study, which will simplify the process of autocorrelation analysis. The results of this study will lay the foundation for the scaling analysis of spatial autocorrelation.","container-title":"PLoS ONE","DOI":"10.1371/journal.pone.0068336","ISSN":"1932-6203","issue":"7","journalAbbreviation":"PLoS One","note":"PMID: 23874592\nPMCID: PMC3709922","page":"e68336","source":"PubMed Central","title":"New Approaches for Calculating Moran’s Index of Spatial Autocorrelation","volume":"8","author":[{"family":"Chen","given":"Yanguang"}],"issued":{"date-parts":[["2013",7,12]]},"citation-key":"chenNewApproachesCalculating2013"}}],"schema":"https://github.com/citation-style-language/schema/raw/master/csl-citation.json"}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(66)</w:t>
      </w:r>
      <w:r w:rsidRPr="005B4F50">
        <w:rPr>
          <w:rFonts w:ascii="Arial" w:hAnsi="Arial" w:cs="Arial"/>
          <w:sz w:val="20"/>
          <w:szCs w:val="20"/>
        </w:rPr>
        <w:fldChar w:fldCharType="end"/>
      </w:r>
      <w:r w:rsidRPr="005B4F50">
        <w:rPr>
          <w:rFonts w:ascii="Arial" w:hAnsi="Arial" w:cs="Arial"/>
          <w:sz w:val="20"/>
          <w:szCs w:val="20"/>
        </w:rPr>
        <w:t>. A spatial weight matrix was constructed with an epsilon of 1</w:t>
      </w:r>
      <w:r w:rsidRPr="005B4F50">
        <w:rPr>
          <w:rFonts w:ascii="Arial" w:hAnsi="Arial" w:cs="Arial"/>
          <w:sz w:val="20"/>
          <w:szCs w:val="20"/>
          <w:vertAlign w:val="subscript"/>
        </w:rPr>
        <w:t>E</w:t>
      </w:r>
      <w:r w:rsidRPr="005B4F50">
        <w:rPr>
          <w:rFonts w:ascii="Arial" w:hAnsi="Arial" w:cs="Arial"/>
          <w:sz w:val="20"/>
          <w:szCs w:val="20"/>
        </w:rPr>
        <w:t xml:space="preserve">-5 to define spatial adjacency relationships between bins based on their proximity along each anatomical axis. For each stimulation condition and anatomical axis, we computed the observed Moran’s I statistic and compared it to a distribution of Moran’s I statistics generated from 1,000 random spatial permutations to calculate a p-value for each spatial distribution. A p-value &lt; </w:t>
      </w:r>
      <w:proofErr w:type="gramStart"/>
      <w:r w:rsidRPr="005B4F50">
        <w:rPr>
          <w:rFonts w:ascii="Arial" w:hAnsi="Arial" w:cs="Arial"/>
          <w:sz w:val="20"/>
          <w:szCs w:val="20"/>
        </w:rPr>
        <w:t>0.01  was</w:t>
      </w:r>
      <w:proofErr w:type="gramEnd"/>
      <w:r w:rsidRPr="005B4F50">
        <w:rPr>
          <w:rFonts w:ascii="Arial" w:hAnsi="Arial" w:cs="Arial"/>
          <w:sz w:val="20"/>
          <w:szCs w:val="20"/>
        </w:rPr>
        <w:t xml:space="preserve"> considered significant for this analysis.</w:t>
      </w:r>
    </w:p>
    <w:p w14:paraId="5365CB39" w14:textId="77777777" w:rsidR="004C4175" w:rsidRPr="005B4F50" w:rsidRDefault="004C4175" w:rsidP="00750445">
      <w:pPr>
        <w:ind w:firstLine="720"/>
        <w:rPr>
          <w:rFonts w:ascii="Arial" w:hAnsi="Arial" w:cs="Arial"/>
          <w:sz w:val="20"/>
          <w:szCs w:val="20"/>
        </w:rPr>
      </w:pPr>
      <w:r w:rsidRPr="005B4F50">
        <w:rPr>
          <w:rFonts w:ascii="Arial" w:hAnsi="Arial" w:cs="Arial"/>
          <w:sz w:val="20"/>
          <w:szCs w:val="20"/>
        </w:rPr>
        <w:t>Statistical comparisons of spatial centroids between stimulation conditions were performed using a permutation-based pairwise comparison of observed centroid differences between conditions. For each pairwise comparison between stimulation conditions, we computed the observed difference in spatial centroids and compared this to a null distribution generated by 1,000 random permutations of condition labels. A p-value &lt; 0.01 was considered significant for this analysis.</w:t>
      </w:r>
    </w:p>
    <w:p w14:paraId="371A118E" w14:textId="240EC6CB" w:rsidR="004C4175" w:rsidRPr="005B4F50" w:rsidRDefault="004C4175" w:rsidP="00750445">
      <w:pPr>
        <w:ind w:firstLine="720"/>
        <w:rPr>
          <w:rFonts w:ascii="Arial" w:hAnsi="Arial" w:cs="Arial"/>
          <w:sz w:val="20"/>
          <w:szCs w:val="20"/>
        </w:rPr>
      </w:pPr>
      <w:r w:rsidRPr="005B4F50">
        <w:rPr>
          <w:rFonts w:ascii="Arial" w:hAnsi="Arial" w:cs="Arial"/>
          <w:sz w:val="20"/>
          <w:szCs w:val="20"/>
        </w:rPr>
        <w:t>To examine hemispheric differences in effective connectivity, contacts were grouped into major class regions and tested for significant hemispheric asymmetries in connectivity using a Wilcoxon rank sum test. This was done for major regions, both contralateral and ipsilateral to the stimulation sites within each stimulation condition.</w:t>
      </w:r>
    </w:p>
    <w:p w14:paraId="7E205099" w14:textId="77777777" w:rsidR="004C4175" w:rsidRPr="005B4F50" w:rsidRDefault="004C4175" w:rsidP="00750445">
      <w:pPr>
        <w:rPr>
          <w:rFonts w:ascii="Arial" w:hAnsi="Arial" w:cs="Arial"/>
          <w:sz w:val="20"/>
          <w:szCs w:val="20"/>
        </w:rPr>
      </w:pPr>
      <w:r w:rsidRPr="005B4F50">
        <w:rPr>
          <w:rFonts w:ascii="Arial" w:hAnsi="Arial" w:cs="Arial"/>
          <w:sz w:val="20"/>
          <w:szCs w:val="20"/>
          <w:u w:val="single"/>
        </w:rPr>
        <w:t>Hierarchical Clustering of Cg Effective Connectivity Networks:</w:t>
      </w:r>
      <w:r w:rsidRPr="005B4F50">
        <w:rPr>
          <w:rFonts w:ascii="Arial" w:hAnsi="Arial" w:cs="Arial"/>
          <w:sz w:val="20"/>
          <w:szCs w:val="20"/>
        </w:rPr>
        <w:t xml:space="preserve"> To characterize the morphological relationships of CCEPs across the cortex, and organize these regions into clustered Cg subnetworks, we performed a maximum correlation-aligned inter-channel pairwise coherence analysis, followed by a hierarchical clustering analysis. To reduce computational load, we </w:t>
      </w:r>
      <w:proofErr w:type="spellStart"/>
      <w:r w:rsidRPr="005B4F50">
        <w:rPr>
          <w:rFonts w:ascii="Arial" w:hAnsi="Arial" w:cs="Arial"/>
          <w:sz w:val="20"/>
          <w:szCs w:val="20"/>
        </w:rPr>
        <w:t>downsampled</w:t>
      </w:r>
      <w:proofErr w:type="spellEnd"/>
      <w:r w:rsidRPr="005B4F50">
        <w:rPr>
          <w:rFonts w:ascii="Arial" w:hAnsi="Arial" w:cs="Arial"/>
          <w:sz w:val="20"/>
          <w:szCs w:val="20"/>
        </w:rPr>
        <w:t xml:space="preserve"> each average CCEP waveform by a factor of 3. </w:t>
      </w:r>
    </w:p>
    <w:p w14:paraId="38C0F086" w14:textId="77777777" w:rsidR="004C4175" w:rsidRPr="005B4F50" w:rsidRDefault="004C4175" w:rsidP="00750445">
      <w:pPr>
        <w:ind w:firstLine="720"/>
        <w:rPr>
          <w:rFonts w:ascii="Arial" w:hAnsi="Arial" w:cs="Arial"/>
          <w:sz w:val="20"/>
          <w:szCs w:val="20"/>
        </w:rPr>
      </w:pPr>
      <w:r w:rsidRPr="005B4F50">
        <w:rPr>
          <w:rFonts w:ascii="Arial" w:hAnsi="Arial" w:cs="Arial"/>
          <w:sz w:val="20"/>
          <w:szCs w:val="20"/>
        </w:rPr>
        <w:t xml:space="preserve">To compute inter/intra-regional coherence for each stimulation condition, we performed pairwise lag-corrected Spearman’s correlations of trial-averaged CCEP waveforms between all significantly coherent contacts both within and between all regions. To account for differences in onset latency of CCEPs between regions or contacts, and better isolate the morphological similarity between CCEPs, we performed a Spearman’s cross-correlation between each time series for both baseline and CCEP windows (note that window indices were also adjusted for the </w:t>
      </w:r>
      <w:proofErr w:type="spellStart"/>
      <w:r w:rsidRPr="005B4F50">
        <w:rPr>
          <w:rFonts w:ascii="Arial" w:hAnsi="Arial" w:cs="Arial"/>
          <w:sz w:val="20"/>
          <w:szCs w:val="20"/>
        </w:rPr>
        <w:t>downsampled</w:t>
      </w:r>
      <w:proofErr w:type="spellEnd"/>
      <w:r w:rsidRPr="005B4F50">
        <w:rPr>
          <w:rFonts w:ascii="Arial" w:hAnsi="Arial" w:cs="Arial"/>
          <w:sz w:val="20"/>
          <w:szCs w:val="20"/>
        </w:rPr>
        <w:t xml:space="preserve"> time series). The maximum Spearman’s Rho for each pairwise correlation was used to generate distributions of CCEP morphological coherence between brain regions for both baseline and CCEP windows. A Wilcoxon rank sum test between these distributions was used to determine which regions had significant CCEP morphological similarities.</w:t>
      </w:r>
    </w:p>
    <w:p w14:paraId="5CD81095" w14:textId="77777777" w:rsidR="004C4175" w:rsidRPr="005B4F50" w:rsidRDefault="004C4175" w:rsidP="00750445">
      <w:pPr>
        <w:ind w:firstLine="720"/>
        <w:rPr>
          <w:rFonts w:ascii="Arial" w:hAnsi="Arial" w:cs="Arial"/>
          <w:sz w:val="20"/>
          <w:szCs w:val="20"/>
        </w:rPr>
      </w:pPr>
      <w:r w:rsidRPr="005B4F50">
        <w:rPr>
          <w:rFonts w:ascii="Arial" w:hAnsi="Arial" w:cs="Arial"/>
          <w:sz w:val="20"/>
          <w:szCs w:val="20"/>
        </w:rPr>
        <w:t xml:space="preserve">The resulting data structure from this analysis was a correlation matrix for each stimulation condition, representing the average lag-corrected Spearman’s correlation between regions. We next applied a mask to this matrix to remove any non-significant indices or indices where we did not have sufficient data to make inter-regional comparisons. To compare the overall morphological similarity of CCEPs between stimulation conditions, we performed a Wilcoxon rank sum test between the correlation values of each correlation matrix. </w:t>
      </w:r>
    </w:p>
    <w:p w14:paraId="6800FE0A" w14:textId="77777777" w:rsidR="004C4175" w:rsidRPr="005B4F50" w:rsidRDefault="004C4175" w:rsidP="00750445">
      <w:pPr>
        <w:ind w:firstLine="720"/>
        <w:rPr>
          <w:rFonts w:ascii="Arial" w:hAnsi="Arial" w:cs="Arial"/>
          <w:sz w:val="20"/>
          <w:szCs w:val="20"/>
        </w:rPr>
      </w:pPr>
      <w:r w:rsidRPr="005B4F50">
        <w:rPr>
          <w:rFonts w:ascii="Arial" w:hAnsi="Arial" w:cs="Arial"/>
          <w:sz w:val="20"/>
          <w:szCs w:val="20"/>
        </w:rPr>
        <w:t xml:space="preserve">We then applied agglomerative hierarchical clustering to these matrices to identify subnetworks with shared CCEP morphology for each stimulation condition. For this analysis, we </w:t>
      </w:r>
      <w:r w:rsidRPr="005B4F50">
        <w:rPr>
          <w:rFonts w:ascii="Arial" w:hAnsi="Arial" w:cs="Arial"/>
          <w:sz w:val="20"/>
          <w:szCs w:val="20"/>
        </w:rPr>
        <w:lastRenderedPageBreak/>
        <w:t xml:space="preserve">calculated the distance matrix of each correlation matrix by subtracting each index from one. We then computed a linkage matrix encoding relationships between regions as a dendrogram, which was used for defining clusters of regions.  </w:t>
      </w:r>
    </w:p>
    <w:p w14:paraId="5743C5B2" w14:textId="6C4C4F27" w:rsidR="004C4175" w:rsidRPr="005B4F50" w:rsidRDefault="004C4175" w:rsidP="00D14D8C">
      <w:pPr>
        <w:ind w:firstLine="720"/>
        <w:rPr>
          <w:rFonts w:ascii="Arial" w:eastAsiaTheme="minorEastAsia" w:hAnsi="Arial" w:cs="Arial"/>
          <w:iCs/>
          <w:sz w:val="20"/>
          <w:szCs w:val="20"/>
        </w:rPr>
      </w:pPr>
      <w:r w:rsidRPr="005B4F50">
        <w:rPr>
          <w:rFonts w:ascii="Arial" w:hAnsi="Arial" w:cs="Arial"/>
          <w:sz w:val="20"/>
          <w:szCs w:val="20"/>
        </w:rPr>
        <w:t>To select a distance threshold to cluster regions, we implemented an automated selection algorithm</w:t>
      </w:r>
      <w:r w:rsidR="00D14D8C">
        <w:rPr>
          <w:rFonts w:ascii="Arial" w:hAnsi="Arial" w:cs="Arial"/>
          <w:sz w:val="20"/>
          <w:szCs w:val="20"/>
        </w:rPr>
        <w:t xml:space="preserve"> (see </w:t>
      </w:r>
      <w:r w:rsidR="00D14D8C">
        <w:rPr>
          <w:rFonts w:ascii="Arial" w:hAnsi="Arial" w:cs="Arial"/>
          <w:i/>
          <w:iCs/>
          <w:sz w:val="20"/>
          <w:szCs w:val="20"/>
        </w:rPr>
        <w:t>Automated Dendrogram Distance Threshold Selection</w:t>
      </w:r>
      <w:r w:rsidR="00D14D8C">
        <w:rPr>
          <w:rFonts w:ascii="Arial" w:hAnsi="Arial" w:cs="Arial"/>
          <w:sz w:val="20"/>
          <w:szCs w:val="20"/>
        </w:rPr>
        <w:t xml:space="preserve"> in Supplemental Methods)</w:t>
      </w:r>
      <w:r w:rsidR="006570B6">
        <w:rPr>
          <w:rFonts w:ascii="Arial" w:hAnsi="Arial" w:cs="Arial"/>
          <w:sz w:val="20"/>
          <w:szCs w:val="20"/>
        </w:rPr>
        <w:t>.</w:t>
      </w:r>
      <w:r w:rsidRPr="005B4F50">
        <w:rPr>
          <w:rFonts w:ascii="Arial" w:hAnsi="Arial" w:cs="Arial"/>
          <w:sz w:val="20"/>
          <w:szCs w:val="20"/>
        </w:rPr>
        <w:t xml:space="preserve"> </w:t>
      </w:r>
      <w:r w:rsidRPr="005B4F50">
        <w:rPr>
          <w:rFonts w:ascii="Arial" w:eastAsiaTheme="minorEastAsia" w:hAnsi="Arial" w:cs="Arial"/>
          <w:iCs/>
          <w:sz w:val="20"/>
          <w:szCs w:val="20"/>
        </w:rPr>
        <w:t>To characterize the overall differences in dendrogram diversity, we calculated distributions of cophenetic distance (i.e., pairwise differences in branch length across the entire tree) for each stimulation condition and compared these distributions using a Wilcoxon rank sum test. The dendrogram diversity was evaluated by calculating the cophenetic entropy of these distributions.</w:t>
      </w:r>
    </w:p>
    <w:p w14:paraId="0C2D8171" w14:textId="084A02C5" w:rsidR="004C4175" w:rsidRPr="005B4F50" w:rsidRDefault="004C4175" w:rsidP="00750445">
      <w:pPr>
        <w:rPr>
          <w:rFonts w:ascii="Arial" w:hAnsi="Arial" w:cs="Arial"/>
          <w:sz w:val="20"/>
          <w:szCs w:val="20"/>
        </w:rPr>
      </w:pPr>
      <w:r w:rsidRPr="005B4F50">
        <w:rPr>
          <w:rFonts w:ascii="Arial" w:hAnsi="Arial" w:cs="Arial"/>
          <w:sz w:val="20"/>
          <w:szCs w:val="20"/>
          <w:u w:val="single"/>
        </w:rPr>
        <w:t>Assessing Feature Importance for Classifying Cg Effective Connectivity Networks:</w:t>
      </w:r>
      <w:r w:rsidRPr="005B4F50">
        <w:rPr>
          <w:rFonts w:ascii="Arial" w:hAnsi="Arial" w:cs="Arial"/>
          <w:sz w:val="20"/>
          <w:szCs w:val="20"/>
        </w:rPr>
        <w:t xml:space="preserve"> To assess the importance of the effective connectivity metrics extracted in this study to classify which Cg subregion was stimulated, we used Random Forest Models </w:t>
      </w:r>
      <w:r w:rsidRPr="005B4F50">
        <w:rPr>
          <w:rFonts w:ascii="Arial" w:hAnsi="Arial" w:cs="Arial"/>
          <w:sz w:val="20"/>
          <w:szCs w:val="20"/>
        </w:rPr>
        <w:fldChar w:fldCharType="begin"/>
      </w:r>
      <w:r w:rsidR="00A957AF">
        <w:rPr>
          <w:rFonts w:ascii="Arial" w:hAnsi="Arial" w:cs="Arial"/>
          <w:sz w:val="20"/>
          <w:szCs w:val="20"/>
        </w:rPr>
        <w:instrText xml:space="preserve"> ADDIN ZOTERO_ITEM CSL_CITATION {"citationID":"el1IuYjf","properties":{"formattedCitation":"(69)","plainCitation":"(69)","noteIndex":0},"citationItems":[{"id":4319,"uris":["http://zotero.org/users/7023408/items/E39W39BP"],"itemData":{"id":4319,"type":"article-journal","abstract":"Random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Forests","volume":"45","author":[{"family":"Breiman","given":"Leo"}],"issued":{"date-parts":[["2001",10,1]]},"citation-key":"breimanRandomForests2001"}}],"schema":"https://github.com/citation-style-language/schema/raw/master/csl-citation.json"} </w:instrText>
      </w:r>
      <w:r w:rsidRPr="005B4F50">
        <w:rPr>
          <w:rFonts w:ascii="Arial" w:hAnsi="Arial" w:cs="Arial"/>
          <w:sz w:val="20"/>
          <w:szCs w:val="20"/>
        </w:rPr>
        <w:fldChar w:fldCharType="separate"/>
      </w:r>
      <w:r w:rsidR="00A957AF">
        <w:rPr>
          <w:rFonts w:ascii="Arial" w:hAnsi="Arial" w:cs="Arial"/>
          <w:sz w:val="20"/>
          <w:szCs w:val="20"/>
        </w:rPr>
        <w:t>(69)</w:t>
      </w:r>
      <w:r w:rsidRPr="005B4F50">
        <w:rPr>
          <w:rFonts w:ascii="Arial" w:hAnsi="Arial" w:cs="Arial"/>
          <w:sz w:val="20"/>
          <w:szCs w:val="20"/>
        </w:rPr>
        <w:fldChar w:fldCharType="end"/>
      </w:r>
      <w:r w:rsidRPr="005B4F50">
        <w:rPr>
          <w:rFonts w:ascii="Arial" w:hAnsi="Arial" w:cs="Arial"/>
          <w:sz w:val="20"/>
          <w:szCs w:val="20"/>
        </w:rPr>
        <w:t xml:space="preserve">.  The model inputs included features aggregated across subjects at each contact, and the model was trained to classify contacts into three groups, specifically corresponding to which Cg subregion was stimulated (ACC, MCC, PCC). The input features for each contact (see Supplemental Methods for description and methods for all features not outlined above) included response coherence, baseline coherence, Cohen’s d of response coherence, response coherence variance, response magnitude, contact position (X, Y, and Z- each a separate feature), response latency, response duration, peak response magnitude, peak response latency, response offset,  peak broadband gamma magnitude, evoked gamma response, gamma response latency, gamma response duration, response onset angle, response offset angle, each of the (up to) three dominant CCEP angles (each a separate feature), onset of each of the three dominant CCEP angles (each a separate feature), N1 peak amplitude, N1 peak prominence, N1 peak width, N2 peak amplitude, N2 peak prominence, N2 peak width, N2 Peak latency. The details for the methodology used to extract </w:t>
      </w:r>
      <w:r w:rsidR="00D14D8C">
        <w:rPr>
          <w:rFonts w:ascii="Arial" w:hAnsi="Arial" w:cs="Arial"/>
          <w:sz w:val="20"/>
          <w:szCs w:val="20"/>
        </w:rPr>
        <w:t xml:space="preserve">temporal features, gamma features, </w:t>
      </w:r>
      <w:r w:rsidRPr="005B4F50">
        <w:rPr>
          <w:rFonts w:ascii="Arial" w:hAnsi="Arial" w:cs="Arial"/>
          <w:sz w:val="20"/>
          <w:szCs w:val="20"/>
        </w:rPr>
        <w:t>response angles</w:t>
      </w:r>
      <w:r w:rsidR="00D14D8C">
        <w:rPr>
          <w:rFonts w:ascii="Arial" w:hAnsi="Arial" w:cs="Arial"/>
          <w:sz w:val="20"/>
          <w:szCs w:val="20"/>
        </w:rPr>
        <w:t>,</w:t>
      </w:r>
      <w:r w:rsidRPr="005B4F50">
        <w:rPr>
          <w:rFonts w:ascii="Arial" w:hAnsi="Arial" w:cs="Arial"/>
          <w:sz w:val="20"/>
          <w:szCs w:val="20"/>
        </w:rPr>
        <w:t xml:space="preserve"> and N1/N2 features are described in Supplemental Methods.</w:t>
      </w:r>
    </w:p>
    <w:p w14:paraId="48CB8333" w14:textId="67E95865" w:rsidR="004C4175" w:rsidRPr="005B4F50" w:rsidRDefault="004C4175" w:rsidP="00750445">
      <w:pPr>
        <w:ind w:firstLine="720"/>
        <w:rPr>
          <w:rFonts w:ascii="Arial" w:eastAsiaTheme="minorEastAsia" w:hAnsi="Arial" w:cs="Arial"/>
          <w:iCs/>
          <w:sz w:val="20"/>
          <w:szCs w:val="20"/>
        </w:rPr>
      </w:pPr>
      <w:r w:rsidRPr="005B4F50">
        <w:rPr>
          <w:rFonts w:ascii="Arial" w:eastAsiaTheme="minorEastAsia" w:hAnsi="Arial" w:cs="Arial"/>
          <w:iCs/>
          <w:sz w:val="20"/>
          <w:szCs w:val="20"/>
        </w:rPr>
        <w:t xml:space="preserve">All models were trained with a 5/10-fold nested cross-validation in aggregate across all subjects (5-fold for inner folds, 10-fold for outer folds). Within each fold, models were optimized using 200 iterations of Bayesian optimization, and weighted classification was employed during training to address class imbalance (i.e., differences in sample number for each condition). Permutation feature importance was used to identify the strongest predictive features of the output based on the trained models </w:t>
      </w:r>
      <w:r w:rsidRPr="005B4F50">
        <w:rPr>
          <w:rFonts w:ascii="Arial" w:eastAsiaTheme="minorEastAsia" w:hAnsi="Arial" w:cs="Arial"/>
          <w:iCs/>
          <w:sz w:val="20"/>
          <w:szCs w:val="20"/>
        </w:rPr>
        <w:fldChar w:fldCharType="begin"/>
      </w:r>
      <w:r w:rsidR="00A957AF">
        <w:rPr>
          <w:rFonts w:ascii="Arial" w:eastAsiaTheme="minorEastAsia" w:hAnsi="Arial" w:cs="Arial"/>
          <w:iCs/>
          <w:sz w:val="20"/>
          <w:szCs w:val="20"/>
        </w:rPr>
        <w:instrText xml:space="preserve"> ADDIN ZOTERO_ITEM CSL_CITATION {"citationID":"89jvjkpD","properties":{"formattedCitation":"(70)","plainCitation":"(70)","noteIndex":0},"citationItems":[{"id":4320,"uris":["http://zotero.org/users/7023408/items/W3GFAZGN"],"itemData":{"id":4320,"type":"article-journal","abstract":"Variable importance (VI) tools describe how much covariates contribute to a prediction model’s accuracy. However, important variables for one well-performing model (for example, a linear model f (x) = xT\nβ with a fixed coefficient vector β) may be unimportant for another model. In this paper, we propose model class reliance (MCR) as the range of VI values across all well-performing model in a prespecified class. Thus, MCR gives a more comprehensive description of importance by accounting for the fact that many prediction models, possibly of different parametric forms, may fit the data well. In the process of deriving MCR, we show several informative results for permutation-based VI estimates, based on the VI measures used in Random Forests. Specifically, we derive connections between permutation importance estimates for a single prediction model, U-statistics, conditional variable importance, conditional causal effects, and linear model coefficients. We then give probabilistic bounds for MCR, using a novel, generalizable technique. We apply MCR to a public data set of Broward County criminal records to study the reliance of recidivism prediction models on sex and race. In this application, MCR can be used to help inform VI for unknown, proprietary models.","container-title":"Journal of machine learning research : JMLR","ISSN":"1532-4435","journalAbbreviation":"J Mach Learn Res","note":"PMID: 34335110\nPMCID: PMC8323609","page":"177","source":"PubMed Central","title":"All Models are Wrong, but Many are Useful: Learning a Variable’s Importance by Studying an Entire Class of Prediction Models Simultaneously","title-short":"All Models are Wrong, but Many are Useful","volume":"20","author":[{"family":"Fisher","given":"Aaron"},{"family":"Rudin","given":"Cynthia"},{"family":"Dominici","given":"Francesca"}],"issued":{"date-parts":[["2019"]]},"citation-key":"fisherAllModelsAre2019"}}],"schema":"https://github.com/citation-style-language/schema/raw/master/csl-citation.json"} </w:instrText>
      </w:r>
      <w:r w:rsidRPr="005B4F50">
        <w:rPr>
          <w:rFonts w:ascii="Arial" w:eastAsiaTheme="minorEastAsia" w:hAnsi="Arial" w:cs="Arial"/>
          <w:iCs/>
          <w:sz w:val="20"/>
          <w:szCs w:val="20"/>
        </w:rPr>
        <w:fldChar w:fldCharType="separate"/>
      </w:r>
      <w:r w:rsidR="00A957AF">
        <w:rPr>
          <w:rFonts w:ascii="Arial" w:hAnsi="Arial" w:cs="Arial"/>
          <w:sz w:val="20"/>
          <w:szCs w:val="20"/>
        </w:rPr>
        <w:t>(70)</w:t>
      </w:r>
      <w:r w:rsidRPr="005B4F50">
        <w:rPr>
          <w:rFonts w:ascii="Arial" w:eastAsiaTheme="minorEastAsia" w:hAnsi="Arial" w:cs="Arial"/>
          <w:iCs/>
          <w:sz w:val="20"/>
          <w:szCs w:val="20"/>
        </w:rPr>
        <w:fldChar w:fldCharType="end"/>
      </w:r>
      <w:r w:rsidRPr="005B4F50">
        <w:rPr>
          <w:rFonts w:ascii="Arial" w:eastAsiaTheme="minorEastAsia" w:hAnsi="Arial" w:cs="Arial"/>
          <w:iCs/>
          <w:sz w:val="20"/>
          <w:szCs w:val="20"/>
        </w:rPr>
        <w:t xml:space="preserve">. Permutation feature importance assesses the contribution of each feature by measuring the impact on model performance when the values of that feature are randomly permuted. First, baseline model performance was established using the unaltered dataset. Then, one feature is permuted at a time, and the resulting decrease in model accuracy is recorded. This process is repeated for each feature, with greater drops in performance indicating more important features. For this analysis, permutation importance was calculated across all models trained during cross-validation, and the feature weights for each model were averaged. This process was repeated 1,000 times per model, and the results were averaged to yield a single importance weight for each feature. </w:t>
      </w:r>
    </w:p>
    <w:p w14:paraId="4EEAE8C9" w14:textId="77777777" w:rsidR="00980C22" w:rsidRPr="005B4F50" w:rsidRDefault="00980C22" w:rsidP="00750445">
      <w:pPr>
        <w:pBdr>
          <w:top w:val="nil"/>
          <w:left w:val="nil"/>
          <w:bottom w:val="nil"/>
          <w:right w:val="nil"/>
          <w:between w:val="nil"/>
        </w:pBdr>
        <w:contextualSpacing/>
        <w:rPr>
          <w:rFonts w:ascii="Arial" w:hAnsi="Arial" w:cs="Arial"/>
          <w:color w:val="000000"/>
          <w:sz w:val="20"/>
          <w:szCs w:val="20"/>
        </w:rPr>
      </w:pPr>
    </w:p>
    <w:p w14:paraId="24F14103" w14:textId="77777777" w:rsidR="00E6133D" w:rsidRPr="005B4F50" w:rsidRDefault="00E6133D" w:rsidP="00750445">
      <w:pPr>
        <w:pBdr>
          <w:top w:val="nil"/>
          <w:left w:val="nil"/>
          <w:bottom w:val="nil"/>
          <w:right w:val="nil"/>
          <w:between w:val="nil"/>
        </w:pBdr>
        <w:contextualSpacing/>
        <w:rPr>
          <w:rFonts w:ascii="Arial" w:hAnsi="Arial" w:cs="Arial"/>
          <w:b/>
          <w:color w:val="000000"/>
          <w:sz w:val="20"/>
          <w:szCs w:val="20"/>
        </w:rPr>
      </w:pPr>
      <w:r w:rsidRPr="005B4F50">
        <w:rPr>
          <w:rFonts w:ascii="Arial" w:hAnsi="Arial" w:cs="Arial"/>
          <w:b/>
          <w:color w:val="000000"/>
          <w:sz w:val="20"/>
          <w:szCs w:val="20"/>
        </w:rPr>
        <w:t>Acknowledgments</w:t>
      </w:r>
    </w:p>
    <w:p w14:paraId="5657C956" w14:textId="77777777" w:rsidR="00E6133D" w:rsidRPr="005B4F50" w:rsidRDefault="00E6133D" w:rsidP="00750445">
      <w:pPr>
        <w:pBdr>
          <w:top w:val="nil"/>
          <w:left w:val="nil"/>
          <w:bottom w:val="nil"/>
          <w:right w:val="nil"/>
          <w:between w:val="nil"/>
        </w:pBdr>
        <w:contextualSpacing/>
        <w:rPr>
          <w:rFonts w:ascii="Arial" w:hAnsi="Arial" w:cs="Arial"/>
          <w:b/>
          <w:color w:val="000000"/>
          <w:sz w:val="20"/>
          <w:szCs w:val="20"/>
        </w:rPr>
      </w:pPr>
    </w:p>
    <w:p w14:paraId="56765633" w14:textId="77777777" w:rsidR="00F27E41" w:rsidRPr="005B4F50" w:rsidRDefault="00F27E41" w:rsidP="00750445">
      <w:pPr>
        <w:pStyle w:val="Acknowledgement"/>
        <w:spacing w:before="0"/>
        <w:ind w:left="0" w:firstLine="0"/>
        <w:rPr>
          <w:rFonts w:ascii="Arial" w:hAnsi="Arial" w:cs="Arial"/>
          <w:sz w:val="20"/>
          <w:szCs w:val="20"/>
        </w:rPr>
      </w:pPr>
      <w:r w:rsidRPr="005B4F50">
        <w:rPr>
          <w:rFonts w:ascii="Arial" w:hAnsi="Arial" w:cs="Arial"/>
          <w:sz w:val="20"/>
          <w:szCs w:val="20"/>
        </w:rPr>
        <w:t xml:space="preserve">We thank the diligent team members of the Barnes-Jewish Hospital epilepsy monitoring unit and the clinical teams that have made this research possible. We thank </w:t>
      </w:r>
      <w:proofErr w:type="gramStart"/>
      <w:r w:rsidRPr="005B4F50">
        <w:rPr>
          <w:rFonts w:ascii="Arial" w:hAnsi="Arial" w:cs="Arial"/>
          <w:sz w:val="20"/>
          <w:szCs w:val="20"/>
        </w:rPr>
        <w:t>all of</w:t>
      </w:r>
      <w:proofErr w:type="gramEnd"/>
      <w:r w:rsidRPr="005B4F50">
        <w:rPr>
          <w:rFonts w:ascii="Arial" w:hAnsi="Arial" w:cs="Arial"/>
          <w:sz w:val="20"/>
          <w:szCs w:val="20"/>
        </w:rPr>
        <w:t xml:space="preserve"> the amazing patients who contributed their time and effort to advance our understanding of the human brain, even when facing their own clinical challenges. We would also like to thank research team members for their feedback and support throughout the development of this manuscript, especially to Ki </w:t>
      </w:r>
      <w:r w:rsidRPr="005B4F50">
        <w:rPr>
          <w:rFonts w:ascii="Arial" w:hAnsi="Arial" w:cs="Arial"/>
          <w:sz w:val="20"/>
          <w:szCs w:val="20"/>
        </w:rPr>
        <w:lastRenderedPageBreak/>
        <w:t xml:space="preserve">Yun (Kay) Park and Kara Donovan. We would also like to thank </w:t>
      </w:r>
      <w:proofErr w:type="spellStart"/>
      <w:r w:rsidRPr="005B4F50">
        <w:rPr>
          <w:rFonts w:ascii="Arial" w:hAnsi="Arial" w:cs="Arial"/>
          <w:sz w:val="20"/>
          <w:szCs w:val="20"/>
        </w:rPr>
        <w:t>Shuran</w:t>
      </w:r>
      <w:proofErr w:type="spellEnd"/>
      <w:r w:rsidRPr="005B4F50">
        <w:rPr>
          <w:rFonts w:ascii="Arial" w:hAnsi="Arial" w:cs="Arial"/>
          <w:sz w:val="20"/>
          <w:szCs w:val="20"/>
        </w:rPr>
        <w:t xml:space="preserve"> (Rayna) Tang, Maple, and Sooty for being an especially supportive presence throughout the actualization of this work. </w:t>
      </w:r>
    </w:p>
    <w:p w14:paraId="557C004D" w14:textId="77777777" w:rsidR="00980C22" w:rsidRPr="005B4F50" w:rsidRDefault="00980C22" w:rsidP="00750445">
      <w:pPr>
        <w:pBdr>
          <w:top w:val="nil"/>
          <w:left w:val="nil"/>
          <w:bottom w:val="nil"/>
          <w:right w:val="nil"/>
          <w:between w:val="nil"/>
        </w:pBdr>
        <w:contextualSpacing/>
        <w:rPr>
          <w:rFonts w:ascii="Arial" w:hAnsi="Arial" w:cs="Arial"/>
          <w:color w:val="000000"/>
          <w:sz w:val="20"/>
          <w:szCs w:val="20"/>
        </w:rPr>
      </w:pPr>
    </w:p>
    <w:p w14:paraId="1124750D" w14:textId="77777777" w:rsidR="00E6133D" w:rsidRPr="005B4F50" w:rsidRDefault="00E6133D" w:rsidP="00750445">
      <w:pPr>
        <w:pBdr>
          <w:top w:val="nil"/>
          <w:left w:val="nil"/>
          <w:bottom w:val="nil"/>
          <w:right w:val="nil"/>
          <w:between w:val="nil"/>
        </w:pBdr>
        <w:contextualSpacing/>
        <w:rPr>
          <w:rFonts w:ascii="Arial" w:hAnsi="Arial" w:cs="Arial"/>
          <w:color w:val="000000"/>
          <w:sz w:val="20"/>
          <w:szCs w:val="20"/>
        </w:rPr>
      </w:pPr>
    </w:p>
    <w:p w14:paraId="3EAB21F4" w14:textId="77777777" w:rsidR="00E6133D" w:rsidRPr="005B4F50" w:rsidRDefault="00E6133D" w:rsidP="00750445">
      <w:pPr>
        <w:pBdr>
          <w:top w:val="nil"/>
          <w:left w:val="nil"/>
          <w:bottom w:val="nil"/>
          <w:right w:val="nil"/>
          <w:between w:val="nil"/>
        </w:pBdr>
        <w:contextualSpacing/>
        <w:rPr>
          <w:rFonts w:ascii="Arial" w:hAnsi="Arial" w:cs="Arial"/>
          <w:color w:val="000000"/>
          <w:sz w:val="20"/>
          <w:szCs w:val="20"/>
        </w:rPr>
      </w:pPr>
      <w:r w:rsidRPr="005B4F50">
        <w:rPr>
          <w:rFonts w:ascii="Arial" w:hAnsi="Arial" w:cs="Arial"/>
          <w:b/>
          <w:color w:val="000000"/>
          <w:sz w:val="20"/>
          <w:szCs w:val="20"/>
        </w:rPr>
        <w:t>References</w:t>
      </w:r>
    </w:p>
    <w:p w14:paraId="46426A40" w14:textId="77777777" w:rsidR="00E6133D" w:rsidRDefault="00E6133D" w:rsidP="00750445">
      <w:pPr>
        <w:pBdr>
          <w:top w:val="nil"/>
          <w:left w:val="nil"/>
          <w:bottom w:val="nil"/>
          <w:right w:val="nil"/>
          <w:between w:val="nil"/>
        </w:pBdr>
        <w:contextualSpacing/>
        <w:rPr>
          <w:rFonts w:ascii="Arial" w:hAnsi="Arial" w:cs="Arial"/>
          <w:color w:val="000000"/>
          <w:sz w:val="20"/>
          <w:szCs w:val="20"/>
        </w:rPr>
      </w:pPr>
    </w:p>
    <w:p w14:paraId="49995EA4" w14:textId="77777777" w:rsidR="00A957AF" w:rsidRPr="00A957AF" w:rsidRDefault="00A957AF" w:rsidP="00A957AF">
      <w:pPr>
        <w:pStyle w:val="Bibliography"/>
        <w:rPr>
          <w:rFonts w:ascii="Arial" w:hAnsi="Arial" w:cs="Arial"/>
          <w:color w:val="000000"/>
          <w:sz w:val="20"/>
        </w:rPr>
      </w:pPr>
      <w:r>
        <w:rPr>
          <w:rFonts w:ascii="Arial" w:hAnsi="Arial" w:cs="Arial"/>
          <w:color w:val="000000"/>
          <w:sz w:val="20"/>
          <w:szCs w:val="20"/>
        </w:rPr>
        <w:fldChar w:fldCharType="begin"/>
      </w:r>
      <w:r>
        <w:rPr>
          <w:rFonts w:ascii="Arial" w:hAnsi="Arial" w:cs="Arial"/>
          <w:color w:val="000000"/>
          <w:sz w:val="20"/>
          <w:szCs w:val="20"/>
        </w:rPr>
        <w:instrText xml:space="preserve"> ADDIN ZOTERO_BIBL {"uncited":[],"omitted":[],"custom":[]} CSL_BIBLIOGRAPHY </w:instrText>
      </w:r>
      <w:r>
        <w:rPr>
          <w:rFonts w:ascii="Arial" w:hAnsi="Arial" w:cs="Arial"/>
          <w:color w:val="000000"/>
          <w:sz w:val="20"/>
          <w:szCs w:val="20"/>
        </w:rPr>
        <w:fldChar w:fldCharType="separate"/>
      </w:r>
      <w:r w:rsidRPr="00A957AF">
        <w:rPr>
          <w:rFonts w:ascii="Arial" w:hAnsi="Arial" w:cs="Arial"/>
          <w:color w:val="000000"/>
          <w:sz w:val="20"/>
        </w:rPr>
        <w:t xml:space="preserve">1. </w:t>
      </w:r>
      <w:r w:rsidRPr="00A957AF">
        <w:rPr>
          <w:rFonts w:ascii="Arial" w:hAnsi="Arial" w:cs="Arial"/>
          <w:color w:val="000000"/>
          <w:sz w:val="20"/>
        </w:rPr>
        <w:tab/>
        <w:t xml:space="preserve">K. Brodmann, </w:t>
      </w:r>
      <w:r w:rsidRPr="00A957AF">
        <w:rPr>
          <w:rFonts w:ascii="Arial" w:hAnsi="Arial" w:cs="Arial"/>
          <w:i/>
          <w:iCs/>
          <w:color w:val="000000"/>
          <w:sz w:val="20"/>
        </w:rPr>
        <w:t>Vergleichende Lokalisationslehre der Grosshirnrinde in ihren Prinzipien dargestellt auf Grund des Zellenbaues</w:t>
      </w:r>
      <w:r w:rsidRPr="00A957AF">
        <w:rPr>
          <w:rFonts w:ascii="Arial" w:hAnsi="Arial" w:cs="Arial"/>
          <w:color w:val="000000"/>
          <w:sz w:val="20"/>
        </w:rPr>
        <w:t xml:space="preserve"> (Barth, 1909).</w:t>
      </w:r>
    </w:p>
    <w:p w14:paraId="1BD08628"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 </w:t>
      </w:r>
      <w:r w:rsidRPr="00A957AF">
        <w:rPr>
          <w:rFonts w:ascii="Arial" w:hAnsi="Arial" w:cs="Arial"/>
          <w:color w:val="000000"/>
          <w:sz w:val="20"/>
        </w:rPr>
        <w:tab/>
        <w:t xml:space="preserve">F. Jin, P. Zheng, H. Liu, H. Guo, Z. Sun, Functional and anatomical connectivity‐based parcellation of human cingulate cortex. </w:t>
      </w:r>
      <w:r w:rsidRPr="00A957AF">
        <w:rPr>
          <w:rFonts w:ascii="Arial" w:hAnsi="Arial" w:cs="Arial"/>
          <w:i/>
          <w:iCs/>
          <w:color w:val="000000"/>
          <w:sz w:val="20"/>
        </w:rPr>
        <w:t>Brain Behav</w:t>
      </w:r>
      <w:r w:rsidRPr="00A957AF">
        <w:rPr>
          <w:rFonts w:ascii="Arial" w:hAnsi="Arial" w:cs="Arial"/>
          <w:color w:val="000000"/>
          <w:sz w:val="20"/>
        </w:rPr>
        <w:t xml:space="preserve"> </w:t>
      </w:r>
      <w:r w:rsidRPr="00A957AF">
        <w:rPr>
          <w:rFonts w:ascii="Arial" w:hAnsi="Arial" w:cs="Arial"/>
          <w:b/>
          <w:bCs/>
          <w:color w:val="000000"/>
          <w:sz w:val="20"/>
        </w:rPr>
        <w:t>8</w:t>
      </w:r>
      <w:r w:rsidRPr="00A957AF">
        <w:rPr>
          <w:rFonts w:ascii="Arial" w:hAnsi="Arial" w:cs="Arial"/>
          <w:color w:val="000000"/>
          <w:sz w:val="20"/>
        </w:rPr>
        <w:t>, e01070 (2018).</w:t>
      </w:r>
    </w:p>
    <w:p w14:paraId="29B7786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 </w:t>
      </w:r>
      <w:r w:rsidRPr="00A957AF">
        <w:rPr>
          <w:rFonts w:ascii="Arial" w:hAnsi="Arial" w:cs="Arial"/>
          <w:color w:val="000000"/>
          <w:sz w:val="20"/>
        </w:rPr>
        <w:tab/>
        <w:t xml:space="preserve">B. A. Vogt, E. A. Nimchinsky, L. J. Vogt, P. R. Hof, Human cingulate cortex: surface features, flat maps, and cytoarchitecture. </w:t>
      </w:r>
      <w:r w:rsidRPr="00A957AF">
        <w:rPr>
          <w:rFonts w:ascii="Arial" w:hAnsi="Arial" w:cs="Arial"/>
          <w:i/>
          <w:iCs/>
          <w:color w:val="000000"/>
          <w:sz w:val="20"/>
        </w:rPr>
        <w:t>J Comp Neurol</w:t>
      </w:r>
      <w:r w:rsidRPr="00A957AF">
        <w:rPr>
          <w:rFonts w:ascii="Arial" w:hAnsi="Arial" w:cs="Arial"/>
          <w:color w:val="000000"/>
          <w:sz w:val="20"/>
        </w:rPr>
        <w:t xml:space="preserve"> </w:t>
      </w:r>
      <w:r w:rsidRPr="00A957AF">
        <w:rPr>
          <w:rFonts w:ascii="Arial" w:hAnsi="Arial" w:cs="Arial"/>
          <w:b/>
          <w:bCs/>
          <w:color w:val="000000"/>
          <w:sz w:val="20"/>
        </w:rPr>
        <w:t>359</w:t>
      </w:r>
      <w:r w:rsidRPr="00A957AF">
        <w:rPr>
          <w:rFonts w:ascii="Arial" w:hAnsi="Arial" w:cs="Arial"/>
          <w:color w:val="000000"/>
          <w:sz w:val="20"/>
        </w:rPr>
        <w:t>, 490–506 (1995).</w:t>
      </w:r>
    </w:p>
    <w:p w14:paraId="7E94143C"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 </w:t>
      </w:r>
      <w:r w:rsidRPr="00A957AF">
        <w:rPr>
          <w:rFonts w:ascii="Arial" w:hAnsi="Arial" w:cs="Arial"/>
          <w:color w:val="000000"/>
          <w:sz w:val="20"/>
        </w:rPr>
        <w:tab/>
        <w:t xml:space="preserve">I. Oane, A. Barborica, I. R. Mindruta, Cingulate Cortex: Anatomy, Structural and Functional Connectivity. </w:t>
      </w:r>
      <w:r w:rsidRPr="00A957AF">
        <w:rPr>
          <w:rFonts w:ascii="Arial" w:hAnsi="Arial" w:cs="Arial"/>
          <w:i/>
          <w:iCs/>
          <w:color w:val="000000"/>
          <w:sz w:val="20"/>
        </w:rPr>
        <w:t>Journal of Clinical Neurophysiology</w:t>
      </w:r>
      <w:r w:rsidRPr="00A957AF">
        <w:rPr>
          <w:rFonts w:ascii="Arial" w:hAnsi="Arial" w:cs="Arial"/>
          <w:color w:val="000000"/>
          <w:sz w:val="20"/>
        </w:rPr>
        <w:t xml:space="preserve"> 10.1097/WNP.0000000000000970 (2022). https://doi.org/10.1097/WNP.0000000000000970.</w:t>
      </w:r>
    </w:p>
    <w:p w14:paraId="11D940CE"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 </w:t>
      </w:r>
      <w:r w:rsidRPr="00A957AF">
        <w:rPr>
          <w:rFonts w:ascii="Arial" w:hAnsi="Arial" w:cs="Arial"/>
          <w:color w:val="000000"/>
          <w:sz w:val="20"/>
        </w:rPr>
        <w:tab/>
        <w:t xml:space="preserve">Y. Shen, </w:t>
      </w:r>
      <w:r w:rsidRPr="00A957AF">
        <w:rPr>
          <w:rFonts w:ascii="Arial" w:hAnsi="Arial" w:cs="Arial"/>
          <w:i/>
          <w:iCs/>
          <w:color w:val="000000"/>
          <w:sz w:val="20"/>
        </w:rPr>
        <w:t>et al.</w:t>
      </w:r>
      <w:r w:rsidRPr="00A957AF">
        <w:rPr>
          <w:rFonts w:ascii="Arial" w:hAnsi="Arial" w:cs="Arial"/>
          <w:color w:val="000000"/>
          <w:sz w:val="20"/>
        </w:rPr>
        <w:t xml:space="preserve">, Functional connectivity gradients of the cingulate cortex. </w:t>
      </w:r>
      <w:r w:rsidRPr="00A957AF">
        <w:rPr>
          <w:rFonts w:ascii="Arial" w:hAnsi="Arial" w:cs="Arial"/>
          <w:i/>
          <w:iCs/>
          <w:color w:val="000000"/>
          <w:sz w:val="20"/>
        </w:rPr>
        <w:t>Commun Biol</w:t>
      </w:r>
      <w:r w:rsidRPr="00A957AF">
        <w:rPr>
          <w:rFonts w:ascii="Arial" w:hAnsi="Arial" w:cs="Arial"/>
          <w:color w:val="000000"/>
          <w:sz w:val="20"/>
        </w:rPr>
        <w:t xml:space="preserve"> </w:t>
      </w:r>
      <w:r w:rsidRPr="00A957AF">
        <w:rPr>
          <w:rFonts w:ascii="Arial" w:hAnsi="Arial" w:cs="Arial"/>
          <w:b/>
          <w:bCs/>
          <w:color w:val="000000"/>
          <w:sz w:val="20"/>
        </w:rPr>
        <w:t>6</w:t>
      </w:r>
      <w:r w:rsidRPr="00A957AF">
        <w:rPr>
          <w:rFonts w:ascii="Arial" w:hAnsi="Arial" w:cs="Arial"/>
          <w:color w:val="000000"/>
          <w:sz w:val="20"/>
        </w:rPr>
        <w:t>, 1–9 (2023).</w:t>
      </w:r>
    </w:p>
    <w:p w14:paraId="5697CDD1"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 </w:t>
      </w:r>
      <w:r w:rsidRPr="00A957AF">
        <w:rPr>
          <w:rFonts w:ascii="Arial" w:hAnsi="Arial" w:cs="Arial"/>
          <w:color w:val="000000"/>
          <w:sz w:val="20"/>
        </w:rPr>
        <w:tab/>
        <w:t xml:space="preserve">N. Palomero-Gallagher, B. A. Vogt, A. Schleicher, H. S. Mayberg, K. Zilles, Receptor architecture of human cingulate cortex: evaluation of the four-region neurobiological model. </w:t>
      </w:r>
      <w:r w:rsidRPr="00A957AF">
        <w:rPr>
          <w:rFonts w:ascii="Arial" w:hAnsi="Arial" w:cs="Arial"/>
          <w:i/>
          <w:iCs/>
          <w:color w:val="000000"/>
          <w:sz w:val="20"/>
        </w:rPr>
        <w:t>Hum Brain Mapp</w:t>
      </w:r>
      <w:r w:rsidRPr="00A957AF">
        <w:rPr>
          <w:rFonts w:ascii="Arial" w:hAnsi="Arial" w:cs="Arial"/>
          <w:color w:val="000000"/>
          <w:sz w:val="20"/>
        </w:rPr>
        <w:t xml:space="preserve"> </w:t>
      </w:r>
      <w:r w:rsidRPr="00A957AF">
        <w:rPr>
          <w:rFonts w:ascii="Arial" w:hAnsi="Arial" w:cs="Arial"/>
          <w:b/>
          <w:bCs/>
          <w:color w:val="000000"/>
          <w:sz w:val="20"/>
        </w:rPr>
        <w:t>30</w:t>
      </w:r>
      <w:r w:rsidRPr="00A957AF">
        <w:rPr>
          <w:rFonts w:ascii="Arial" w:hAnsi="Arial" w:cs="Arial"/>
          <w:color w:val="000000"/>
          <w:sz w:val="20"/>
        </w:rPr>
        <w:t>, 2336–2355 (2009).</w:t>
      </w:r>
    </w:p>
    <w:p w14:paraId="18BFA07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7. </w:t>
      </w:r>
      <w:r w:rsidRPr="00A957AF">
        <w:rPr>
          <w:rFonts w:ascii="Arial" w:hAnsi="Arial" w:cs="Arial"/>
          <w:color w:val="000000"/>
          <w:sz w:val="20"/>
        </w:rPr>
        <w:tab/>
        <w:t xml:space="preserve">C. Yu, </w:t>
      </w:r>
      <w:r w:rsidRPr="00A957AF">
        <w:rPr>
          <w:rFonts w:ascii="Arial" w:hAnsi="Arial" w:cs="Arial"/>
          <w:i/>
          <w:iCs/>
          <w:color w:val="000000"/>
          <w:sz w:val="20"/>
        </w:rPr>
        <w:t>et al.</w:t>
      </w:r>
      <w:r w:rsidRPr="00A957AF">
        <w:rPr>
          <w:rFonts w:ascii="Arial" w:hAnsi="Arial" w:cs="Arial"/>
          <w:color w:val="000000"/>
          <w:sz w:val="20"/>
        </w:rPr>
        <w:t xml:space="preserve">, Functional segregation of the human cingulate cortex is confirmed by functional connectivity based neuroanatomical parcellation.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54</w:t>
      </w:r>
      <w:r w:rsidRPr="00A957AF">
        <w:rPr>
          <w:rFonts w:ascii="Arial" w:hAnsi="Arial" w:cs="Arial"/>
          <w:color w:val="000000"/>
          <w:sz w:val="20"/>
        </w:rPr>
        <w:t>, 2571–2581 (2011).</w:t>
      </w:r>
    </w:p>
    <w:p w14:paraId="0A7CEC4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8. </w:t>
      </w:r>
      <w:r w:rsidRPr="00A957AF">
        <w:rPr>
          <w:rFonts w:ascii="Arial" w:hAnsi="Arial" w:cs="Arial"/>
          <w:color w:val="000000"/>
          <w:sz w:val="20"/>
        </w:rPr>
        <w:tab/>
        <w:t xml:space="preserve">M. Beckmann, H. Johansen-Berg, M. F. S. Rushworth, Connectivity-based parcellation of human cingulate cortex and its relation to functional specialization. </w:t>
      </w:r>
      <w:r w:rsidRPr="00A957AF">
        <w:rPr>
          <w:rFonts w:ascii="Arial" w:hAnsi="Arial" w:cs="Arial"/>
          <w:i/>
          <w:iCs/>
          <w:color w:val="000000"/>
          <w:sz w:val="20"/>
        </w:rPr>
        <w:t>J Neurosci</w:t>
      </w:r>
      <w:r w:rsidRPr="00A957AF">
        <w:rPr>
          <w:rFonts w:ascii="Arial" w:hAnsi="Arial" w:cs="Arial"/>
          <w:color w:val="000000"/>
          <w:sz w:val="20"/>
        </w:rPr>
        <w:t xml:space="preserve"> </w:t>
      </w:r>
      <w:r w:rsidRPr="00A957AF">
        <w:rPr>
          <w:rFonts w:ascii="Arial" w:hAnsi="Arial" w:cs="Arial"/>
          <w:b/>
          <w:bCs/>
          <w:color w:val="000000"/>
          <w:sz w:val="20"/>
        </w:rPr>
        <w:t>29</w:t>
      </w:r>
      <w:r w:rsidRPr="00A957AF">
        <w:rPr>
          <w:rFonts w:ascii="Arial" w:hAnsi="Arial" w:cs="Arial"/>
          <w:color w:val="000000"/>
          <w:sz w:val="20"/>
        </w:rPr>
        <w:t>, 1175–1190 (2009).</w:t>
      </w:r>
    </w:p>
    <w:p w14:paraId="75800AFE"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9. </w:t>
      </w:r>
      <w:r w:rsidRPr="00A957AF">
        <w:rPr>
          <w:rFonts w:ascii="Arial" w:hAnsi="Arial" w:cs="Arial"/>
          <w:color w:val="000000"/>
          <w:sz w:val="20"/>
        </w:rPr>
        <w:tab/>
        <w:t xml:space="preserve">N. L. Jorstad, </w:t>
      </w:r>
      <w:r w:rsidRPr="00A957AF">
        <w:rPr>
          <w:rFonts w:ascii="Arial" w:hAnsi="Arial" w:cs="Arial"/>
          <w:i/>
          <w:iCs/>
          <w:color w:val="000000"/>
          <w:sz w:val="20"/>
        </w:rPr>
        <w:t>et al.</w:t>
      </w:r>
      <w:r w:rsidRPr="00A957AF">
        <w:rPr>
          <w:rFonts w:ascii="Arial" w:hAnsi="Arial" w:cs="Arial"/>
          <w:color w:val="000000"/>
          <w:sz w:val="20"/>
        </w:rPr>
        <w:t xml:space="preserve">, Transcriptomic cytoarchitecture reveals principles of human neocortex organization. </w:t>
      </w:r>
      <w:r w:rsidRPr="00A957AF">
        <w:rPr>
          <w:rFonts w:ascii="Arial" w:hAnsi="Arial" w:cs="Arial"/>
          <w:i/>
          <w:iCs/>
          <w:color w:val="000000"/>
          <w:sz w:val="20"/>
        </w:rPr>
        <w:t>Science</w:t>
      </w:r>
      <w:r w:rsidRPr="00A957AF">
        <w:rPr>
          <w:rFonts w:ascii="Arial" w:hAnsi="Arial" w:cs="Arial"/>
          <w:color w:val="000000"/>
          <w:sz w:val="20"/>
        </w:rPr>
        <w:t xml:space="preserve"> </w:t>
      </w:r>
      <w:r w:rsidRPr="00A957AF">
        <w:rPr>
          <w:rFonts w:ascii="Arial" w:hAnsi="Arial" w:cs="Arial"/>
          <w:b/>
          <w:bCs/>
          <w:color w:val="000000"/>
          <w:sz w:val="20"/>
        </w:rPr>
        <w:t>382</w:t>
      </w:r>
      <w:r w:rsidRPr="00A957AF">
        <w:rPr>
          <w:rFonts w:ascii="Arial" w:hAnsi="Arial" w:cs="Arial"/>
          <w:color w:val="000000"/>
          <w:sz w:val="20"/>
        </w:rPr>
        <w:t>, eadf6812 (2023).</w:t>
      </w:r>
    </w:p>
    <w:p w14:paraId="4C32B7D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10. </w:t>
      </w:r>
      <w:r w:rsidRPr="00A957AF">
        <w:rPr>
          <w:rFonts w:ascii="Arial" w:hAnsi="Arial" w:cs="Arial"/>
          <w:color w:val="000000"/>
          <w:sz w:val="20"/>
        </w:rPr>
        <w:tab/>
        <w:t xml:space="preserve">B. A. Vogt, Pain and emotion interactions in subregions of the cingulate gyrus. </w:t>
      </w:r>
      <w:r w:rsidRPr="00A957AF">
        <w:rPr>
          <w:rFonts w:ascii="Arial" w:hAnsi="Arial" w:cs="Arial"/>
          <w:i/>
          <w:iCs/>
          <w:color w:val="000000"/>
          <w:sz w:val="20"/>
        </w:rPr>
        <w:t>Nat Rev Neurosci</w:t>
      </w:r>
      <w:r w:rsidRPr="00A957AF">
        <w:rPr>
          <w:rFonts w:ascii="Arial" w:hAnsi="Arial" w:cs="Arial"/>
          <w:color w:val="000000"/>
          <w:sz w:val="20"/>
        </w:rPr>
        <w:t xml:space="preserve"> </w:t>
      </w:r>
      <w:r w:rsidRPr="00A957AF">
        <w:rPr>
          <w:rFonts w:ascii="Arial" w:hAnsi="Arial" w:cs="Arial"/>
          <w:b/>
          <w:bCs/>
          <w:color w:val="000000"/>
          <w:sz w:val="20"/>
        </w:rPr>
        <w:t>6</w:t>
      </w:r>
      <w:r w:rsidRPr="00A957AF">
        <w:rPr>
          <w:rFonts w:ascii="Arial" w:hAnsi="Arial" w:cs="Arial"/>
          <w:color w:val="000000"/>
          <w:sz w:val="20"/>
        </w:rPr>
        <w:t>, 533–544 (2005).</w:t>
      </w:r>
    </w:p>
    <w:p w14:paraId="50C4BAC1"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11. </w:t>
      </w:r>
      <w:r w:rsidRPr="00A957AF">
        <w:rPr>
          <w:rFonts w:ascii="Arial" w:hAnsi="Arial" w:cs="Arial"/>
          <w:color w:val="000000"/>
          <w:sz w:val="20"/>
        </w:rPr>
        <w:tab/>
        <w:t xml:space="preserve">H. L. Gallagher, C. D. Frith, Functional imaging of “theory of mind.” </w:t>
      </w:r>
      <w:r w:rsidRPr="00A957AF">
        <w:rPr>
          <w:rFonts w:ascii="Arial" w:hAnsi="Arial" w:cs="Arial"/>
          <w:i/>
          <w:iCs/>
          <w:color w:val="000000"/>
          <w:sz w:val="20"/>
        </w:rPr>
        <w:t>Trends Cogn Sci</w:t>
      </w:r>
      <w:r w:rsidRPr="00A957AF">
        <w:rPr>
          <w:rFonts w:ascii="Arial" w:hAnsi="Arial" w:cs="Arial"/>
          <w:color w:val="000000"/>
          <w:sz w:val="20"/>
        </w:rPr>
        <w:t xml:space="preserve"> </w:t>
      </w:r>
      <w:r w:rsidRPr="00A957AF">
        <w:rPr>
          <w:rFonts w:ascii="Arial" w:hAnsi="Arial" w:cs="Arial"/>
          <w:b/>
          <w:bCs/>
          <w:color w:val="000000"/>
          <w:sz w:val="20"/>
        </w:rPr>
        <w:t>7</w:t>
      </w:r>
      <w:r w:rsidRPr="00A957AF">
        <w:rPr>
          <w:rFonts w:ascii="Arial" w:hAnsi="Arial" w:cs="Arial"/>
          <w:color w:val="000000"/>
          <w:sz w:val="20"/>
        </w:rPr>
        <w:t>, 77–83 (2003).</w:t>
      </w:r>
    </w:p>
    <w:p w14:paraId="263D68AA"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12. </w:t>
      </w:r>
      <w:r w:rsidRPr="00A957AF">
        <w:rPr>
          <w:rFonts w:ascii="Arial" w:hAnsi="Arial" w:cs="Arial"/>
          <w:color w:val="000000"/>
          <w:sz w:val="20"/>
        </w:rPr>
        <w:tab/>
        <w:t xml:space="preserve">H. D. Critchley, </w:t>
      </w:r>
      <w:r w:rsidRPr="00A957AF">
        <w:rPr>
          <w:rFonts w:ascii="Arial" w:hAnsi="Arial" w:cs="Arial"/>
          <w:i/>
          <w:iCs/>
          <w:color w:val="000000"/>
          <w:sz w:val="20"/>
        </w:rPr>
        <w:t>et al.</w:t>
      </w:r>
      <w:r w:rsidRPr="00A957AF">
        <w:rPr>
          <w:rFonts w:ascii="Arial" w:hAnsi="Arial" w:cs="Arial"/>
          <w:color w:val="000000"/>
          <w:sz w:val="20"/>
        </w:rPr>
        <w:t xml:space="preserve">, Human cingulate cortex and autonomic control: converging neuroimaging and clinical evidence. </w:t>
      </w:r>
      <w:r w:rsidRPr="00A957AF">
        <w:rPr>
          <w:rFonts w:ascii="Arial" w:hAnsi="Arial" w:cs="Arial"/>
          <w:i/>
          <w:iCs/>
          <w:color w:val="000000"/>
          <w:sz w:val="20"/>
        </w:rPr>
        <w:t>Brain</w:t>
      </w:r>
      <w:r w:rsidRPr="00A957AF">
        <w:rPr>
          <w:rFonts w:ascii="Arial" w:hAnsi="Arial" w:cs="Arial"/>
          <w:color w:val="000000"/>
          <w:sz w:val="20"/>
        </w:rPr>
        <w:t xml:space="preserve"> </w:t>
      </w:r>
      <w:r w:rsidRPr="00A957AF">
        <w:rPr>
          <w:rFonts w:ascii="Arial" w:hAnsi="Arial" w:cs="Arial"/>
          <w:b/>
          <w:bCs/>
          <w:color w:val="000000"/>
          <w:sz w:val="20"/>
        </w:rPr>
        <w:t>126</w:t>
      </w:r>
      <w:r w:rsidRPr="00A957AF">
        <w:rPr>
          <w:rFonts w:ascii="Arial" w:hAnsi="Arial" w:cs="Arial"/>
          <w:color w:val="000000"/>
          <w:sz w:val="20"/>
        </w:rPr>
        <w:t>, 2139–2152 (2003).</w:t>
      </w:r>
    </w:p>
    <w:p w14:paraId="1CE5007A"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13. </w:t>
      </w:r>
      <w:r w:rsidRPr="00A957AF">
        <w:rPr>
          <w:rFonts w:ascii="Arial" w:hAnsi="Arial" w:cs="Arial"/>
          <w:color w:val="000000"/>
          <w:sz w:val="20"/>
        </w:rPr>
        <w:tab/>
        <w:t xml:space="preserve">A. J. Shackman, </w:t>
      </w:r>
      <w:r w:rsidRPr="00A957AF">
        <w:rPr>
          <w:rFonts w:ascii="Arial" w:hAnsi="Arial" w:cs="Arial"/>
          <w:i/>
          <w:iCs/>
          <w:color w:val="000000"/>
          <w:sz w:val="20"/>
        </w:rPr>
        <w:t>et al.</w:t>
      </w:r>
      <w:r w:rsidRPr="00A957AF">
        <w:rPr>
          <w:rFonts w:ascii="Arial" w:hAnsi="Arial" w:cs="Arial"/>
          <w:color w:val="000000"/>
          <w:sz w:val="20"/>
        </w:rPr>
        <w:t xml:space="preserve">, The integration of negative affect, pain and cognitive control in the cingulate cortex. </w:t>
      </w:r>
      <w:r w:rsidRPr="00A957AF">
        <w:rPr>
          <w:rFonts w:ascii="Arial" w:hAnsi="Arial" w:cs="Arial"/>
          <w:i/>
          <w:iCs/>
          <w:color w:val="000000"/>
          <w:sz w:val="20"/>
        </w:rPr>
        <w:t>Nat Rev Neurosci</w:t>
      </w:r>
      <w:r w:rsidRPr="00A957AF">
        <w:rPr>
          <w:rFonts w:ascii="Arial" w:hAnsi="Arial" w:cs="Arial"/>
          <w:color w:val="000000"/>
          <w:sz w:val="20"/>
        </w:rPr>
        <w:t xml:space="preserve"> </w:t>
      </w:r>
      <w:r w:rsidRPr="00A957AF">
        <w:rPr>
          <w:rFonts w:ascii="Arial" w:hAnsi="Arial" w:cs="Arial"/>
          <w:b/>
          <w:bCs/>
          <w:color w:val="000000"/>
          <w:sz w:val="20"/>
        </w:rPr>
        <w:t>12</w:t>
      </w:r>
      <w:r w:rsidRPr="00A957AF">
        <w:rPr>
          <w:rFonts w:ascii="Arial" w:hAnsi="Arial" w:cs="Arial"/>
          <w:color w:val="000000"/>
          <w:sz w:val="20"/>
        </w:rPr>
        <w:t>, 154–167 (2011).</w:t>
      </w:r>
    </w:p>
    <w:p w14:paraId="184FFD13"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14. </w:t>
      </w:r>
      <w:r w:rsidRPr="00A957AF">
        <w:rPr>
          <w:rFonts w:ascii="Arial" w:hAnsi="Arial" w:cs="Arial"/>
          <w:color w:val="000000"/>
          <w:sz w:val="20"/>
        </w:rPr>
        <w:tab/>
        <w:t xml:space="preserve">B. Y. Hayden, S. R. Heilbronner, J. M. Pearson, M. L. Platt, Surprise Signals in Anterior Cingulate Cortex: Neuronal Encoding of Unsigned Reward Prediction Errors Driving Adjustment in Behavior. </w:t>
      </w:r>
      <w:r w:rsidRPr="00A957AF">
        <w:rPr>
          <w:rFonts w:ascii="Arial" w:hAnsi="Arial" w:cs="Arial"/>
          <w:i/>
          <w:iCs/>
          <w:color w:val="000000"/>
          <w:sz w:val="20"/>
        </w:rPr>
        <w:t>J Neurosci</w:t>
      </w:r>
      <w:r w:rsidRPr="00A957AF">
        <w:rPr>
          <w:rFonts w:ascii="Arial" w:hAnsi="Arial" w:cs="Arial"/>
          <w:color w:val="000000"/>
          <w:sz w:val="20"/>
        </w:rPr>
        <w:t xml:space="preserve"> </w:t>
      </w:r>
      <w:r w:rsidRPr="00A957AF">
        <w:rPr>
          <w:rFonts w:ascii="Arial" w:hAnsi="Arial" w:cs="Arial"/>
          <w:b/>
          <w:bCs/>
          <w:color w:val="000000"/>
          <w:sz w:val="20"/>
        </w:rPr>
        <w:t>31</w:t>
      </w:r>
      <w:r w:rsidRPr="00A957AF">
        <w:rPr>
          <w:rFonts w:ascii="Arial" w:hAnsi="Arial" w:cs="Arial"/>
          <w:color w:val="000000"/>
          <w:sz w:val="20"/>
        </w:rPr>
        <w:t>, 4178–4187 (2011).</w:t>
      </w:r>
    </w:p>
    <w:p w14:paraId="4FAC7095"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lastRenderedPageBreak/>
        <w:t xml:space="preserve">15. </w:t>
      </w:r>
      <w:r w:rsidRPr="00A957AF">
        <w:rPr>
          <w:rFonts w:ascii="Arial" w:hAnsi="Arial" w:cs="Arial"/>
          <w:color w:val="000000"/>
          <w:sz w:val="20"/>
        </w:rPr>
        <w:tab/>
        <w:t xml:space="preserve">G. Lettieri, </w:t>
      </w:r>
      <w:r w:rsidRPr="00A957AF">
        <w:rPr>
          <w:rFonts w:ascii="Arial" w:hAnsi="Arial" w:cs="Arial"/>
          <w:i/>
          <w:iCs/>
          <w:color w:val="000000"/>
          <w:sz w:val="20"/>
        </w:rPr>
        <w:t>et al.</w:t>
      </w:r>
      <w:r w:rsidRPr="00A957AF">
        <w:rPr>
          <w:rFonts w:ascii="Arial" w:hAnsi="Arial" w:cs="Arial"/>
          <w:color w:val="000000"/>
          <w:sz w:val="20"/>
        </w:rPr>
        <w:t xml:space="preserve">, Dissecting abstract, modality-specific and experience-dependent coding of affect in the human brain. </w:t>
      </w:r>
      <w:r w:rsidRPr="00A957AF">
        <w:rPr>
          <w:rFonts w:ascii="Arial" w:hAnsi="Arial" w:cs="Arial"/>
          <w:i/>
          <w:iCs/>
          <w:color w:val="000000"/>
          <w:sz w:val="20"/>
        </w:rPr>
        <w:t>Sci. Adv.</w:t>
      </w:r>
      <w:r w:rsidRPr="00A957AF">
        <w:rPr>
          <w:rFonts w:ascii="Arial" w:hAnsi="Arial" w:cs="Arial"/>
          <w:color w:val="000000"/>
          <w:sz w:val="20"/>
        </w:rPr>
        <w:t xml:space="preserve"> </w:t>
      </w:r>
      <w:r w:rsidRPr="00A957AF">
        <w:rPr>
          <w:rFonts w:ascii="Arial" w:hAnsi="Arial" w:cs="Arial"/>
          <w:b/>
          <w:bCs/>
          <w:color w:val="000000"/>
          <w:sz w:val="20"/>
        </w:rPr>
        <w:t>10</w:t>
      </w:r>
      <w:r w:rsidRPr="00A957AF">
        <w:rPr>
          <w:rFonts w:ascii="Arial" w:hAnsi="Arial" w:cs="Arial"/>
          <w:color w:val="000000"/>
          <w:sz w:val="20"/>
        </w:rPr>
        <w:t>, eadk6840 (2024).</w:t>
      </w:r>
    </w:p>
    <w:p w14:paraId="2567E43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16. </w:t>
      </w:r>
      <w:r w:rsidRPr="00A957AF">
        <w:rPr>
          <w:rFonts w:ascii="Arial" w:hAnsi="Arial" w:cs="Arial"/>
          <w:color w:val="000000"/>
          <w:sz w:val="20"/>
        </w:rPr>
        <w:tab/>
        <w:t xml:space="preserve">D. Edmonds, </w:t>
      </w:r>
      <w:r w:rsidRPr="00A957AF">
        <w:rPr>
          <w:rFonts w:ascii="Arial" w:hAnsi="Arial" w:cs="Arial"/>
          <w:i/>
          <w:iCs/>
          <w:color w:val="000000"/>
          <w:sz w:val="20"/>
        </w:rPr>
        <w:t>et al.</w:t>
      </w:r>
      <w:r w:rsidRPr="00A957AF">
        <w:rPr>
          <w:rFonts w:ascii="Arial" w:hAnsi="Arial" w:cs="Arial"/>
          <w:color w:val="000000"/>
          <w:sz w:val="20"/>
        </w:rPr>
        <w:t xml:space="preserve">, The human social cognitive network contains multiple regions within the amygdala. </w:t>
      </w:r>
      <w:r w:rsidRPr="00A957AF">
        <w:rPr>
          <w:rFonts w:ascii="Arial" w:hAnsi="Arial" w:cs="Arial"/>
          <w:i/>
          <w:iCs/>
          <w:color w:val="000000"/>
          <w:sz w:val="20"/>
        </w:rPr>
        <w:t>Sci. Adv.</w:t>
      </w:r>
      <w:r w:rsidRPr="00A957AF">
        <w:rPr>
          <w:rFonts w:ascii="Arial" w:hAnsi="Arial" w:cs="Arial"/>
          <w:color w:val="000000"/>
          <w:sz w:val="20"/>
        </w:rPr>
        <w:t xml:space="preserve"> </w:t>
      </w:r>
      <w:r w:rsidRPr="00A957AF">
        <w:rPr>
          <w:rFonts w:ascii="Arial" w:hAnsi="Arial" w:cs="Arial"/>
          <w:b/>
          <w:bCs/>
          <w:color w:val="000000"/>
          <w:sz w:val="20"/>
        </w:rPr>
        <w:t>10</w:t>
      </w:r>
      <w:r w:rsidRPr="00A957AF">
        <w:rPr>
          <w:rFonts w:ascii="Arial" w:hAnsi="Arial" w:cs="Arial"/>
          <w:color w:val="000000"/>
          <w:sz w:val="20"/>
        </w:rPr>
        <w:t>, eadp0453 (2024).</w:t>
      </w:r>
    </w:p>
    <w:p w14:paraId="1DA9DA09"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17. </w:t>
      </w:r>
      <w:r w:rsidRPr="00A957AF">
        <w:rPr>
          <w:rFonts w:ascii="Arial" w:hAnsi="Arial" w:cs="Arial"/>
          <w:color w:val="000000"/>
          <w:sz w:val="20"/>
        </w:rPr>
        <w:tab/>
        <w:t xml:space="preserve">I. Cifre, </w:t>
      </w:r>
      <w:r w:rsidRPr="00A957AF">
        <w:rPr>
          <w:rFonts w:ascii="Arial" w:hAnsi="Arial" w:cs="Arial"/>
          <w:i/>
          <w:iCs/>
          <w:color w:val="000000"/>
          <w:sz w:val="20"/>
        </w:rPr>
        <w:t>et al.</w:t>
      </w:r>
      <w:r w:rsidRPr="00A957AF">
        <w:rPr>
          <w:rFonts w:ascii="Arial" w:hAnsi="Arial" w:cs="Arial"/>
          <w:color w:val="000000"/>
          <w:sz w:val="20"/>
        </w:rPr>
        <w:t xml:space="preserve">, Disrupted functional connectivity of the pain network in fibromyalgia. </w:t>
      </w:r>
      <w:r w:rsidRPr="00A957AF">
        <w:rPr>
          <w:rFonts w:ascii="Arial" w:hAnsi="Arial" w:cs="Arial"/>
          <w:i/>
          <w:iCs/>
          <w:color w:val="000000"/>
          <w:sz w:val="20"/>
        </w:rPr>
        <w:t>Psychosom Med</w:t>
      </w:r>
      <w:r w:rsidRPr="00A957AF">
        <w:rPr>
          <w:rFonts w:ascii="Arial" w:hAnsi="Arial" w:cs="Arial"/>
          <w:color w:val="000000"/>
          <w:sz w:val="20"/>
        </w:rPr>
        <w:t xml:space="preserve"> </w:t>
      </w:r>
      <w:r w:rsidRPr="00A957AF">
        <w:rPr>
          <w:rFonts w:ascii="Arial" w:hAnsi="Arial" w:cs="Arial"/>
          <w:b/>
          <w:bCs/>
          <w:color w:val="000000"/>
          <w:sz w:val="20"/>
        </w:rPr>
        <w:t>74</w:t>
      </w:r>
      <w:r w:rsidRPr="00A957AF">
        <w:rPr>
          <w:rFonts w:ascii="Arial" w:hAnsi="Arial" w:cs="Arial"/>
          <w:color w:val="000000"/>
          <w:sz w:val="20"/>
        </w:rPr>
        <w:t>, 55–62 (2012).</w:t>
      </w:r>
    </w:p>
    <w:p w14:paraId="181E4185"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18. </w:t>
      </w:r>
      <w:r w:rsidRPr="00A957AF">
        <w:rPr>
          <w:rFonts w:ascii="Arial" w:hAnsi="Arial" w:cs="Arial"/>
          <w:color w:val="000000"/>
          <w:sz w:val="20"/>
        </w:rPr>
        <w:tab/>
        <w:t xml:space="preserve">B. A. Vogt, Midcingulate cortex: Structure, connections, homologies, functions and diseases. </w:t>
      </w:r>
      <w:r w:rsidRPr="00A957AF">
        <w:rPr>
          <w:rFonts w:ascii="Arial" w:hAnsi="Arial" w:cs="Arial"/>
          <w:i/>
          <w:iCs/>
          <w:color w:val="000000"/>
          <w:sz w:val="20"/>
        </w:rPr>
        <w:t>Journal of Chemical Neuroanatomy</w:t>
      </w:r>
      <w:r w:rsidRPr="00A957AF">
        <w:rPr>
          <w:rFonts w:ascii="Arial" w:hAnsi="Arial" w:cs="Arial"/>
          <w:color w:val="000000"/>
          <w:sz w:val="20"/>
        </w:rPr>
        <w:t xml:space="preserve"> </w:t>
      </w:r>
      <w:r w:rsidRPr="00A957AF">
        <w:rPr>
          <w:rFonts w:ascii="Arial" w:hAnsi="Arial" w:cs="Arial"/>
          <w:b/>
          <w:bCs/>
          <w:color w:val="000000"/>
          <w:sz w:val="20"/>
        </w:rPr>
        <w:t>74</w:t>
      </w:r>
      <w:r w:rsidRPr="00A957AF">
        <w:rPr>
          <w:rFonts w:ascii="Arial" w:hAnsi="Arial" w:cs="Arial"/>
          <w:color w:val="000000"/>
          <w:sz w:val="20"/>
        </w:rPr>
        <w:t>, 28–46 (2016).</w:t>
      </w:r>
    </w:p>
    <w:p w14:paraId="5BC4524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19. </w:t>
      </w:r>
      <w:r w:rsidRPr="00A957AF">
        <w:rPr>
          <w:rFonts w:ascii="Arial" w:hAnsi="Arial" w:cs="Arial"/>
          <w:color w:val="000000"/>
          <w:sz w:val="20"/>
        </w:rPr>
        <w:tab/>
        <w:t xml:space="preserve">R. Leech, D. J. Sharp, The role of the posterior cingulate cortex in cognition and disease. </w:t>
      </w:r>
      <w:r w:rsidRPr="00A957AF">
        <w:rPr>
          <w:rFonts w:ascii="Arial" w:hAnsi="Arial" w:cs="Arial"/>
          <w:i/>
          <w:iCs/>
          <w:color w:val="000000"/>
          <w:sz w:val="20"/>
        </w:rPr>
        <w:t>Brain</w:t>
      </w:r>
      <w:r w:rsidRPr="00A957AF">
        <w:rPr>
          <w:rFonts w:ascii="Arial" w:hAnsi="Arial" w:cs="Arial"/>
          <w:color w:val="000000"/>
          <w:sz w:val="20"/>
        </w:rPr>
        <w:t xml:space="preserve"> </w:t>
      </w:r>
      <w:r w:rsidRPr="00A957AF">
        <w:rPr>
          <w:rFonts w:ascii="Arial" w:hAnsi="Arial" w:cs="Arial"/>
          <w:b/>
          <w:bCs/>
          <w:color w:val="000000"/>
          <w:sz w:val="20"/>
        </w:rPr>
        <w:t>137</w:t>
      </w:r>
      <w:r w:rsidRPr="00A957AF">
        <w:rPr>
          <w:rFonts w:ascii="Arial" w:hAnsi="Arial" w:cs="Arial"/>
          <w:color w:val="000000"/>
          <w:sz w:val="20"/>
        </w:rPr>
        <w:t>, 12–32 (2014).</w:t>
      </w:r>
    </w:p>
    <w:p w14:paraId="159521CC"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20. </w:t>
      </w:r>
      <w:r w:rsidRPr="00A957AF">
        <w:rPr>
          <w:rFonts w:ascii="Arial" w:hAnsi="Arial" w:cs="Arial"/>
          <w:color w:val="000000"/>
          <w:sz w:val="20"/>
        </w:rPr>
        <w:tab/>
        <w:t xml:space="preserve">N. Kaboodvand, L. Bäckman, L. Nyberg, A. Salami, The retrosplenial cortex: A memory gateway between the cortical default mode network and the medial temporal lobe. </w:t>
      </w:r>
      <w:r w:rsidRPr="00A957AF">
        <w:rPr>
          <w:rFonts w:ascii="Arial" w:hAnsi="Arial" w:cs="Arial"/>
          <w:i/>
          <w:iCs/>
          <w:color w:val="000000"/>
          <w:sz w:val="20"/>
        </w:rPr>
        <w:t>Hum Brain Mapp</w:t>
      </w:r>
      <w:r w:rsidRPr="00A957AF">
        <w:rPr>
          <w:rFonts w:ascii="Arial" w:hAnsi="Arial" w:cs="Arial"/>
          <w:color w:val="000000"/>
          <w:sz w:val="20"/>
        </w:rPr>
        <w:t xml:space="preserve"> </w:t>
      </w:r>
      <w:r w:rsidRPr="00A957AF">
        <w:rPr>
          <w:rFonts w:ascii="Arial" w:hAnsi="Arial" w:cs="Arial"/>
          <w:b/>
          <w:bCs/>
          <w:color w:val="000000"/>
          <w:sz w:val="20"/>
        </w:rPr>
        <w:t>39</w:t>
      </w:r>
      <w:r w:rsidRPr="00A957AF">
        <w:rPr>
          <w:rFonts w:ascii="Arial" w:hAnsi="Arial" w:cs="Arial"/>
          <w:color w:val="000000"/>
          <w:sz w:val="20"/>
        </w:rPr>
        <w:t>, 2020–2034 (2018).</w:t>
      </w:r>
    </w:p>
    <w:p w14:paraId="153E44D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21. </w:t>
      </w:r>
      <w:r w:rsidRPr="00A957AF">
        <w:rPr>
          <w:rFonts w:ascii="Arial" w:hAnsi="Arial" w:cs="Arial"/>
          <w:color w:val="000000"/>
          <w:sz w:val="20"/>
        </w:rPr>
        <w:tab/>
        <w:t xml:space="preserve">E. H. Willbrand, </w:t>
      </w:r>
      <w:r w:rsidRPr="00A957AF">
        <w:rPr>
          <w:rFonts w:ascii="Arial" w:hAnsi="Arial" w:cs="Arial"/>
          <w:i/>
          <w:iCs/>
          <w:color w:val="000000"/>
          <w:sz w:val="20"/>
        </w:rPr>
        <w:t>et al.</w:t>
      </w:r>
      <w:r w:rsidRPr="00A957AF">
        <w:rPr>
          <w:rFonts w:ascii="Arial" w:hAnsi="Arial" w:cs="Arial"/>
          <w:color w:val="000000"/>
          <w:sz w:val="20"/>
        </w:rPr>
        <w:t xml:space="preserve">, Uncovering a tripartite landmark in posterior cingulate cortex. </w:t>
      </w:r>
      <w:r w:rsidRPr="00A957AF">
        <w:rPr>
          <w:rFonts w:ascii="Arial" w:hAnsi="Arial" w:cs="Arial"/>
          <w:i/>
          <w:iCs/>
          <w:color w:val="000000"/>
          <w:sz w:val="20"/>
        </w:rPr>
        <w:t>Sci. Adv.</w:t>
      </w:r>
      <w:r w:rsidRPr="00A957AF">
        <w:rPr>
          <w:rFonts w:ascii="Arial" w:hAnsi="Arial" w:cs="Arial"/>
          <w:color w:val="000000"/>
          <w:sz w:val="20"/>
        </w:rPr>
        <w:t xml:space="preserve"> </w:t>
      </w:r>
      <w:r w:rsidRPr="00A957AF">
        <w:rPr>
          <w:rFonts w:ascii="Arial" w:hAnsi="Arial" w:cs="Arial"/>
          <w:b/>
          <w:bCs/>
          <w:color w:val="000000"/>
          <w:sz w:val="20"/>
        </w:rPr>
        <w:t>8</w:t>
      </w:r>
      <w:r w:rsidRPr="00A957AF">
        <w:rPr>
          <w:rFonts w:ascii="Arial" w:hAnsi="Arial" w:cs="Arial"/>
          <w:color w:val="000000"/>
          <w:sz w:val="20"/>
        </w:rPr>
        <w:t>, eabn9516 (2022).</w:t>
      </w:r>
    </w:p>
    <w:p w14:paraId="10E3824A"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22. </w:t>
      </w:r>
      <w:r w:rsidRPr="00A957AF">
        <w:rPr>
          <w:rFonts w:ascii="Arial" w:hAnsi="Arial" w:cs="Arial"/>
          <w:color w:val="000000"/>
          <w:sz w:val="20"/>
        </w:rPr>
        <w:tab/>
        <w:t xml:space="preserve">B. A. Vogt, The cingulate cortex in neurologic diseases: History, Structure, Overview. </w:t>
      </w:r>
      <w:r w:rsidRPr="00A957AF">
        <w:rPr>
          <w:rFonts w:ascii="Arial" w:hAnsi="Arial" w:cs="Arial"/>
          <w:i/>
          <w:iCs/>
          <w:color w:val="000000"/>
          <w:sz w:val="20"/>
        </w:rPr>
        <w:t>Handb Clin Neurol</w:t>
      </w:r>
      <w:r w:rsidRPr="00A957AF">
        <w:rPr>
          <w:rFonts w:ascii="Arial" w:hAnsi="Arial" w:cs="Arial"/>
          <w:color w:val="000000"/>
          <w:sz w:val="20"/>
        </w:rPr>
        <w:t xml:space="preserve"> </w:t>
      </w:r>
      <w:r w:rsidRPr="00A957AF">
        <w:rPr>
          <w:rFonts w:ascii="Arial" w:hAnsi="Arial" w:cs="Arial"/>
          <w:b/>
          <w:bCs/>
          <w:color w:val="000000"/>
          <w:sz w:val="20"/>
        </w:rPr>
        <w:t>166</w:t>
      </w:r>
      <w:r w:rsidRPr="00A957AF">
        <w:rPr>
          <w:rFonts w:ascii="Arial" w:hAnsi="Arial" w:cs="Arial"/>
          <w:color w:val="000000"/>
          <w:sz w:val="20"/>
        </w:rPr>
        <w:t>, 3–21 (2019).</w:t>
      </w:r>
    </w:p>
    <w:p w14:paraId="0309FB5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23. </w:t>
      </w:r>
      <w:r w:rsidRPr="00A957AF">
        <w:rPr>
          <w:rFonts w:ascii="Arial" w:hAnsi="Arial" w:cs="Arial"/>
          <w:color w:val="000000"/>
          <w:sz w:val="20"/>
        </w:rPr>
        <w:tab/>
        <w:t xml:space="preserve">K. J. Friston, Functional and effective connectivity: a review. </w:t>
      </w:r>
      <w:r w:rsidRPr="00A957AF">
        <w:rPr>
          <w:rFonts w:ascii="Arial" w:hAnsi="Arial" w:cs="Arial"/>
          <w:i/>
          <w:iCs/>
          <w:color w:val="000000"/>
          <w:sz w:val="20"/>
        </w:rPr>
        <w:t>Brain Connect</w:t>
      </w:r>
      <w:r w:rsidRPr="00A957AF">
        <w:rPr>
          <w:rFonts w:ascii="Arial" w:hAnsi="Arial" w:cs="Arial"/>
          <w:color w:val="000000"/>
          <w:sz w:val="20"/>
        </w:rPr>
        <w:t xml:space="preserve"> </w:t>
      </w:r>
      <w:r w:rsidRPr="00A957AF">
        <w:rPr>
          <w:rFonts w:ascii="Arial" w:hAnsi="Arial" w:cs="Arial"/>
          <w:b/>
          <w:bCs/>
          <w:color w:val="000000"/>
          <w:sz w:val="20"/>
        </w:rPr>
        <w:t>1</w:t>
      </w:r>
      <w:r w:rsidRPr="00A957AF">
        <w:rPr>
          <w:rFonts w:ascii="Arial" w:hAnsi="Arial" w:cs="Arial"/>
          <w:color w:val="000000"/>
          <w:sz w:val="20"/>
        </w:rPr>
        <w:t>, 13–36 (2011).</w:t>
      </w:r>
    </w:p>
    <w:p w14:paraId="30FD1E9D"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24. </w:t>
      </w:r>
      <w:r w:rsidRPr="00A957AF">
        <w:rPr>
          <w:rFonts w:ascii="Arial" w:hAnsi="Arial" w:cs="Arial"/>
          <w:color w:val="000000"/>
          <w:sz w:val="20"/>
        </w:rPr>
        <w:tab/>
        <w:t xml:space="preserve">S. Krohn, </w:t>
      </w:r>
      <w:r w:rsidRPr="00A957AF">
        <w:rPr>
          <w:rFonts w:ascii="Arial" w:hAnsi="Arial" w:cs="Arial"/>
          <w:i/>
          <w:iCs/>
          <w:color w:val="000000"/>
          <w:sz w:val="20"/>
        </w:rPr>
        <w:t>et al.</w:t>
      </w:r>
      <w:r w:rsidRPr="00A957AF">
        <w:rPr>
          <w:rFonts w:ascii="Arial" w:hAnsi="Arial" w:cs="Arial"/>
          <w:color w:val="000000"/>
          <w:sz w:val="20"/>
        </w:rPr>
        <w:t xml:space="preserve">, A spatiotemporal complexity architecture of human brain activity. </w:t>
      </w:r>
      <w:r w:rsidRPr="00A957AF">
        <w:rPr>
          <w:rFonts w:ascii="Arial" w:hAnsi="Arial" w:cs="Arial"/>
          <w:i/>
          <w:iCs/>
          <w:color w:val="000000"/>
          <w:sz w:val="20"/>
        </w:rPr>
        <w:t>Sci. Adv.</w:t>
      </w:r>
      <w:r w:rsidRPr="00A957AF">
        <w:rPr>
          <w:rFonts w:ascii="Arial" w:hAnsi="Arial" w:cs="Arial"/>
          <w:color w:val="000000"/>
          <w:sz w:val="20"/>
        </w:rPr>
        <w:t xml:space="preserve"> </w:t>
      </w:r>
      <w:r w:rsidRPr="00A957AF">
        <w:rPr>
          <w:rFonts w:ascii="Arial" w:hAnsi="Arial" w:cs="Arial"/>
          <w:b/>
          <w:bCs/>
          <w:color w:val="000000"/>
          <w:sz w:val="20"/>
        </w:rPr>
        <w:t>9</w:t>
      </w:r>
      <w:r w:rsidRPr="00A957AF">
        <w:rPr>
          <w:rFonts w:ascii="Arial" w:hAnsi="Arial" w:cs="Arial"/>
          <w:color w:val="000000"/>
          <w:sz w:val="20"/>
        </w:rPr>
        <w:t>, eabq3851 (2023).</w:t>
      </w:r>
    </w:p>
    <w:p w14:paraId="798C423A"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25. </w:t>
      </w:r>
      <w:r w:rsidRPr="00A957AF">
        <w:rPr>
          <w:rFonts w:ascii="Arial" w:hAnsi="Arial" w:cs="Arial"/>
          <w:color w:val="000000"/>
          <w:sz w:val="20"/>
        </w:rPr>
        <w:tab/>
        <w:t xml:space="preserve">A. Griffa, P. S. Baumann, J.-P. Thiran, P. Hagmann, Structural connectomics in brain diseases.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80</w:t>
      </w:r>
      <w:r w:rsidRPr="00A957AF">
        <w:rPr>
          <w:rFonts w:ascii="Arial" w:hAnsi="Arial" w:cs="Arial"/>
          <w:color w:val="000000"/>
          <w:sz w:val="20"/>
        </w:rPr>
        <w:t>, 515–526 (2013).</w:t>
      </w:r>
    </w:p>
    <w:p w14:paraId="14D5B012"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26. </w:t>
      </w:r>
      <w:r w:rsidRPr="00A957AF">
        <w:rPr>
          <w:rFonts w:ascii="Arial" w:hAnsi="Arial" w:cs="Arial"/>
          <w:color w:val="000000"/>
          <w:sz w:val="20"/>
        </w:rPr>
        <w:tab/>
        <w:t xml:space="preserve">C. J. Keller, </w:t>
      </w:r>
      <w:r w:rsidRPr="00A957AF">
        <w:rPr>
          <w:rFonts w:ascii="Arial" w:hAnsi="Arial" w:cs="Arial"/>
          <w:i/>
          <w:iCs/>
          <w:color w:val="000000"/>
          <w:sz w:val="20"/>
        </w:rPr>
        <w:t>et al.</w:t>
      </w:r>
      <w:r w:rsidRPr="00A957AF">
        <w:rPr>
          <w:rFonts w:ascii="Arial" w:hAnsi="Arial" w:cs="Arial"/>
          <w:color w:val="000000"/>
          <w:sz w:val="20"/>
        </w:rPr>
        <w:t xml:space="preserve">, Mapping human brain networks with cortico-cortical evoked potentials. </w:t>
      </w:r>
      <w:r w:rsidRPr="00A957AF">
        <w:rPr>
          <w:rFonts w:ascii="Arial" w:hAnsi="Arial" w:cs="Arial"/>
          <w:i/>
          <w:iCs/>
          <w:color w:val="000000"/>
          <w:sz w:val="20"/>
        </w:rPr>
        <w:t>Philos Trans R Soc Lond B Biol Sci</w:t>
      </w:r>
      <w:r w:rsidRPr="00A957AF">
        <w:rPr>
          <w:rFonts w:ascii="Arial" w:hAnsi="Arial" w:cs="Arial"/>
          <w:color w:val="000000"/>
          <w:sz w:val="20"/>
        </w:rPr>
        <w:t xml:space="preserve"> </w:t>
      </w:r>
      <w:r w:rsidRPr="00A957AF">
        <w:rPr>
          <w:rFonts w:ascii="Arial" w:hAnsi="Arial" w:cs="Arial"/>
          <w:b/>
          <w:bCs/>
          <w:color w:val="000000"/>
          <w:sz w:val="20"/>
        </w:rPr>
        <w:t>369</w:t>
      </w:r>
      <w:r w:rsidRPr="00A957AF">
        <w:rPr>
          <w:rFonts w:ascii="Arial" w:hAnsi="Arial" w:cs="Arial"/>
          <w:color w:val="000000"/>
          <w:sz w:val="20"/>
        </w:rPr>
        <w:t>, 20130528 (2014).</w:t>
      </w:r>
    </w:p>
    <w:p w14:paraId="64D065E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27. </w:t>
      </w:r>
      <w:r w:rsidRPr="00A957AF">
        <w:rPr>
          <w:rFonts w:ascii="Arial" w:hAnsi="Arial" w:cs="Arial"/>
          <w:color w:val="000000"/>
          <w:sz w:val="20"/>
        </w:rPr>
        <w:tab/>
        <w:t xml:space="preserve">M. A. Hays, </w:t>
      </w:r>
      <w:r w:rsidRPr="00A957AF">
        <w:rPr>
          <w:rFonts w:ascii="Arial" w:hAnsi="Arial" w:cs="Arial"/>
          <w:i/>
          <w:iCs/>
          <w:color w:val="000000"/>
          <w:sz w:val="20"/>
        </w:rPr>
        <w:t>et al.</w:t>
      </w:r>
      <w:r w:rsidRPr="00A957AF">
        <w:rPr>
          <w:rFonts w:ascii="Arial" w:hAnsi="Arial" w:cs="Arial"/>
          <w:color w:val="000000"/>
          <w:sz w:val="20"/>
        </w:rPr>
        <w:t xml:space="preserve">, Effects of stimulation intensity on intracranial cortico-cortical evoked potentials: A titration study. </w:t>
      </w:r>
      <w:r w:rsidRPr="00A957AF">
        <w:rPr>
          <w:rFonts w:ascii="Arial" w:hAnsi="Arial" w:cs="Arial"/>
          <w:i/>
          <w:iCs/>
          <w:color w:val="000000"/>
          <w:sz w:val="20"/>
        </w:rPr>
        <w:t>Clinical Neurophysiology</w:t>
      </w:r>
      <w:r w:rsidRPr="00A957AF">
        <w:rPr>
          <w:rFonts w:ascii="Arial" w:hAnsi="Arial" w:cs="Arial"/>
          <w:color w:val="000000"/>
          <w:sz w:val="20"/>
        </w:rPr>
        <w:t xml:space="preserve"> </w:t>
      </w:r>
      <w:r w:rsidRPr="00A957AF">
        <w:rPr>
          <w:rFonts w:ascii="Arial" w:hAnsi="Arial" w:cs="Arial"/>
          <w:b/>
          <w:bCs/>
          <w:color w:val="000000"/>
          <w:sz w:val="20"/>
        </w:rPr>
        <w:t>132</w:t>
      </w:r>
      <w:r w:rsidRPr="00A957AF">
        <w:rPr>
          <w:rFonts w:ascii="Arial" w:hAnsi="Arial" w:cs="Arial"/>
          <w:color w:val="000000"/>
          <w:sz w:val="20"/>
        </w:rPr>
        <w:t>, 2766–2777 (2021).</w:t>
      </w:r>
    </w:p>
    <w:p w14:paraId="29E20DB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28. </w:t>
      </w:r>
      <w:r w:rsidRPr="00A957AF">
        <w:rPr>
          <w:rFonts w:ascii="Arial" w:hAnsi="Arial" w:cs="Arial"/>
          <w:color w:val="000000"/>
          <w:sz w:val="20"/>
        </w:rPr>
        <w:tab/>
        <w:t xml:space="preserve">L. H. Levinson, </w:t>
      </w:r>
      <w:r w:rsidRPr="00A957AF">
        <w:rPr>
          <w:rFonts w:ascii="Arial" w:hAnsi="Arial" w:cs="Arial"/>
          <w:i/>
          <w:iCs/>
          <w:color w:val="000000"/>
          <w:sz w:val="20"/>
        </w:rPr>
        <w:t>et al.</w:t>
      </w:r>
      <w:r w:rsidRPr="00A957AF">
        <w:rPr>
          <w:rFonts w:ascii="Arial" w:hAnsi="Arial" w:cs="Arial"/>
          <w:color w:val="000000"/>
          <w:sz w:val="20"/>
        </w:rPr>
        <w:t xml:space="preserve">, Data processing techniques impact quantification of cortico-cortical evoked potentials. </w:t>
      </w:r>
      <w:r w:rsidRPr="00A957AF">
        <w:rPr>
          <w:rFonts w:ascii="Arial" w:hAnsi="Arial" w:cs="Arial"/>
          <w:i/>
          <w:iCs/>
          <w:color w:val="000000"/>
          <w:sz w:val="20"/>
        </w:rPr>
        <w:t>Journal of Neuroscience Methods</w:t>
      </w:r>
      <w:r w:rsidRPr="00A957AF">
        <w:rPr>
          <w:rFonts w:ascii="Arial" w:hAnsi="Arial" w:cs="Arial"/>
          <w:color w:val="000000"/>
          <w:sz w:val="20"/>
        </w:rPr>
        <w:t xml:space="preserve"> </w:t>
      </w:r>
      <w:r w:rsidRPr="00A957AF">
        <w:rPr>
          <w:rFonts w:ascii="Arial" w:hAnsi="Arial" w:cs="Arial"/>
          <w:b/>
          <w:bCs/>
          <w:color w:val="000000"/>
          <w:sz w:val="20"/>
        </w:rPr>
        <w:t>408</w:t>
      </w:r>
      <w:r w:rsidRPr="00A957AF">
        <w:rPr>
          <w:rFonts w:ascii="Arial" w:hAnsi="Arial" w:cs="Arial"/>
          <w:color w:val="000000"/>
          <w:sz w:val="20"/>
        </w:rPr>
        <w:t>, 110130 (2024).</w:t>
      </w:r>
    </w:p>
    <w:p w14:paraId="6034BAD5"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29. </w:t>
      </w:r>
      <w:r w:rsidRPr="00A957AF">
        <w:rPr>
          <w:rFonts w:ascii="Arial" w:hAnsi="Arial" w:cs="Arial"/>
          <w:color w:val="000000"/>
          <w:sz w:val="20"/>
        </w:rPr>
        <w:tab/>
        <w:t xml:space="preserve">K. J. Miller, </w:t>
      </w:r>
      <w:r w:rsidRPr="00A957AF">
        <w:rPr>
          <w:rFonts w:ascii="Arial" w:hAnsi="Arial" w:cs="Arial"/>
          <w:i/>
          <w:iCs/>
          <w:color w:val="000000"/>
          <w:sz w:val="20"/>
        </w:rPr>
        <w:t>et al.</w:t>
      </w:r>
      <w:r w:rsidRPr="00A957AF">
        <w:rPr>
          <w:rFonts w:ascii="Arial" w:hAnsi="Arial" w:cs="Arial"/>
          <w:color w:val="000000"/>
          <w:sz w:val="20"/>
        </w:rPr>
        <w:t xml:space="preserve">, Canonical Response Parameterization: Quantifying the structure of responses to single-pulse intracranial electrical brain stimulation. </w:t>
      </w:r>
      <w:r w:rsidRPr="00A957AF">
        <w:rPr>
          <w:rFonts w:ascii="Arial" w:hAnsi="Arial" w:cs="Arial"/>
          <w:i/>
          <w:iCs/>
          <w:color w:val="000000"/>
          <w:sz w:val="20"/>
        </w:rPr>
        <w:t>PLoS Comput Biol</w:t>
      </w:r>
      <w:r w:rsidRPr="00A957AF">
        <w:rPr>
          <w:rFonts w:ascii="Arial" w:hAnsi="Arial" w:cs="Arial"/>
          <w:color w:val="000000"/>
          <w:sz w:val="20"/>
        </w:rPr>
        <w:t xml:space="preserve"> </w:t>
      </w:r>
      <w:r w:rsidRPr="00A957AF">
        <w:rPr>
          <w:rFonts w:ascii="Arial" w:hAnsi="Arial" w:cs="Arial"/>
          <w:b/>
          <w:bCs/>
          <w:color w:val="000000"/>
          <w:sz w:val="20"/>
        </w:rPr>
        <w:t>19</w:t>
      </w:r>
      <w:r w:rsidRPr="00A957AF">
        <w:rPr>
          <w:rFonts w:ascii="Arial" w:hAnsi="Arial" w:cs="Arial"/>
          <w:color w:val="000000"/>
          <w:sz w:val="20"/>
        </w:rPr>
        <w:t>, e1011105 (2023).</w:t>
      </w:r>
    </w:p>
    <w:p w14:paraId="61F074AA"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30. </w:t>
      </w:r>
      <w:r w:rsidRPr="00A957AF">
        <w:rPr>
          <w:rFonts w:ascii="Arial" w:hAnsi="Arial" w:cs="Arial"/>
          <w:color w:val="000000"/>
          <w:sz w:val="20"/>
        </w:rPr>
        <w:tab/>
        <w:t xml:space="preserve">D. Prime, M. Woolfe, S. O’Keefe, D. Rowlands, S. Dionisio, Quantifying volume conducted potential using stimulation artefact in cortico-cortical evoked potentials. </w:t>
      </w:r>
      <w:r w:rsidRPr="00A957AF">
        <w:rPr>
          <w:rFonts w:ascii="Arial" w:hAnsi="Arial" w:cs="Arial"/>
          <w:i/>
          <w:iCs/>
          <w:color w:val="000000"/>
          <w:sz w:val="20"/>
        </w:rPr>
        <w:t>Journal of Neuroscience Methods</w:t>
      </w:r>
      <w:r w:rsidRPr="00A957AF">
        <w:rPr>
          <w:rFonts w:ascii="Arial" w:hAnsi="Arial" w:cs="Arial"/>
          <w:color w:val="000000"/>
          <w:sz w:val="20"/>
        </w:rPr>
        <w:t xml:space="preserve"> </w:t>
      </w:r>
      <w:r w:rsidRPr="00A957AF">
        <w:rPr>
          <w:rFonts w:ascii="Arial" w:hAnsi="Arial" w:cs="Arial"/>
          <w:b/>
          <w:bCs/>
          <w:color w:val="000000"/>
          <w:sz w:val="20"/>
        </w:rPr>
        <w:t>337</w:t>
      </w:r>
      <w:r w:rsidRPr="00A957AF">
        <w:rPr>
          <w:rFonts w:ascii="Arial" w:hAnsi="Arial" w:cs="Arial"/>
          <w:color w:val="000000"/>
          <w:sz w:val="20"/>
        </w:rPr>
        <w:t>, 108639 (2020).</w:t>
      </w:r>
    </w:p>
    <w:p w14:paraId="60B87E3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31. </w:t>
      </w:r>
      <w:r w:rsidRPr="00A957AF">
        <w:rPr>
          <w:rFonts w:ascii="Arial" w:hAnsi="Arial" w:cs="Arial"/>
          <w:color w:val="000000"/>
          <w:sz w:val="20"/>
        </w:rPr>
        <w:tab/>
        <w:t xml:space="preserve">Y. Huang, C. Keller, “How Can I Investigate Causal Brain Networks with iEEG?” in </w:t>
      </w:r>
      <w:r w:rsidRPr="00A957AF">
        <w:rPr>
          <w:rFonts w:ascii="Arial" w:hAnsi="Arial" w:cs="Arial"/>
          <w:i/>
          <w:iCs/>
          <w:color w:val="000000"/>
          <w:sz w:val="20"/>
        </w:rPr>
        <w:t>Intracranial EEG: A Guide for Cognitive Neuroscientists</w:t>
      </w:r>
      <w:r w:rsidRPr="00A957AF">
        <w:rPr>
          <w:rFonts w:ascii="Arial" w:hAnsi="Arial" w:cs="Arial"/>
          <w:color w:val="000000"/>
          <w:sz w:val="20"/>
        </w:rPr>
        <w:t xml:space="preserve">, Studies in Neuroscience, </w:t>
      </w:r>
      <w:r w:rsidRPr="00A957AF">
        <w:rPr>
          <w:rFonts w:ascii="Arial" w:hAnsi="Arial" w:cs="Arial"/>
          <w:color w:val="000000"/>
          <w:sz w:val="20"/>
        </w:rPr>
        <w:lastRenderedPageBreak/>
        <w:t>Psychology and Behavioral Economics., N. Axmacher, Ed. (Springer International Publishing, 2023), pp. 639–655.</w:t>
      </w:r>
    </w:p>
    <w:p w14:paraId="20CDEEE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32. </w:t>
      </w:r>
      <w:r w:rsidRPr="00A957AF">
        <w:rPr>
          <w:rFonts w:ascii="Arial" w:hAnsi="Arial" w:cs="Arial"/>
          <w:color w:val="000000"/>
          <w:sz w:val="20"/>
        </w:rPr>
        <w:tab/>
        <w:t xml:space="preserve">K. J. Miller, K.-R. Müller, D. Hermes, Basis profile curve identification to understand electrical stimulation effects in human brain networks. </w:t>
      </w:r>
      <w:r w:rsidRPr="00A957AF">
        <w:rPr>
          <w:rFonts w:ascii="Arial" w:hAnsi="Arial" w:cs="Arial"/>
          <w:i/>
          <w:iCs/>
          <w:color w:val="000000"/>
          <w:sz w:val="20"/>
        </w:rPr>
        <w:t>PLOS Computational Biology</w:t>
      </w:r>
      <w:r w:rsidRPr="00A957AF">
        <w:rPr>
          <w:rFonts w:ascii="Arial" w:hAnsi="Arial" w:cs="Arial"/>
          <w:color w:val="000000"/>
          <w:sz w:val="20"/>
        </w:rPr>
        <w:t xml:space="preserve"> </w:t>
      </w:r>
      <w:r w:rsidRPr="00A957AF">
        <w:rPr>
          <w:rFonts w:ascii="Arial" w:hAnsi="Arial" w:cs="Arial"/>
          <w:b/>
          <w:bCs/>
          <w:color w:val="000000"/>
          <w:sz w:val="20"/>
        </w:rPr>
        <w:t>17</w:t>
      </w:r>
      <w:r w:rsidRPr="00A957AF">
        <w:rPr>
          <w:rFonts w:ascii="Arial" w:hAnsi="Arial" w:cs="Arial"/>
          <w:color w:val="000000"/>
          <w:sz w:val="20"/>
        </w:rPr>
        <w:t>, e1008710 (2021).</w:t>
      </w:r>
    </w:p>
    <w:p w14:paraId="1751CF62"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33. </w:t>
      </w:r>
      <w:r w:rsidRPr="00A957AF">
        <w:rPr>
          <w:rFonts w:ascii="Arial" w:hAnsi="Arial" w:cs="Arial"/>
          <w:color w:val="000000"/>
          <w:sz w:val="20"/>
        </w:rPr>
        <w:tab/>
        <w:t xml:space="preserve">S. Parmigiani, </w:t>
      </w:r>
      <w:r w:rsidRPr="00A957AF">
        <w:rPr>
          <w:rFonts w:ascii="Arial" w:hAnsi="Arial" w:cs="Arial"/>
          <w:i/>
          <w:iCs/>
          <w:color w:val="000000"/>
          <w:sz w:val="20"/>
        </w:rPr>
        <w:t>et al.</w:t>
      </w:r>
      <w:r w:rsidRPr="00A957AF">
        <w:rPr>
          <w:rFonts w:ascii="Arial" w:hAnsi="Arial" w:cs="Arial"/>
          <w:color w:val="000000"/>
          <w:sz w:val="20"/>
        </w:rPr>
        <w:t xml:space="preserve">, Simultaneous stereo-EEG and high-density scalp EEG recordings to study the effects of intracerebral stimulation parameters. </w:t>
      </w:r>
      <w:r w:rsidRPr="00A957AF">
        <w:rPr>
          <w:rFonts w:ascii="Arial" w:hAnsi="Arial" w:cs="Arial"/>
          <w:i/>
          <w:iCs/>
          <w:color w:val="000000"/>
          <w:sz w:val="20"/>
        </w:rPr>
        <w:t>Brain Stimulation</w:t>
      </w:r>
      <w:r w:rsidRPr="00A957AF">
        <w:rPr>
          <w:rFonts w:ascii="Arial" w:hAnsi="Arial" w:cs="Arial"/>
          <w:color w:val="000000"/>
          <w:sz w:val="20"/>
        </w:rPr>
        <w:t xml:space="preserve"> </w:t>
      </w:r>
      <w:r w:rsidRPr="00A957AF">
        <w:rPr>
          <w:rFonts w:ascii="Arial" w:hAnsi="Arial" w:cs="Arial"/>
          <w:b/>
          <w:bCs/>
          <w:color w:val="000000"/>
          <w:sz w:val="20"/>
        </w:rPr>
        <w:t>15</w:t>
      </w:r>
      <w:r w:rsidRPr="00A957AF">
        <w:rPr>
          <w:rFonts w:ascii="Arial" w:hAnsi="Arial" w:cs="Arial"/>
          <w:color w:val="000000"/>
          <w:sz w:val="20"/>
        </w:rPr>
        <w:t>, 664–675 (2022).</w:t>
      </w:r>
    </w:p>
    <w:p w14:paraId="388DAB6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34. </w:t>
      </w:r>
      <w:r w:rsidRPr="00A957AF">
        <w:rPr>
          <w:rFonts w:ascii="Arial" w:hAnsi="Arial" w:cs="Arial"/>
          <w:color w:val="000000"/>
          <w:sz w:val="20"/>
        </w:rPr>
        <w:tab/>
        <w:t xml:space="preserve">R. Matsumoto, </w:t>
      </w:r>
      <w:r w:rsidRPr="00A957AF">
        <w:rPr>
          <w:rFonts w:ascii="Arial" w:hAnsi="Arial" w:cs="Arial"/>
          <w:i/>
          <w:iCs/>
          <w:color w:val="000000"/>
          <w:sz w:val="20"/>
        </w:rPr>
        <w:t>et al.</w:t>
      </w:r>
      <w:r w:rsidRPr="00A957AF">
        <w:rPr>
          <w:rFonts w:ascii="Arial" w:hAnsi="Arial" w:cs="Arial"/>
          <w:color w:val="000000"/>
          <w:sz w:val="20"/>
        </w:rPr>
        <w:t xml:space="preserve">, Functional connectivity in the human language system: a cortico-cortical evoked potential study. </w:t>
      </w:r>
      <w:r w:rsidRPr="00A957AF">
        <w:rPr>
          <w:rFonts w:ascii="Arial" w:hAnsi="Arial" w:cs="Arial"/>
          <w:i/>
          <w:iCs/>
          <w:color w:val="000000"/>
          <w:sz w:val="20"/>
        </w:rPr>
        <w:t>Brain</w:t>
      </w:r>
      <w:r w:rsidRPr="00A957AF">
        <w:rPr>
          <w:rFonts w:ascii="Arial" w:hAnsi="Arial" w:cs="Arial"/>
          <w:color w:val="000000"/>
          <w:sz w:val="20"/>
        </w:rPr>
        <w:t xml:space="preserve"> </w:t>
      </w:r>
      <w:r w:rsidRPr="00A957AF">
        <w:rPr>
          <w:rFonts w:ascii="Arial" w:hAnsi="Arial" w:cs="Arial"/>
          <w:b/>
          <w:bCs/>
          <w:color w:val="000000"/>
          <w:sz w:val="20"/>
        </w:rPr>
        <w:t>127</w:t>
      </w:r>
      <w:r w:rsidRPr="00A957AF">
        <w:rPr>
          <w:rFonts w:ascii="Arial" w:hAnsi="Arial" w:cs="Arial"/>
          <w:color w:val="000000"/>
          <w:sz w:val="20"/>
        </w:rPr>
        <w:t>, 2316–2330 (2004).</w:t>
      </w:r>
    </w:p>
    <w:p w14:paraId="2DF68A15"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35. </w:t>
      </w:r>
      <w:r w:rsidRPr="00A957AF">
        <w:rPr>
          <w:rFonts w:ascii="Arial" w:hAnsi="Arial" w:cs="Arial"/>
          <w:color w:val="000000"/>
          <w:sz w:val="20"/>
        </w:rPr>
        <w:tab/>
        <w:t xml:space="preserve">G. Ojeda Valencia, </w:t>
      </w:r>
      <w:r w:rsidRPr="00A957AF">
        <w:rPr>
          <w:rFonts w:ascii="Arial" w:hAnsi="Arial" w:cs="Arial"/>
          <w:i/>
          <w:iCs/>
          <w:color w:val="000000"/>
          <w:sz w:val="20"/>
        </w:rPr>
        <w:t>et al.</w:t>
      </w:r>
      <w:r w:rsidRPr="00A957AF">
        <w:rPr>
          <w:rFonts w:ascii="Arial" w:hAnsi="Arial" w:cs="Arial"/>
          <w:color w:val="000000"/>
          <w:sz w:val="20"/>
        </w:rPr>
        <w:t xml:space="preserve">, Signatures of Electrical Stimulation Driven Network Interactions in the Human Limbic System. </w:t>
      </w:r>
      <w:r w:rsidRPr="00A957AF">
        <w:rPr>
          <w:rFonts w:ascii="Arial" w:hAnsi="Arial" w:cs="Arial"/>
          <w:i/>
          <w:iCs/>
          <w:color w:val="000000"/>
          <w:sz w:val="20"/>
        </w:rPr>
        <w:t>J. Neurosci.</w:t>
      </w:r>
      <w:r w:rsidRPr="00A957AF">
        <w:rPr>
          <w:rFonts w:ascii="Arial" w:hAnsi="Arial" w:cs="Arial"/>
          <w:color w:val="000000"/>
          <w:sz w:val="20"/>
        </w:rPr>
        <w:t xml:space="preserve"> </w:t>
      </w:r>
      <w:r w:rsidRPr="00A957AF">
        <w:rPr>
          <w:rFonts w:ascii="Arial" w:hAnsi="Arial" w:cs="Arial"/>
          <w:b/>
          <w:bCs/>
          <w:color w:val="000000"/>
          <w:sz w:val="20"/>
        </w:rPr>
        <w:t>43</w:t>
      </w:r>
      <w:r w:rsidRPr="00A957AF">
        <w:rPr>
          <w:rFonts w:ascii="Arial" w:hAnsi="Arial" w:cs="Arial"/>
          <w:color w:val="000000"/>
          <w:sz w:val="20"/>
        </w:rPr>
        <w:t>, 6697–6711 (2023).</w:t>
      </w:r>
    </w:p>
    <w:p w14:paraId="661C096A"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36. </w:t>
      </w:r>
      <w:r w:rsidRPr="00A957AF">
        <w:rPr>
          <w:rFonts w:ascii="Arial" w:hAnsi="Arial" w:cs="Arial"/>
          <w:color w:val="000000"/>
          <w:sz w:val="20"/>
        </w:rPr>
        <w:tab/>
        <w:t xml:space="preserve">H. S. Mayberg, </w:t>
      </w:r>
      <w:r w:rsidRPr="00A957AF">
        <w:rPr>
          <w:rFonts w:ascii="Arial" w:hAnsi="Arial" w:cs="Arial"/>
          <w:i/>
          <w:iCs/>
          <w:color w:val="000000"/>
          <w:sz w:val="20"/>
        </w:rPr>
        <w:t>et al.</w:t>
      </w:r>
      <w:r w:rsidRPr="00A957AF">
        <w:rPr>
          <w:rFonts w:ascii="Arial" w:hAnsi="Arial" w:cs="Arial"/>
          <w:color w:val="000000"/>
          <w:sz w:val="20"/>
        </w:rPr>
        <w:t xml:space="preserve">, Deep brain stimulation for treatment-resistant depression. </w:t>
      </w:r>
      <w:r w:rsidRPr="00A957AF">
        <w:rPr>
          <w:rFonts w:ascii="Arial" w:hAnsi="Arial" w:cs="Arial"/>
          <w:i/>
          <w:iCs/>
          <w:color w:val="000000"/>
          <w:sz w:val="20"/>
        </w:rPr>
        <w:t>Neuron</w:t>
      </w:r>
      <w:r w:rsidRPr="00A957AF">
        <w:rPr>
          <w:rFonts w:ascii="Arial" w:hAnsi="Arial" w:cs="Arial"/>
          <w:color w:val="000000"/>
          <w:sz w:val="20"/>
        </w:rPr>
        <w:t xml:space="preserve"> </w:t>
      </w:r>
      <w:r w:rsidRPr="00A957AF">
        <w:rPr>
          <w:rFonts w:ascii="Arial" w:hAnsi="Arial" w:cs="Arial"/>
          <w:b/>
          <w:bCs/>
          <w:color w:val="000000"/>
          <w:sz w:val="20"/>
        </w:rPr>
        <w:t>45</w:t>
      </w:r>
      <w:r w:rsidRPr="00A957AF">
        <w:rPr>
          <w:rFonts w:ascii="Arial" w:hAnsi="Arial" w:cs="Arial"/>
          <w:color w:val="000000"/>
          <w:sz w:val="20"/>
        </w:rPr>
        <w:t>, 651–660 (2005).</w:t>
      </w:r>
    </w:p>
    <w:p w14:paraId="5CA213C7"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37. </w:t>
      </w:r>
      <w:r w:rsidRPr="00A957AF">
        <w:rPr>
          <w:rFonts w:ascii="Arial" w:hAnsi="Arial" w:cs="Arial"/>
          <w:color w:val="000000"/>
          <w:sz w:val="20"/>
        </w:rPr>
        <w:tab/>
        <w:t xml:space="preserve">K. R. Bijanki, </w:t>
      </w:r>
      <w:r w:rsidRPr="00A957AF">
        <w:rPr>
          <w:rFonts w:ascii="Arial" w:hAnsi="Arial" w:cs="Arial"/>
          <w:i/>
          <w:iCs/>
          <w:color w:val="000000"/>
          <w:sz w:val="20"/>
        </w:rPr>
        <w:t>et al.</w:t>
      </w:r>
      <w:r w:rsidRPr="00A957AF">
        <w:rPr>
          <w:rFonts w:ascii="Arial" w:hAnsi="Arial" w:cs="Arial"/>
          <w:color w:val="000000"/>
          <w:sz w:val="20"/>
        </w:rPr>
        <w:t xml:space="preserve">, Cingulum stimulation enhances positive affect and anxiolysis to facilitate awake craniotomy. </w:t>
      </w:r>
      <w:r w:rsidRPr="00A957AF">
        <w:rPr>
          <w:rFonts w:ascii="Arial" w:hAnsi="Arial" w:cs="Arial"/>
          <w:i/>
          <w:iCs/>
          <w:color w:val="000000"/>
          <w:sz w:val="20"/>
        </w:rPr>
        <w:t>J Clin Invest</w:t>
      </w:r>
      <w:r w:rsidRPr="00A957AF">
        <w:rPr>
          <w:rFonts w:ascii="Arial" w:hAnsi="Arial" w:cs="Arial"/>
          <w:color w:val="000000"/>
          <w:sz w:val="20"/>
        </w:rPr>
        <w:t xml:space="preserve"> </w:t>
      </w:r>
      <w:r w:rsidRPr="00A957AF">
        <w:rPr>
          <w:rFonts w:ascii="Arial" w:hAnsi="Arial" w:cs="Arial"/>
          <w:b/>
          <w:bCs/>
          <w:color w:val="000000"/>
          <w:sz w:val="20"/>
        </w:rPr>
        <w:t>129</w:t>
      </w:r>
      <w:r w:rsidRPr="00A957AF">
        <w:rPr>
          <w:rFonts w:ascii="Arial" w:hAnsi="Arial" w:cs="Arial"/>
          <w:color w:val="000000"/>
          <w:sz w:val="20"/>
        </w:rPr>
        <w:t>, 1152–1166.</w:t>
      </w:r>
    </w:p>
    <w:p w14:paraId="50DDA53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38. </w:t>
      </w:r>
      <w:r w:rsidRPr="00A957AF">
        <w:rPr>
          <w:rFonts w:ascii="Arial" w:hAnsi="Arial" w:cs="Arial"/>
          <w:color w:val="000000"/>
          <w:sz w:val="20"/>
        </w:rPr>
        <w:tab/>
        <w:t xml:space="preserve">S. G. J. Boccard, E. A. C. Pereira, T. Z. Aziz, Deep brain stimulation for chronic pain. </w:t>
      </w:r>
      <w:r w:rsidRPr="00A957AF">
        <w:rPr>
          <w:rFonts w:ascii="Arial" w:hAnsi="Arial" w:cs="Arial"/>
          <w:i/>
          <w:iCs/>
          <w:color w:val="000000"/>
          <w:sz w:val="20"/>
        </w:rPr>
        <w:t>Journal of Clinical Neuroscience</w:t>
      </w:r>
      <w:r w:rsidRPr="00A957AF">
        <w:rPr>
          <w:rFonts w:ascii="Arial" w:hAnsi="Arial" w:cs="Arial"/>
          <w:color w:val="000000"/>
          <w:sz w:val="20"/>
        </w:rPr>
        <w:t xml:space="preserve"> </w:t>
      </w:r>
      <w:r w:rsidRPr="00A957AF">
        <w:rPr>
          <w:rFonts w:ascii="Arial" w:hAnsi="Arial" w:cs="Arial"/>
          <w:b/>
          <w:bCs/>
          <w:color w:val="000000"/>
          <w:sz w:val="20"/>
        </w:rPr>
        <w:t>22</w:t>
      </w:r>
      <w:r w:rsidRPr="00A957AF">
        <w:rPr>
          <w:rFonts w:ascii="Arial" w:hAnsi="Arial" w:cs="Arial"/>
          <w:color w:val="000000"/>
          <w:sz w:val="20"/>
        </w:rPr>
        <w:t>, 1537–1543 (2015).</w:t>
      </w:r>
    </w:p>
    <w:p w14:paraId="621711DB"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39. </w:t>
      </w:r>
      <w:r w:rsidRPr="00A957AF">
        <w:rPr>
          <w:rFonts w:ascii="Arial" w:hAnsi="Arial" w:cs="Arial"/>
          <w:color w:val="000000"/>
          <w:sz w:val="20"/>
        </w:rPr>
        <w:tab/>
        <w:t xml:space="preserve">A. A. Liu, </w:t>
      </w:r>
      <w:r w:rsidRPr="00A957AF">
        <w:rPr>
          <w:rFonts w:ascii="Arial" w:hAnsi="Arial" w:cs="Arial"/>
          <w:i/>
          <w:iCs/>
          <w:color w:val="000000"/>
          <w:sz w:val="20"/>
        </w:rPr>
        <w:t>et al.</w:t>
      </w:r>
      <w:r w:rsidRPr="00A957AF">
        <w:rPr>
          <w:rFonts w:ascii="Arial" w:hAnsi="Arial" w:cs="Arial"/>
          <w:color w:val="000000"/>
          <w:sz w:val="20"/>
        </w:rPr>
        <w:t xml:space="preserve">, A consensus statement on detection of hippocampal sharp wave ripples and differentiation from other fast oscillations. </w:t>
      </w:r>
      <w:r w:rsidRPr="00A957AF">
        <w:rPr>
          <w:rFonts w:ascii="Arial" w:hAnsi="Arial" w:cs="Arial"/>
          <w:i/>
          <w:iCs/>
          <w:color w:val="000000"/>
          <w:sz w:val="20"/>
        </w:rPr>
        <w:t>Nat Commun</w:t>
      </w:r>
      <w:r w:rsidRPr="00A957AF">
        <w:rPr>
          <w:rFonts w:ascii="Arial" w:hAnsi="Arial" w:cs="Arial"/>
          <w:color w:val="000000"/>
          <w:sz w:val="20"/>
        </w:rPr>
        <w:t xml:space="preserve"> </w:t>
      </w:r>
      <w:r w:rsidRPr="00A957AF">
        <w:rPr>
          <w:rFonts w:ascii="Arial" w:hAnsi="Arial" w:cs="Arial"/>
          <w:b/>
          <w:bCs/>
          <w:color w:val="000000"/>
          <w:sz w:val="20"/>
        </w:rPr>
        <w:t>13</w:t>
      </w:r>
      <w:r w:rsidRPr="00A957AF">
        <w:rPr>
          <w:rFonts w:ascii="Arial" w:hAnsi="Arial" w:cs="Arial"/>
          <w:color w:val="000000"/>
          <w:sz w:val="20"/>
        </w:rPr>
        <w:t>, 6000 (2022).</w:t>
      </w:r>
    </w:p>
    <w:p w14:paraId="2A14DC38"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40. </w:t>
      </w:r>
      <w:r w:rsidRPr="00A957AF">
        <w:rPr>
          <w:rFonts w:ascii="Arial" w:hAnsi="Arial" w:cs="Arial"/>
          <w:color w:val="000000"/>
          <w:sz w:val="20"/>
        </w:rPr>
        <w:tab/>
        <w:t xml:space="preserve">V. Kokkinos, Interpretation of the Intracranial Electroencephalogram of the Human Hippocampus. </w:t>
      </w:r>
      <w:r w:rsidRPr="00A957AF">
        <w:rPr>
          <w:rFonts w:ascii="Arial" w:hAnsi="Arial" w:cs="Arial"/>
          <w:i/>
          <w:iCs/>
          <w:color w:val="000000"/>
          <w:sz w:val="20"/>
        </w:rPr>
        <w:t>Neurosurg Clin N Am</w:t>
      </w:r>
      <w:r w:rsidRPr="00A957AF">
        <w:rPr>
          <w:rFonts w:ascii="Arial" w:hAnsi="Arial" w:cs="Arial"/>
          <w:color w:val="000000"/>
          <w:sz w:val="20"/>
        </w:rPr>
        <w:t xml:space="preserve"> </w:t>
      </w:r>
      <w:r w:rsidRPr="00A957AF">
        <w:rPr>
          <w:rFonts w:ascii="Arial" w:hAnsi="Arial" w:cs="Arial"/>
          <w:b/>
          <w:bCs/>
          <w:color w:val="000000"/>
          <w:sz w:val="20"/>
        </w:rPr>
        <w:t>35</w:t>
      </w:r>
      <w:r w:rsidRPr="00A957AF">
        <w:rPr>
          <w:rFonts w:ascii="Arial" w:hAnsi="Arial" w:cs="Arial"/>
          <w:color w:val="000000"/>
          <w:sz w:val="20"/>
        </w:rPr>
        <w:t>, 73–82 (2024).</w:t>
      </w:r>
    </w:p>
    <w:p w14:paraId="7D512C21"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41. </w:t>
      </w:r>
      <w:r w:rsidRPr="00A957AF">
        <w:rPr>
          <w:rFonts w:ascii="Arial" w:hAnsi="Arial" w:cs="Arial"/>
          <w:color w:val="000000"/>
          <w:sz w:val="20"/>
        </w:rPr>
        <w:tab/>
        <w:t xml:space="preserve">I. Oane, </w:t>
      </w:r>
      <w:r w:rsidRPr="00A957AF">
        <w:rPr>
          <w:rFonts w:ascii="Arial" w:hAnsi="Arial" w:cs="Arial"/>
          <w:i/>
          <w:iCs/>
          <w:color w:val="000000"/>
          <w:sz w:val="20"/>
        </w:rPr>
        <w:t>et al.</w:t>
      </w:r>
      <w:r w:rsidRPr="00A957AF">
        <w:rPr>
          <w:rFonts w:ascii="Arial" w:hAnsi="Arial" w:cs="Arial"/>
          <w:color w:val="000000"/>
          <w:sz w:val="20"/>
        </w:rPr>
        <w:t xml:space="preserve">, Cingulate cortex function and multi-modal connectivity mapped using intracranial stimulation.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220</w:t>
      </w:r>
      <w:r w:rsidRPr="00A957AF">
        <w:rPr>
          <w:rFonts w:ascii="Arial" w:hAnsi="Arial" w:cs="Arial"/>
          <w:color w:val="000000"/>
          <w:sz w:val="20"/>
        </w:rPr>
        <w:t>, 117059 (2020).</w:t>
      </w:r>
    </w:p>
    <w:p w14:paraId="2E16DB63"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42. </w:t>
      </w:r>
      <w:r w:rsidRPr="00A957AF">
        <w:rPr>
          <w:rFonts w:ascii="Arial" w:hAnsi="Arial" w:cs="Arial"/>
          <w:color w:val="000000"/>
          <w:sz w:val="20"/>
        </w:rPr>
        <w:tab/>
        <w:t xml:space="preserve">V. van Veen, J. D. Cohen, M. M. Botvinick, V. A. Stenger, C. S. Carter, Anterior cingulate cortex, conflict monitoring, and levels of processing.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14</w:t>
      </w:r>
      <w:r w:rsidRPr="00A957AF">
        <w:rPr>
          <w:rFonts w:ascii="Arial" w:hAnsi="Arial" w:cs="Arial"/>
          <w:color w:val="000000"/>
          <w:sz w:val="20"/>
        </w:rPr>
        <w:t>, 1302–1308 (2001).</w:t>
      </w:r>
    </w:p>
    <w:p w14:paraId="3DEB1FE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43. </w:t>
      </w:r>
      <w:r w:rsidRPr="00A957AF">
        <w:rPr>
          <w:rFonts w:ascii="Arial" w:hAnsi="Arial" w:cs="Arial"/>
          <w:color w:val="000000"/>
          <w:sz w:val="20"/>
        </w:rPr>
        <w:tab/>
        <w:t xml:space="preserve">K. L. Anbuhl, M. Diez Castro, N. A. Lee, V. S. Lee, D. H. Sanes, Cingulate cortex facilitates auditory perception under challenging listening conditions. </w:t>
      </w:r>
      <w:r w:rsidRPr="00A957AF">
        <w:rPr>
          <w:rFonts w:ascii="Arial" w:hAnsi="Arial" w:cs="Arial"/>
          <w:i/>
          <w:iCs/>
          <w:color w:val="000000"/>
          <w:sz w:val="20"/>
        </w:rPr>
        <w:t>bioRxiv</w:t>
      </w:r>
      <w:r w:rsidRPr="00A957AF">
        <w:rPr>
          <w:rFonts w:ascii="Arial" w:hAnsi="Arial" w:cs="Arial"/>
          <w:color w:val="000000"/>
          <w:sz w:val="20"/>
        </w:rPr>
        <w:t xml:space="preserve"> 2023.11.10.566668 (2023). https://doi.org/10.1101/2023.11.10.566668.</w:t>
      </w:r>
    </w:p>
    <w:p w14:paraId="0034EBCB"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44. </w:t>
      </w:r>
      <w:r w:rsidRPr="00A957AF">
        <w:rPr>
          <w:rFonts w:ascii="Arial" w:hAnsi="Arial" w:cs="Arial"/>
          <w:color w:val="000000"/>
          <w:sz w:val="20"/>
        </w:rPr>
        <w:tab/>
        <w:t xml:space="preserve">K. Harada, </w:t>
      </w:r>
      <w:r w:rsidRPr="00A957AF">
        <w:rPr>
          <w:rFonts w:ascii="Arial" w:hAnsi="Arial" w:cs="Arial"/>
          <w:i/>
          <w:iCs/>
          <w:color w:val="000000"/>
          <w:sz w:val="20"/>
        </w:rPr>
        <w:t>et al.</w:t>
      </w:r>
      <w:r w:rsidRPr="00A957AF">
        <w:rPr>
          <w:rFonts w:ascii="Arial" w:hAnsi="Arial" w:cs="Arial"/>
          <w:color w:val="000000"/>
          <w:sz w:val="20"/>
        </w:rPr>
        <w:t xml:space="preserve">, Altered Connectivity of the Anterior Cingulate and the Posterior Superior Temporal Gyrus in a Longitudinal Study of Later-life Depression. </w:t>
      </w:r>
      <w:r w:rsidRPr="00A957AF">
        <w:rPr>
          <w:rFonts w:ascii="Arial" w:hAnsi="Arial" w:cs="Arial"/>
          <w:i/>
          <w:iCs/>
          <w:color w:val="000000"/>
          <w:sz w:val="20"/>
        </w:rPr>
        <w:t>Front Aging Neurosci</w:t>
      </w:r>
      <w:r w:rsidRPr="00A957AF">
        <w:rPr>
          <w:rFonts w:ascii="Arial" w:hAnsi="Arial" w:cs="Arial"/>
          <w:color w:val="000000"/>
          <w:sz w:val="20"/>
        </w:rPr>
        <w:t xml:space="preserve"> </w:t>
      </w:r>
      <w:r w:rsidRPr="00A957AF">
        <w:rPr>
          <w:rFonts w:ascii="Arial" w:hAnsi="Arial" w:cs="Arial"/>
          <w:b/>
          <w:bCs/>
          <w:color w:val="000000"/>
          <w:sz w:val="20"/>
        </w:rPr>
        <w:t>10</w:t>
      </w:r>
      <w:r w:rsidRPr="00A957AF">
        <w:rPr>
          <w:rFonts w:ascii="Arial" w:hAnsi="Arial" w:cs="Arial"/>
          <w:color w:val="000000"/>
          <w:sz w:val="20"/>
        </w:rPr>
        <w:t>, 31 (2018).</w:t>
      </w:r>
    </w:p>
    <w:p w14:paraId="094687AB"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45. </w:t>
      </w:r>
      <w:r w:rsidRPr="00A957AF">
        <w:rPr>
          <w:rFonts w:ascii="Arial" w:hAnsi="Arial" w:cs="Arial"/>
          <w:color w:val="000000"/>
          <w:sz w:val="20"/>
        </w:rPr>
        <w:tab/>
        <w:t xml:space="preserve">V. J. Schmithorst, S. K. Holland, E. Plante, Diffusion tensor imaging reveals white matter microstructure correlations with auditory processing ability. </w:t>
      </w:r>
      <w:r w:rsidRPr="00A957AF">
        <w:rPr>
          <w:rFonts w:ascii="Arial" w:hAnsi="Arial" w:cs="Arial"/>
          <w:i/>
          <w:iCs/>
          <w:color w:val="000000"/>
          <w:sz w:val="20"/>
        </w:rPr>
        <w:t>Ear Hear</w:t>
      </w:r>
      <w:r w:rsidRPr="00A957AF">
        <w:rPr>
          <w:rFonts w:ascii="Arial" w:hAnsi="Arial" w:cs="Arial"/>
          <w:color w:val="000000"/>
          <w:sz w:val="20"/>
        </w:rPr>
        <w:t xml:space="preserve"> </w:t>
      </w:r>
      <w:r w:rsidRPr="00A957AF">
        <w:rPr>
          <w:rFonts w:ascii="Arial" w:hAnsi="Arial" w:cs="Arial"/>
          <w:b/>
          <w:bCs/>
          <w:color w:val="000000"/>
          <w:sz w:val="20"/>
        </w:rPr>
        <w:t>32</w:t>
      </w:r>
      <w:r w:rsidRPr="00A957AF">
        <w:rPr>
          <w:rFonts w:ascii="Arial" w:hAnsi="Arial" w:cs="Arial"/>
          <w:color w:val="000000"/>
          <w:sz w:val="20"/>
        </w:rPr>
        <w:t>, 156–167 (2011).</w:t>
      </w:r>
    </w:p>
    <w:p w14:paraId="71CF5215"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46. </w:t>
      </w:r>
      <w:r w:rsidRPr="00A957AF">
        <w:rPr>
          <w:rFonts w:ascii="Arial" w:hAnsi="Arial" w:cs="Arial"/>
          <w:color w:val="000000"/>
          <w:sz w:val="20"/>
        </w:rPr>
        <w:tab/>
        <w:t xml:space="preserve">K. P. Schulz, A.-C. V. Bédard, R. Czarnecki, J. Fan, Preparatory Activity and Connectivity in Dorsal Anterior Cingulate Cortex for Cognitive Control.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57</w:t>
      </w:r>
      <w:r w:rsidRPr="00A957AF">
        <w:rPr>
          <w:rFonts w:ascii="Arial" w:hAnsi="Arial" w:cs="Arial"/>
          <w:color w:val="000000"/>
          <w:sz w:val="20"/>
        </w:rPr>
        <w:t>, 242–250 (2011).</w:t>
      </w:r>
    </w:p>
    <w:p w14:paraId="398CE93B"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lastRenderedPageBreak/>
        <w:t xml:space="preserve">47. </w:t>
      </w:r>
      <w:r w:rsidRPr="00A957AF">
        <w:rPr>
          <w:rFonts w:ascii="Arial" w:hAnsi="Arial" w:cs="Arial"/>
          <w:color w:val="000000"/>
          <w:sz w:val="20"/>
        </w:rPr>
        <w:tab/>
        <w:t xml:space="preserve">R. N. Spreng, W. D. Stevens, J. P. Chamberlain, A. W. Gilmore, D. L. Schacter, Default network activity, coupled with the frontoparietal control network, supports goal-directed cognition.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53</w:t>
      </w:r>
      <w:r w:rsidRPr="00A957AF">
        <w:rPr>
          <w:rFonts w:ascii="Arial" w:hAnsi="Arial" w:cs="Arial"/>
          <w:color w:val="000000"/>
          <w:sz w:val="20"/>
        </w:rPr>
        <w:t>, 303–317 (2010).</w:t>
      </w:r>
    </w:p>
    <w:p w14:paraId="6DDC3F7E"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48. </w:t>
      </w:r>
      <w:r w:rsidRPr="00A957AF">
        <w:rPr>
          <w:rFonts w:ascii="Arial" w:hAnsi="Arial" w:cs="Arial"/>
          <w:color w:val="000000"/>
          <w:sz w:val="20"/>
        </w:rPr>
        <w:tab/>
        <w:t xml:space="preserve">M. Assem, M. F. Glasser, D. C. Van Essen, J. Duncan, A Domain-General Cognitive Core Defined in Multimodally Parcellated Human Cortex. </w:t>
      </w:r>
      <w:r w:rsidRPr="00A957AF">
        <w:rPr>
          <w:rFonts w:ascii="Arial" w:hAnsi="Arial" w:cs="Arial"/>
          <w:i/>
          <w:iCs/>
          <w:color w:val="000000"/>
          <w:sz w:val="20"/>
        </w:rPr>
        <w:t>Cereb Cortex</w:t>
      </w:r>
      <w:r w:rsidRPr="00A957AF">
        <w:rPr>
          <w:rFonts w:ascii="Arial" w:hAnsi="Arial" w:cs="Arial"/>
          <w:color w:val="000000"/>
          <w:sz w:val="20"/>
        </w:rPr>
        <w:t xml:space="preserve"> </w:t>
      </w:r>
      <w:r w:rsidRPr="00A957AF">
        <w:rPr>
          <w:rFonts w:ascii="Arial" w:hAnsi="Arial" w:cs="Arial"/>
          <w:b/>
          <w:bCs/>
          <w:color w:val="000000"/>
          <w:sz w:val="20"/>
        </w:rPr>
        <w:t>30</w:t>
      </w:r>
      <w:r w:rsidRPr="00A957AF">
        <w:rPr>
          <w:rFonts w:ascii="Arial" w:hAnsi="Arial" w:cs="Arial"/>
          <w:color w:val="000000"/>
          <w:sz w:val="20"/>
        </w:rPr>
        <w:t>, 4361–4380 (2020).</w:t>
      </w:r>
    </w:p>
    <w:p w14:paraId="357CB46B"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49. </w:t>
      </w:r>
      <w:r w:rsidRPr="00A957AF">
        <w:rPr>
          <w:rFonts w:ascii="Arial" w:hAnsi="Arial" w:cs="Arial"/>
          <w:color w:val="000000"/>
          <w:sz w:val="20"/>
        </w:rPr>
        <w:tab/>
        <w:t xml:space="preserve">M. A. Salehinejad, E. Ghanavati, M. H. A. Rashid, M. A. Nitsche, Hot and cold executive functions in the brain: A prefrontal-cingular network. </w:t>
      </w:r>
      <w:r w:rsidRPr="00A957AF">
        <w:rPr>
          <w:rFonts w:ascii="Arial" w:hAnsi="Arial" w:cs="Arial"/>
          <w:i/>
          <w:iCs/>
          <w:color w:val="000000"/>
          <w:sz w:val="20"/>
        </w:rPr>
        <w:t>Brain Neurosci Adv</w:t>
      </w:r>
      <w:r w:rsidRPr="00A957AF">
        <w:rPr>
          <w:rFonts w:ascii="Arial" w:hAnsi="Arial" w:cs="Arial"/>
          <w:color w:val="000000"/>
          <w:sz w:val="20"/>
        </w:rPr>
        <w:t xml:space="preserve"> </w:t>
      </w:r>
      <w:r w:rsidRPr="00A957AF">
        <w:rPr>
          <w:rFonts w:ascii="Arial" w:hAnsi="Arial" w:cs="Arial"/>
          <w:b/>
          <w:bCs/>
          <w:color w:val="000000"/>
          <w:sz w:val="20"/>
        </w:rPr>
        <w:t>5</w:t>
      </w:r>
      <w:r w:rsidRPr="00A957AF">
        <w:rPr>
          <w:rFonts w:ascii="Arial" w:hAnsi="Arial" w:cs="Arial"/>
          <w:color w:val="000000"/>
          <w:sz w:val="20"/>
        </w:rPr>
        <w:t>, 23982128211007769 (2021).</w:t>
      </w:r>
    </w:p>
    <w:p w14:paraId="0C223914"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50. </w:t>
      </w:r>
      <w:r w:rsidRPr="00A957AF">
        <w:rPr>
          <w:rFonts w:ascii="Arial" w:hAnsi="Arial" w:cs="Arial"/>
          <w:color w:val="000000"/>
          <w:sz w:val="20"/>
        </w:rPr>
        <w:tab/>
        <w:t xml:space="preserve">B. H. Silverstein, </w:t>
      </w:r>
      <w:r w:rsidRPr="00A957AF">
        <w:rPr>
          <w:rFonts w:ascii="Arial" w:hAnsi="Arial" w:cs="Arial"/>
          <w:i/>
          <w:iCs/>
          <w:color w:val="000000"/>
          <w:sz w:val="20"/>
        </w:rPr>
        <w:t>et al.</w:t>
      </w:r>
      <w:r w:rsidRPr="00A957AF">
        <w:rPr>
          <w:rFonts w:ascii="Arial" w:hAnsi="Arial" w:cs="Arial"/>
          <w:color w:val="000000"/>
          <w:sz w:val="20"/>
        </w:rPr>
        <w:t xml:space="preserve">, Dynamic tractography: Integrating cortico-cortical evoked potentials and diffusion imaging.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215</w:t>
      </w:r>
      <w:r w:rsidRPr="00A957AF">
        <w:rPr>
          <w:rFonts w:ascii="Arial" w:hAnsi="Arial" w:cs="Arial"/>
          <w:color w:val="000000"/>
          <w:sz w:val="20"/>
        </w:rPr>
        <w:t>, 116763 (2020).</w:t>
      </w:r>
    </w:p>
    <w:p w14:paraId="17F45D54"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51. </w:t>
      </w:r>
      <w:r w:rsidRPr="00A957AF">
        <w:rPr>
          <w:rFonts w:ascii="Arial" w:hAnsi="Arial" w:cs="Arial"/>
          <w:color w:val="000000"/>
          <w:sz w:val="20"/>
        </w:rPr>
        <w:tab/>
        <w:t xml:space="preserve">A. Honnedevasthana Arun, A. Connelly, R. E. Smith, F. Calamante, Characterisation of white matter asymmetries in the healthy human brain using diffusion MRI fixel-based analysis.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225</w:t>
      </w:r>
      <w:r w:rsidRPr="00A957AF">
        <w:rPr>
          <w:rFonts w:ascii="Arial" w:hAnsi="Arial" w:cs="Arial"/>
          <w:color w:val="000000"/>
          <w:sz w:val="20"/>
        </w:rPr>
        <w:t>, 117505 (2021).</w:t>
      </w:r>
    </w:p>
    <w:p w14:paraId="14AD27AD"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52. </w:t>
      </w:r>
      <w:r w:rsidRPr="00A957AF">
        <w:rPr>
          <w:rFonts w:ascii="Arial" w:hAnsi="Arial" w:cs="Arial"/>
          <w:color w:val="000000"/>
          <w:sz w:val="20"/>
        </w:rPr>
        <w:tab/>
        <w:t xml:space="preserve">V. M. Saenger, F. A. Barrios, M. L. Martínez-Gudiño, S. Alcauter, Hemispheric asymmetries of functional connectivity and grey matter volume in the default mode network. </w:t>
      </w:r>
      <w:r w:rsidRPr="00A957AF">
        <w:rPr>
          <w:rFonts w:ascii="Arial" w:hAnsi="Arial" w:cs="Arial"/>
          <w:i/>
          <w:iCs/>
          <w:color w:val="000000"/>
          <w:sz w:val="20"/>
        </w:rPr>
        <w:t>Neuropsychologia</w:t>
      </w:r>
      <w:r w:rsidRPr="00A957AF">
        <w:rPr>
          <w:rFonts w:ascii="Arial" w:hAnsi="Arial" w:cs="Arial"/>
          <w:color w:val="000000"/>
          <w:sz w:val="20"/>
        </w:rPr>
        <w:t xml:space="preserve"> </w:t>
      </w:r>
      <w:r w:rsidRPr="00A957AF">
        <w:rPr>
          <w:rFonts w:ascii="Arial" w:hAnsi="Arial" w:cs="Arial"/>
          <w:b/>
          <w:bCs/>
          <w:color w:val="000000"/>
          <w:sz w:val="20"/>
        </w:rPr>
        <w:t>50</w:t>
      </w:r>
      <w:r w:rsidRPr="00A957AF">
        <w:rPr>
          <w:rFonts w:ascii="Arial" w:hAnsi="Arial" w:cs="Arial"/>
          <w:color w:val="000000"/>
          <w:sz w:val="20"/>
        </w:rPr>
        <w:t>, 1308–1315 (2012).</w:t>
      </w:r>
    </w:p>
    <w:p w14:paraId="51D7C84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53. </w:t>
      </w:r>
      <w:r w:rsidRPr="00A957AF">
        <w:rPr>
          <w:rFonts w:ascii="Arial" w:hAnsi="Arial" w:cs="Arial"/>
          <w:color w:val="000000"/>
          <w:sz w:val="20"/>
        </w:rPr>
        <w:tab/>
        <w:t xml:space="preserve">M. Palmiero, L. Piccardi, Frontal EEG Asymmetry of Mood: A Mini-Review. </w:t>
      </w:r>
      <w:r w:rsidRPr="00A957AF">
        <w:rPr>
          <w:rFonts w:ascii="Arial" w:hAnsi="Arial" w:cs="Arial"/>
          <w:i/>
          <w:iCs/>
          <w:color w:val="000000"/>
          <w:sz w:val="20"/>
        </w:rPr>
        <w:t>Front Behav Neurosci</w:t>
      </w:r>
      <w:r w:rsidRPr="00A957AF">
        <w:rPr>
          <w:rFonts w:ascii="Arial" w:hAnsi="Arial" w:cs="Arial"/>
          <w:color w:val="000000"/>
          <w:sz w:val="20"/>
        </w:rPr>
        <w:t xml:space="preserve"> </w:t>
      </w:r>
      <w:r w:rsidRPr="00A957AF">
        <w:rPr>
          <w:rFonts w:ascii="Arial" w:hAnsi="Arial" w:cs="Arial"/>
          <w:b/>
          <w:bCs/>
          <w:color w:val="000000"/>
          <w:sz w:val="20"/>
        </w:rPr>
        <w:t>11</w:t>
      </w:r>
      <w:r w:rsidRPr="00A957AF">
        <w:rPr>
          <w:rFonts w:ascii="Arial" w:hAnsi="Arial" w:cs="Arial"/>
          <w:color w:val="000000"/>
          <w:sz w:val="20"/>
        </w:rPr>
        <w:t>, 224 (2017).</w:t>
      </w:r>
    </w:p>
    <w:p w14:paraId="5E2A262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54. </w:t>
      </w:r>
      <w:r w:rsidRPr="00A957AF">
        <w:rPr>
          <w:rFonts w:ascii="Arial" w:hAnsi="Arial" w:cs="Arial"/>
          <w:color w:val="000000"/>
          <w:sz w:val="20"/>
        </w:rPr>
        <w:tab/>
        <w:t xml:space="preserve">P. Demarest, </w:t>
      </w:r>
      <w:r w:rsidRPr="00A957AF">
        <w:rPr>
          <w:rFonts w:ascii="Arial" w:hAnsi="Arial" w:cs="Arial"/>
          <w:i/>
          <w:iCs/>
          <w:color w:val="000000"/>
          <w:sz w:val="20"/>
        </w:rPr>
        <w:t>et al.</w:t>
      </w:r>
      <w:r w:rsidRPr="00A957AF">
        <w:rPr>
          <w:rFonts w:ascii="Arial" w:hAnsi="Arial" w:cs="Arial"/>
          <w:color w:val="000000"/>
          <w:sz w:val="20"/>
        </w:rPr>
        <w:t>, A novel theta-controlled vibrotactile brain-computer interface to treat chronic pain: A pilot study. (2023).</w:t>
      </w:r>
    </w:p>
    <w:p w14:paraId="12058287"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55. </w:t>
      </w:r>
      <w:r w:rsidRPr="00A957AF">
        <w:rPr>
          <w:rFonts w:ascii="Arial" w:hAnsi="Arial" w:cs="Arial"/>
          <w:color w:val="000000"/>
          <w:sz w:val="20"/>
        </w:rPr>
        <w:tab/>
        <w:t xml:space="preserve">N. Rustamov, </w:t>
      </w:r>
      <w:r w:rsidRPr="00A957AF">
        <w:rPr>
          <w:rFonts w:ascii="Arial" w:hAnsi="Arial" w:cs="Arial"/>
          <w:i/>
          <w:iCs/>
          <w:color w:val="000000"/>
          <w:sz w:val="20"/>
        </w:rPr>
        <w:t>et al.</w:t>
      </w:r>
      <w:r w:rsidRPr="00A957AF">
        <w:rPr>
          <w:rFonts w:ascii="Arial" w:hAnsi="Arial" w:cs="Arial"/>
          <w:color w:val="000000"/>
          <w:sz w:val="20"/>
        </w:rPr>
        <w:t xml:space="preserve">, Spatial and Frequency-specific Electrophysiological Signatures of Tonic Pain Recovery in Humans. </w:t>
      </w:r>
      <w:r w:rsidRPr="00A957AF">
        <w:rPr>
          <w:rFonts w:ascii="Arial" w:hAnsi="Arial" w:cs="Arial"/>
          <w:i/>
          <w:iCs/>
          <w:color w:val="000000"/>
          <w:sz w:val="20"/>
        </w:rPr>
        <w:t>Neuroscience</w:t>
      </w:r>
      <w:r w:rsidRPr="00A957AF">
        <w:rPr>
          <w:rFonts w:ascii="Arial" w:hAnsi="Arial" w:cs="Arial"/>
          <w:color w:val="000000"/>
          <w:sz w:val="20"/>
        </w:rPr>
        <w:t xml:space="preserve"> </w:t>
      </w:r>
      <w:r w:rsidRPr="00A957AF">
        <w:rPr>
          <w:rFonts w:ascii="Arial" w:hAnsi="Arial" w:cs="Arial"/>
          <w:b/>
          <w:bCs/>
          <w:color w:val="000000"/>
          <w:sz w:val="20"/>
        </w:rPr>
        <w:t>465</w:t>
      </w:r>
      <w:r w:rsidRPr="00A957AF">
        <w:rPr>
          <w:rFonts w:ascii="Arial" w:hAnsi="Arial" w:cs="Arial"/>
          <w:color w:val="000000"/>
          <w:sz w:val="20"/>
        </w:rPr>
        <w:t>, 23–37 (2021).</w:t>
      </w:r>
    </w:p>
    <w:p w14:paraId="786D33E8"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56. </w:t>
      </w:r>
      <w:r w:rsidRPr="00A957AF">
        <w:rPr>
          <w:rFonts w:ascii="Arial" w:hAnsi="Arial" w:cs="Arial"/>
          <w:color w:val="000000"/>
          <w:sz w:val="20"/>
        </w:rPr>
        <w:tab/>
        <w:t xml:space="preserve">E. E. Smith, S. J. Reznik, J. L. Stewart, J. J. B. Allen, Assessing and Conceptualizing Frontal EEG Asymmetry: An Updated Primer on Recording, Processing, Analyzing, and Interpreting Frontal Alpha Asymmetry. </w:t>
      </w:r>
      <w:r w:rsidRPr="00A957AF">
        <w:rPr>
          <w:rFonts w:ascii="Arial" w:hAnsi="Arial" w:cs="Arial"/>
          <w:i/>
          <w:iCs/>
          <w:color w:val="000000"/>
          <w:sz w:val="20"/>
        </w:rPr>
        <w:t>Int J Psychophysiol</w:t>
      </w:r>
      <w:r w:rsidRPr="00A957AF">
        <w:rPr>
          <w:rFonts w:ascii="Arial" w:hAnsi="Arial" w:cs="Arial"/>
          <w:color w:val="000000"/>
          <w:sz w:val="20"/>
        </w:rPr>
        <w:t xml:space="preserve"> </w:t>
      </w:r>
      <w:r w:rsidRPr="00A957AF">
        <w:rPr>
          <w:rFonts w:ascii="Arial" w:hAnsi="Arial" w:cs="Arial"/>
          <w:b/>
          <w:bCs/>
          <w:color w:val="000000"/>
          <w:sz w:val="20"/>
        </w:rPr>
        <w:t>111</w:t>
      </w:r>
      <w:r w:rsidRPr="00A957AF">
        <w:rPr>
          <w:rFonts w:ascii="Arial" w:hAnsi="Arial" w:cs="Arial"/>
          <w:color w:val="000000"/>
          <w:sz w:val="20"/>
        </w:rPr>
        <w:t>, 98–114 (2017).</w:t>
      </w:r>
    </w:p>
    <w:p w14:paraId="106D3455"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57. </w:t>
      </w:r>
      <w:r w:rsidRPr="00A957AF">
        <w:rPr>
          <w:rFonts w:ascii="Arial" w:hAnsi="Arial" w:cs="Arial"/>
          <w:color w:val="000000"/>
          <w:sz w:val="20"/>
        </w:rPr>
        <w:tab/>
        <w:t xml:space="preserve">I. A. Danstrom, </w:t>
      </w:r>
      <w:r w:rsidRPr="00A957AF">
        <w:rPr>
          <w:rFonts w:ascii="Arial" w:hAnsi="Arial" w:cs="Arial"/>
          <w:i/>
          <w:iCs/>
          <w:color w:val="000000"/>
          <w:sz w:val="20"/>
        </w:rPr>
        <w:t>et al.</w:t>
      </w:r>
      <w:r w:rsidRPr="00A957AF">
        <w:rPr>
          <w:rFonts w:ascii="Arial" w:hAnsi="Arial" w:cs="Arial"/>
          <w:color w:val="000000"/>
          <w:sz w:val="20"/>
        </w:rPr>
        <w:t xml:space="preserve">, Asymmetric Cingulum Bundle Connectivity Is Modulated by Paracingulate Sulcus Morphology. </w:t>
      </w:r>
      <w:r w:rsidRPr="00A957AF">
        <w:rPr>
          <w:rFonts w:ascii="Arial" w:hAnsi="Arial" w:cs="Arial"/>
          <w:i/>
          <w:iCs/>
          <w:color w:val="000000"/>
          <w:sz w:val="20"/>
        </w:rPr>
        <w:t>Hum Brain Mapp</w:t>
      </w:r>
      <w:r w:rsidRPr="00A957AF">
        <w:rPr>
          <w:rFonts w:ascii="Arial" w:hAnsi="Arial" w:cs="Arial"/>
          <w:color w:val="000000"/>
          <w:sz w:val="20"/>
        </w:rPr>
        <w:t xml:space="preserve"> </w:t>
      </w:r>
      <w:r w:rsidRPr="00A957AF">
        <w:rPr>
          <w:rFonts w:ascii="Arial" w:hAnsi="Arial" w:cs="Arial"/>
          <w:b/>
          <w:bCs/>
          <w:color w:val="000000"/>
          <w:sz w:val="20"/>
        </w:rPr>
        <w:t>46</w:t>
      </w:r>
      <w:r w:rsidRPr="00A957AF">
        <w:rPr>
          <w:rFonts w:ascii="Arial" w:hAnsi="Arial" w:cs="Arial"/>
          <w:color w:val="000000"/>
          <w:sz w:val="20"/>
        </w:rPr>
        <w:t>, e70230 (2025).</w:t>
      </w:r>
    </w:p>
    <w:p w14:paraId="487D6DAE"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58. </w:t>
      </w:r>
      <w:r w:rsidRPr="00A957AF">
        <w:rPr>
          <w:rFonts w:ascii="Arial" w:hAnsi="Arial" w:cs="Arial"/>
          <w:color w:val="000000"/>
          <w:sz w:val="20"/>
        </w:rPr>
        <w:tab/>
        <w:t xml:space="preserve">Y. Kubota, </w:t>
      </w:r>
      <w:r w:rsidRPr="00A957AF">
        <w:rPr>
          <w:rFonts w:ascii="Arial" w:hAnsi="Arial" w:cs="Arial"/>
          <w:i/>
          <w:iCs/>
          <w:color w:val="000000"/>
          <w:sz w:val="20"/>
        </w:rPr>
        <w:t>et al.</w:t>
      </w:r>
      <w:r w:rsidRPr="00A957AF">
        <w:rPr>
          <w:rFonts w:ascii="Arial" w:hAnsi="Arial" w:cs="Arial"/>
          <w:color w:val="000000"/>
          <w:sz w:val="20"/>
        </w:rPr>
        <w:t xml:space="preserve">, In vivo human hippocampal cingulate connectivity: A corticocortical evoked potentials (CCEPs) study. </w:t>
      </w:r>
      <w:r w:rsidRPr="00A957AF">
        <w:rPr>
          <w:rFonts w:ascii="Arial" w:hAnsi="Arial" w:cs="Arial"/>
          <w:i/>
          <w:iCs/>
          <w:color w:val="000000"/>
          <w:sz w:val="20"/>
        </w:rPr>
        <w:t>Clinical Neurophysiology</w:t>
      </w:r>
      <w:r w:rsidRPr="00A957AF">
        <w:rPr>
          <w:rFonts w:ascii="Arial" w:hAnsi="Arial" w:cs="Arial"/>
          <w:color w:val="000000"/>
          <w:sz w:val="20"/>
        </w:rPr>
        <w:t xml:space="preserve"> </w:t>
      </w:r>
      <w:r w:rsidRPr="00A957AF">
        <w:rPr>
          <w:rFonts w:ascii="Arial" w:hAnsi="Arial" w:cs="Arial"/>
          <w:b/>
          <w:bCs/>
          <w:color w:val="000000"/>
          <w:sz w:val="20"/>
        </w:rPr>
        <w:t>124</w:t>
      </w:r>
      <w:r w:rsidRPr="00A957AF">
        <w:rPr>
          <w:rFonts w:ascii="Arial" w:hAnsi="Arial" w:cs="Arial"/>
          <w:color w:val="000000"/>
          <w:sz w:val="20"/>
        </w:rPr>
        <w:t>, 1547–1556 (2013).</w:t>
      </w:r>
    </w:p>
    <w:p w14:paraId="0EE58D0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59. </w:t>
      </w:r>
      <w:r w:rsidRPr="00A957AF">
        <w:rPr>
          <w:rFonts w:ascii="Arial" w:hAnsi="Arial" w:cs="Arial"/>
          <w:color w:val="000000"/>
          <w:sz w:val="20"/>
        </w:rPr>
        <w:tab/>
        <w:t xml:space="preserve">J.-D. Lemaréchal, </w:t>
      </w:r>
      <w:r w:rsidRPr="00A957AF">
        <w:rPr>
          <w:rFonts w:ascii="Arial" w:hAnsi="Arial" w:cs="Arial"/>
          <w:i/>
          <w:iCs/>
          <w:color w:val="000000"/>
          <w:sz w:val="20"/>
        </w:rPr>
        <w:t>et al.</w:t>
      </w:r>
      <w:r w:rsidRPr="00A957AF">
        <w:rPr>
          <w:rFonts w:ascii="Arial" w:hAnsi="Arial" w:cs="Arial"/>
          <w:color w:val="000000"/>
          <w:sz w:val="20"/>
        </w:rPr>
        <w:t xml:space="preserve">, A brain atlas of axonal and synaptic delays based on modelling of cortico-cortical evoked potentials. </w:t>
      </w:r>
      <w:r w:rsidRPr="00A957AF">
        <w:rPr>
          <w:rFonts w:ascii="Arial" w:hAnsi="Arial" w:cs="Arial"/>
          <w:i/>
          <w:iCs/>
          <w:color w:val="000000"/>
          <w:sz w:val="20"/>
        </w:rPr>
        <w:t>Brain</w:t>
      </w:r>
      <w:r w:rsidRPr="00A957AF">
        <w:rPr>
          <w:rFonts w:ascii="Arial" w:hAnsi="Arial" w:cs="Arial"/>
          <w:color w:val="000000"/>
          <w:sz w:val="20"/>
        </w:rPr>
        <w:t xml:space="preserve"> </w:t>
      </w:r>
      <w:r w:rsidRPr="00A957AF">
        <w:rPr>
          <w:rFonts w:ascii="Arial" w:hAnsi="Arial" w:cs="Arial"/>
          <w:b/>
          <w:bCs/>
          <w:color w:val="000000"/>
          <w:sz w:val="20"/>
        </w:rPr>
        <w:t>145</w:t>
      </w:r>
      <w:r w:rsidRPr="00A957AF">
        <w:rPr>
          <w:rFonts w:ascii="Arial" w:hAnsi="Arial" w:cs="Arial"/>
          <w:color w:val="000000"/>
          <w:sz w:val="20"/>
        </w:rPr>
        <w:t>, 1653–1667 (2022).</w:t>
      </w:r>
    </w:p>
    <w:p w14:paraId="175FC65F"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60. </w:t>
      </w:r>
      <w:r w:rsidRPr="00A957AF">
        <w:rPr>
          <w:rFonts w:ascii="Arial" w:hAnsi="Arial" w:cs="Arial"/>
          <w:color w:val="000000"/>
          <w:sz w:val="20"/>
        </w:rPr>
        <w:tab/>
        <w:t xml:space="preserve">Y. Huang, </w:t>
      </w:r>
      <w:r w:rsidRPr="00A957AF">
        <w:rPr>
          <w:rFonts w:ascii="Arial" w:hAnsi="Arial" w:cs="Arial"/>
          <w:i/>
          <w:iCs/>
          <w:color w:val="000000"/>
          <w:sz w:val="20"/>
        </w:rPr>
        <w:t>et al.</w:t>
      </w:r>
      <w:r w:rsidRPr="00A957AF">
        <w:rPr>
          <w:rFonts w:ascii="Arial" w:hAnsi="Arial" w:cs="Arial"/>
          <w:color w:val="000000"/>
          <w:sz w:val="20"/>
        </w:rPr>
        <w:t xml:space="preserve">, Theta-burst direct electrical stimulation remodels human brain networks. </w:t>
      </w:r>
      <w:r w:rsidRPr="00A957AF">
        <w:rPr>
          <w:rFonts w:ascii="Arial" w:hAnsi="Arial" w:cs="Arial"/>
          <w:i/>
          <w:iCs/>
          <w:color w:val="000000"/>
          <w:sz w:val="20"/>
        </w:rPr>
        <w:t>Nat Commun</w:t>
      </w:r>
      <w:r w:rsidRPr="00A957AF">
        <w:rPr>
          <w:rFonts w:ascii="Arial" w:hAnsi="Arial" w:cs="Arial"/>
          <w:color w:val="000000"/>
          <w:sz w:val="20"/>
        </w:rPr>
        <w:t xml:space="preserve"> </w:t>
      </w:r>
      <w:r w:rsidRPr="00A957AF">
        <w:rPr>
          <w:rFonts w:ascii="Arial" w:hAnsi="Arial" w:cs="Arial"/>
          <w:b/>
          <w:bCs/>
          <w:color w:val="000000"/>
          <w:sz w:val="20"/>
        </w:rPr>
        <w:t>15</w:t>
      </w:r>
      <w:r w:rsidRPr="00A957AF">
        <w:rPr>
          <w:rFonts w:ascii="Arial" w:hAnsi="Arial" w:cs="Arial"/>
          <w:color w:val="000000"/>
          <w:sz w:val="20"/>
        </w:rPr>
        <w:t>, 6982 (2024).</w:t>
      </w:r>
    </w:p>
    <w:p w14:paraId="5049DDE9"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61. </w:t>
      </w:r>
      <w:r w:rsidRPr="00A957AF">
        <w:rPr>
          <w:rFonts w:ascii="Arial" w:hAnsi="Arial" w:cs="Arial"/>
          <w:color w:val="000000"/>
          <w:sz w:val="20"/>
        </w:rPr>
        <w:tab/>
        <w:t xml:space="preserve">G. Schalk, D. J. McFarland, T. Hinterberger, N. Birbaumer, J. R. Wolpaw, BCI2000: a general-purpose brain-computer interface (BCI) system. </w:t>
      </w:r>
      <w:r w:rsidRPr="00A957AF">
        <w:rPr>
          <w:rFonts w:ascii="Arial" w:hAnsi="Arial" w:cs="Arial"/>
          <w:i/>
          <w:iCs/>
          <w:color w:val="000000"/>
          <w:sz w:val="20"/>
        </w:rPr>
        <w:t>IEEE Transactions on Biomedical Engineering</w:t>
      </w:r>
      <w:r w:rsidRPr="00A957AF">
        <w:rPr>
          <w:rFonts w:ascii="Arial" w:hAnsi="Arial" w:cs="Arial"/>
          <w:color w:val="000000"/>
          <w:sz w:val="20"/>
        </w:rPr>
        <w:t xml:space="preserve"> </w:t>
      </w:r>
      <w:r w:rsidRPr="00A957AF">
        <w:rPr>
          <w:rFonts w:ascii="Arial" w:hAnsi="Arial" w:cs="Arial"/>
          <w:b/>
          <w:bCs/>
          <w:color w:val="000000"/>
          <w:sz w:val="20"/>
        </w:rPr>
        <w:t>51</w:t>
      </w:r>
      <w:r w:rsidRPr="00A957AF">
        <w:rPr>
          <w:rFonts w:ascii="Arial" w:hAnsi="Arial" w:cs="Arial"/>
          <w:color w:val="000000"/>
          <w:sz w:val="20"/>
        </w:rPr>
        <w:t>, 1034–1043 (2004).</w:t>
      </w:r>
    </w:p>
    <w:p w14:paraId="3CD324B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62. </w:t>
      </w:r>
      <w:r w:rsidRPr="00A957AF">
        <w:rPr>
          <w:rFonts w:ascii="Arial" w:hAnsi="Arial" w:cs="Arial"/>
          <w:color w:val="000000"/>
          <w:sz w:val="20"/>
        </w:rPr>
        <w:tab/>
        <w:t>M. Adamek, R. Swift, James, P. Brunner, VERA - a versatile electrode localization framework. (2022). https://doi.org/10.5281/zenodo.7486842. Deposited December 2022.</w:t>
      </w:r>
    </w:p>
    <w:p w14:paraId="0B3437A2"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lastRenderedPageBreak/>
        <w:t xml:space="preserve">63. </w:t>
      </w:r>
      <w:r w:rsidRPr="00A957AF">
        <w:rPr>
          <w:rFonts w:ascii="Arial" w:hAnsi="Arial" w:cs="Arial"/>
          <w:color w:val="000000"/>
          <w:sz w:val="20"/>
        </w:rPr>
        <w:tab/>
        <w:t xml:space="preserve">C. DESTRIEUX, B. FISCHL, A. DALE, E. HALGREN, Automatic parcellation of human cortical gyri and sulci using standard anatomical nomenclature. </w:t>
      </w:r>
      <w:r w:rsidRPr="00A957AF">
        <w:rPr>
          <w:rFonts w:ascii="Arial" w:hAnsi="Arial" w:cs="Arial"/>
          <w:i/>
          <w:iCs/>
          <w:color w:val="000000"/>
          <w:sz w:val="20"/>
        </w:rPr>
        <w:t>Neuroimage</w:t>
      </w:r>
      <w:r w:rsidRPr="00A957AF">
        <w:rPr>
          <w:rFonts w:ascii="Arial" w:hAnsi="Arial" w:cs="Arial"/>
          <w:color w:val="000000"/>
          <w:sz w:val="20"/>
        </w:rPr>
        <w:t xml:space="preserve"> </w:t>
      </w:r>
      <w:r w:rsidRPr="00A957AF">
        <w:rPr>
          <w:rFonts w:ascii="Arial" w:hAnsi="Arial" w:cs="Arial"/>
          <w:b/>
          <w:bCs/>
          <w:color w:val="000000"/>
          <w:sz w:val="20"/>
        </w:rPr>
        <w:t>53</w:t>
      </w:r>
      <w:r w:rsidRPr="00A957AF">
        <w:rPr>
          <w:rFonts w:ascii="Arial" w:hAnsi="Arial" w:cs="Arial"/>
          <w:color w:val="000000"/>
          <w:sz w:val="20"/>
        </w:rPr>
        <w:t>, 1–15 (2010).</w:t>
      </w:r>
    </w:p>
    <w:p w14:paraId="6D46E956"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64. </w:t>
      </w:r>
      <w:r w:rsidRPr="00A957AF">
        <w:rPr>
          <w:rFonts w:ascii="Arial" w:hAnsi="Arial" w:cs="Arial"/>
          <w:color w:val="000000"/>
          <w:sz w:val="20"/>
        </w:rPr>
        <w:tab/>
        <w:t xml:space="preserve">R. Matsumoto, T. Kunieda, D. Nair, Single pulse electrical stimulation to probe functional and pathological connectivity in epilepsy. </w:t>
      </w:r>
      <w:r w:rsidRPr="00A957AF">
        <w:rPr>
          <w:rFonts w:ascii="Arial" w:hAnsi="Arial" w:cs="Arial"/>
          <w:i/>
          <w:iCs/>
          <w:color w:val="000000"/>
          <w:sz w:val="20"/>
        </w:rPr>
        <w:t>Seizure</w:t>
      </w:r>
      <w:r w:rsidRPr="00A957AF">
        <w:rPr>
          <w:rFonts w:ascii="Arial" w:hAnsi="Arial" w:cs="Arial"/>
          <w:color w:val="000000"/>
          <w:sz w:val="20"/>
        </w:rPr>
        <w:t xml:space="preserve"> </w:t>
      </w:r>
      <w:r w:rsidRPr="00A957AF">
        <w:rPr>
          <w:rFonts w:ascii="Arial" w:hAnsi="Arial" w:cs="Arial"/>
          <w:b/>
          <w:bCs/>
          <w:color w:val="000000"/>
          <w:sz w:val="20"/>
        </w:rPr>
        <w:t>44</w:t>
      </w:r>
      <w:r w:rsidRPr="00A957AF">
        <w:rPr>
          <w:rFonts w:ascii="Arial" w:hAnsi="Arial" w:cs="Arial"/>
          <w:color w:val="000000"/>
          <w:sz w:val="20"/>
        </w:rPr>
        <w:t>, 27–36 (2017).</w:t>
      </w:r>
    </w:p>
    <w:p w14:paraId="54727DE1"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65. </w:t>
      </w:r>
      <w:r w:rsidRPr="00A957AF">
        <w:rPr>
          <w:rFonts w:ascii="Arial" w:hAnsi="Arial" w:cs="Arial"/>
          <w:color w:val="000000"/>
          <w:sz w:val="20"/>
        </w:rPr>
        <w:tab/>
        <w:t xml:space="preserve">L. J. Crowther, </w:t>
      </w:r>
      <w:r w:rsidRPr="00A957AF">
        <w:rPr>
          <w:rFonts w:ascii="Arial" w:hAnsi="Arial" w:cs="Arial"/>
          <w:i/>
          <w:iCs/>
          <w:color w:val="000000"/>
          <w:sz w:val="20"/>
        </w:rPr>
        <w:t>et al.</w:t>
      </w:r>
      <w:r w:rsidRPr="00A957AF">
        <w:rPr>
          <w:rFonts w:ascii="Arial" w:hAnsi="Arial" w:cs="Arial"/>
          <w:color w:val="000000"/>
          <w:sz w:val="20"/>
        </w:rPr>
        <w:t xml:space="preserve">, A quantitative method for evaluating cortical responses to electrical stimulation. </w:t>
      </w:r>
      <w:r w:rsidRPr="00A957AF">
        <w:rPr>
          <w:rFonts w:ascii="Arial" w:hAnsi="Arial" w:cs="Arial"/>
          <w:i/>
          <w:iCs/>
          <w:color w:val="000000"/>
          <w:sz w:val="20"/>
        </w:rPr>
        <w:t>Journal of Neuroscience Methods</w:t>
      </w:r>
      <w:r w:rsidRPr="00A957AF">
        <w:rPr>
          <w:rFonts w:ascii="Arial" w:hAnsi="Arial" w:cs="Arial"/>
          <w:color w:val="000000"/>
          <w:sz w:val="20"/>
        </w:rPr>
        <w:t xml:space="preserve"> </w:t>
      </w:r>
      <w:r w:rsidRPr="00A957AF">
        <w:rPr>
          <w:rFonts w:ascii="Arial" w:hAnsi="Arial" w:cs="Arial"/>
          <w:b/>
          <w:bCs/>
          <w:color w:val="000000"/>
          <w:sz w:val="20"/>
        </w:rPr>
        <w:t>311</w:t>
      </w:r>
      <w:r w:rsidRPr="00A957AF">
        <w:rPr>
          <w:rFonts w:ascii="Arial" w:hAnsi="Arial" w:cs="Arial"/>
          <w:color w:val="000000"/>
          <w:sz w:val="20"/>
        </w:rPr>
        <w:t>, 67–75 (2019).</w:t>
      </w:r>
    </w:p>
    <w:p w14:paraId="47540152"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66. </w:t>
      </w:r>
      <w:r w:rsidRPr="00A957AF">
        <w:rPr>
          <w:rFonts w:ascii="Arial" w:hAnsi="Arial" w:cs="Arial"/>
          <w:color w:val="000000"/>
          <w:sz w:val="20"/>
        </w:rPr>
        <w:tab/>
        <w:t xml:space="preserve">Y. Chen, New Approaches for Calculating Moran’s Index of Spatial Autocorrelation. </w:t>
      </w:r>
      <w:r w:rsidRPr="00A957AF">
        <w:rPr>
          <w:rFonts w:ascii="Arial" w:hAnsi="Arial" w:cs="Arial"/>
          <w:i/>
          <w:iCs/>
          <w:color w:val="000000"/>
          <w:sz w:val="20"/>
        </w:rPr>
        <w:t>PLoS One</w:t>
      </w:r>
      <w:r w:rsidRPr="00A957AF">
        <w:rPr>
          <w:rFonts w:ascii="Arial" w:hAnsi="Arial" w:cs="Arial"/>
          <w:color w:val="000000"/>
          <w:sz w:val="20"/>
        </w:rPr>
        <w:t xml:space="preserve"> </w:t>
      </w:r>
      <w:r w:rsidRPr="00A957AF">
        <w:rPr>
          <w:rFonts w:ascii="Arial" w:hAnsi="Arial" w:cs="Arial"/>
          <w:b/>
          <w:bCs/>
          <w:color w:val="000000"/>
          <w:sz w:val="20"/>
        </w:rPr>
        <w:t>8</w:t>
      </w:r>
      <w:r w:rsidRPr="00A957AF">
        <w:rPr>
          <w:rFonts w:ascii="Arial" w:hAnsi="Arial" w:cs="Arial"/>
          <w:color w:val="000000"/>
          <w:sz w:val="20"/>
        </w:rPr>
        <w:t>, e68336 (2013).</w:t>
      </w:r>
    </w:p>
    <w:p w14:paraId="7CC385CB"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67. </w:t>
      </w:r>
      <w:r w:rsidRPr="00A957AF">
        <w:rPr>
          <w:rFonts w:ascii="Arial" w:hAnsi="Arial" w:cs="Arial"/>
          <w:color w:val="000000"/>
          <w:sz w:val="20"/>
        </w:rPr>
        <w:tab/>
        <w:t xml:space="preserve">R. Killick, P. Fearnhead, I. A. Eckley, Optimal detection of changepoints with a linear computational cost. </w:t>
      </w:r>
      <w:r w:rsidRPr="00A957AF">
        <w:rPr>
          <w:rFonts w:ascii="Arial" w:hAnsi="Arial" w:cs="Arial"/>
          <w:i/>
          <w:iCs/>
          <w:color w:val="000000"/>
          <w:sz w:val="20"/>
        </w:rPr>
        <w:t>Journal of the American Statistical Association</w:t>
      </w:r>
      <w:r w:rsidRPr="00A957AF">
        <w:rPr>
          <w:rFonts w:ascii="Arial" w:hAnsi="Arial" w:cs="Arial"/>
          <w:color w:val="000000"/>
          <w:sz w:val="20"/>
        </w:rPr>
        <w:t xml:space="preserve"> </w:t>
      </w:r>
      <w:r w:rsidRPr="00A957AF">
        <w:rPr>
          <w:rFonts w:ascii="Arial" w:hAnsi="Arial" w:cs="Arial"/>
          <w:b/>
          <w:bCs/>
          <w:color w:val="000000"/>
          <w:sz w:val="20"/>
        </w:rPr>
        <w:t>107</w:t>
      </w:r>
      <w:r w:rsidRPr="00A957AF">
        <w:rPr>
          <w:rFonts w:ascii="Arial" w:hAnsi="Arial" w:cs="Arial"/>
          <w:color w:val="000000"/>
          <w:sz w:val="20"/>
        </w:rPr>
        <w:t>, 1590–1598 (2012).</w:t>
      </w:r>
    </w:p>
    <w:p w14:paraId="73F0C93C"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68. </w:t>
      </w:r>
      <w:r w:rsidRPr="00A957AF">
        <w:rPr>
          <w:rFonts w:ascii="Arial" w:hAnsi="Arial" w:cs="Arial"/>
          <w:color w:val="000000"/>
          <w:sz w:val="20"/>
        </w:rPr>
        <w:tab/>
        <w:t xml:space="preserve">E. E. Cureton, Rank-biserial correlation. </w:t>
      </w:r>
      <w:r w:rsidRPr="00A957AF">
        <w:rPr>
          <w:rFonts w:ascii="Arial" w:hAnsi="Arial" w:cs="Arial"/>
          <w:i/>
          <w:iCs/>
          <w:color w:val="000000"/>
          <w:sz w:val="20"/>
        </w:rPr>
        <w:t>Psychometrika</w:t>
      </w:r>
      <w:r w:rsidRPr="00A957AF">
        <w:rPr>
          <w:rFonts w:ascii="Arial" w:hAnsi="Arial" w:cs="Arial"/>
          <w:color w:val="000000"/>
          <w:sz w:val="20"/>
        </w:rPr>
        <w:t xml:space="preserve"> </w:t>
      </w:r>
      <w:r w:rsidRPr="00A957AF">
        <w:rPr>
          <w:rFonts w:ascii="Arial" w:hAnsi="Arial" w:cs="Arial"/>
          <w:b/>
          <w:bCs/>
          <w:color w:val="000000"/>
          <w:sz w:val="20"/>
        </w:rPr>
        <w:t>21</w:t>
      </w:r>
      <w:r w:rsidRPr="00A957AF">
        <w:rPr>
          <w:rFonts w:ascii="Arial" w:hAnsi="Arial" w:cs="Arial"/>
          <w:color w:val="000000"/>
          <w:sz w:val="20"/>
        </w:rPr>
        <w:t>, 287–290 (1956).</w:t>
      </w:r>
    </w:p>
    <w:p w14:paraId="7764F2D0"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69. </w:t>
      </w:r>
      <w:r w:rsidRPr="00A957AF">
        <w:rPr>
          <w:rFonts w:ascii="Arial" w:hAnsi="Arial" w:cs="Arial"/>
          <w:color w:val="000000"/>
          <w:sz w:val="20"/>
        </w:rPr>
        <w:tab/>
        <w:t xml:space="preserve">L. Breiman, Random Forests. </w:t>
      </w:r>
      <w:r w:rsidRPr="00A957AF">
        <w:rPr>
          <w:rFonts w:ascii="Arial" w:hAnsi="Arial" w:cs="Arial"/>
          <w:i/>
          <w:iCs/>
          <w:color w:val="000000"/>
          <w:sz w:val="20"/>
        </w:rPr>
        <w:t>Machine Learning</w:t>
      </w:r>
      <w:r w:rsidRPr="00A957AF">
        <w:rPr>
          <w:rFonts w:ascii="Arial" w:hAnsi="Arial" w:cs="Arial"/>
          <w:color w:val="000000"/>
          <w:sz w:val="20"/>
        </w:rPr>
        <w:t xml:space="preserve"> </w:t>
      </w:r>
      <w:r w:rsidRPr="00A957AF">
        <w:rPr>
          <w:rFonts w:ascii="Arial" w:hAnsi="Arial" w:cs="Arial"/>
          <w:b/>
          <w:bCs/>
          <w:color w:val="000000"/>
          <w:sz w:val="20"/>
        </w:rPr>
        <w:t>45</w:t>
      </w:r>
      <w:r w:rsidRPr="00A957AF">
        <w:rPr>
          <w:rFonts w:ascii="Arial" w:hAnsi="Arial" w:cs="Arial"/>
          <w:color w:val="000000"/>
          <w:sz w:val="20"/>
        </w:rPr>
        <w:t>, 5–32 (2001).</w:t>
      </w:r>
    </w:p>
    <w:p w14:paraId="76C404AE" w14:textId="77777777" w:rsidR="00A957AF" w:rsidRPr="00A957AF" w:rsidRDefault="00A957AF" w:rsidP="00A957AF">
      <w:pPr>
        <w:pStyle w:val="Bibliography"/>
        <w:rPr>
          <w:rFonts w:ascii="Arial" w:hAnsi="Arial" w:cs="Arial"/>
          <w:color w:val="000000"/>
          <w:sz w:val="20"/>
        </w:rPr>
      </w:pPr>
      <w:r w:rsidRPr="00A957AF">
        <w:rPr>
          <w:rFonts w:ascii="Arial" w:hAnsi="Arial" w:cs="Arial"/>
          <w:color w:val="000000"/>
          <w:sz w:val="20"/>
        </w:rPr>
        <w:t xml:space="preserve">70. </w:t>
      </w:r>
      <w:r w:rsidRPr="00A957AF">
        <w:rPr>
          <w:rFonts w:ascii="Arial" w:hAnsi="Arial" w:cs="Arial"/>
          <w:color w:val="000000"/>
          <w:sz w:val="20"/>
        </w:rPr>
        <w:tab/>
        <w:t xml:space="preserve">A. Fisher, C. Rudin, F. Dominici, All Models are Wrong, but Many are Useful: Learning a Variable’s Importance by Studying an Entire Class of Prediction Models Simultaneously. </w:t>
      </w:r>
      <w:r w:rsidRPr="00A957AF">
        <w:rPr>
          <w:rFonts w:ascii="Arial" w:hAnsi="Arial" w:cs="Arial"/>
          <w:i/>
          <w:iCs/>
          <w:color w:val="000000"/>
          <w:sz w:val="20"/>
        </w:rPr>
        <w:t>J Mach Learn Res</w:t>
      </w:r>
      <w:r w:rsidRPr="00A957AF">
        <w:rPr>
          <w:rFonts w:ascii="Arial" w:hAnsi="Arial" w:cs="Arial"/>
          <w:color w:val="000000"/>
          <w:sz w:val="20"/>
        </w:rPr>
        <w:t xml:space="preserve"> </w:t>
      </w:r>
      <w:r w:rsidRPr="00A957AF">
        <w:rPr>
          <w:rFonts w:ascii="Arial" w:hAnsi="Arial" w:cs="Arial"/>
          <w:b/>
          <w:bCs/>
          <w:color w:val="000000"/>
          <w:sz w:val="20"/>
        </w:rPr>
        <w:t>20</w:t>
      </w:r>
      <w:r w:rsidRPr="00A957AF">
        <w:rPr>
          <w:rFonts w:ascii="Arial" w:hAnsi="Arial" w:cs="Arial"/>
          <w:color w:val="000000"/>
          <w:sz w:val="20"/>
        </w:rPr>
        <w:t>, 177 (2019).</w:t>
      </w:r>
    </w:p>
    <w:p w14:paraId="16C7C6A4" w14:textId="18A99476" w:rsidR="00A957AF" w:rsidRPr="005B4F50" w:rsidRDefault="00A957AF" w:rsidP="00750445">
      <w:pPr>
        <w:pBdr>
          <w:top w:val="nil"/>
          <w:left w:val="nil"/>
          <w:bottom w:val="nil"/>
          <w:right w:val="nil"/>
          <w:between w:val="nil"/>
        </w:pBdr>
        <w:contextualSpacing/>
        <w:rPr>
          <w:rFonts w:ascii="Arial" w:hAnsi="Arial" w:cs="Arial"/>
          <w:color w:val="000000"/>
          <w:sz w:val="20"/>
          <w:szCs w:val="20"/>
        </w:rPr>
      </w:pPr>
      <w:r>
        <w:rPr>
          <w:rFonts w:ascii="Arial" w:hAnsi="Arial" w:cs="Arial"/>
          <w:color w:val="000000"/>
          <w:sz w:val="20"/>
          <w:szCs w:val="20"/>
        </w:rPr>
        <w:fldChar w:fldCharType="end"/>
      </w:r>
    </w:p>
    <w:p w14:paraId="76CAD249" w14:textId="77777777" w:rsidR="00750445" w:rsidRPr="005B4F50" w:rsidRDefault="00750445" w:rsidP="00750445">
      <w:pPr>
        <w:keepNext/>
        <w:pBdr>
          <w:top w:val="nil"/>
          <w:left w:val="nil"/>
          <w:bottom w:val="nil"/>
          <w:right w:val="nil"/>
          <w:between w:val="nil"/>
        </w:pBdr>
        <w:spacing w:before="240" w:after="60"/>
        <w:contextualSpacing/>
        <w:rPr>
          <w:rFonts w:ascii="Arial" w:hAnsi="Arial" w:cs="Arial"/>
          <w:color w:val="000000"/>
          <w:sz w:val="20"/>
          <w:szCs w:val="20"/>
        </w:rPr>
      </w:pPr>
    </w:p>
    <w:p w14:paraId="00876BC2" w14:textId="376D4A5E" w:rsidR="00186CA5" w:rsidRPr="005B4F50" w:rsidRDefault="00980C22" w:rsidP="00750445">
      <w:pPr>
        <w:keepNext/>
        <w:pBdr>
          <w:top w:val="nil"/>
          <w:left w:val="nil"/>
          <w:bottom w:val="nil"/>
          <w:right w:val="nil"/>
          <w:between w:val="nil"/>
        </w:pBdr>
        <w:spacing w:before="240" w:after="60"/>
        <w:contextualSpacing/>
        <w:rPr>
          <w:rFonts w:ascii="Arial" w:hAnsi="Arial" w:cs="Arial"/>
          <w:b/>
          <w:color w:val="000000"/>
          <w:sz w:val="20"/>
          <w:szCs w:val="20"/>
        </w:rPr>
      </w:pPr>
      <w:r w:rsidRPr="005B4F50">
        <w:rPr>
          <w:rFonts w:ascii="Arial" w:hAnsi="Arial" w:cs="Arial"/>
          <w:b/>
          <w:color w:val="000000"/>
          <w:sz w:val="20"/>
          <w:szCs w:val="20"/>
        </w:rPr>
        <w:t>Figures and Tables</w:t>
      </w:r>
    </w:p>
    <w:p w14:paraId="6E4B1278" w14:textId="77777777" w:rsidR="00186CA5" w:rsidRPr="005B4F50" w:rsidRDefault="00186CA5" w:rsidP="00750445">
      <w:pPr>
        <w:keepNext/>
        <w:pBdr>
          <w:top w:val="nil"/>
          <w:left w:val="nil"/>
          <w:bottom w:val="nil"/>
          <w:right w:val="nil"/>
          <w:between w:val="nil"/>
        </w:pBdr>
        <w:spacing w:before="240" w:after="60"/>
        <w:contextualSpacing/>
        <w:rPr>
          <w:rFonts w:ascii="Arial" w:hAnsi="Arial" w:cs="Arial"/>
          <w:b/>
          <w:color w:val="000000"/>
          <w:sz w:val="20"/>
          <w:szCs w:val="20"/>
        </w:rPr>
      </w:pPr>
    </w:p>
    <w:p w14:paraId="558E906B" w14:textId="4DED9280" w:rsidR="00186CA5" w:rsidRPr="005B4F50" w:rsidRDefault="00186CA5" w:rsidP="00750445">
      <w:pPr>
        <w:keepNext/>
        <w:pBdr>
          <w:top w:val="nil"/>
          <w:left w:val="nil"/>
          <w:bottom w:val="nil"/>
          <w:right w:val="nil"/>
          <w:between w:val="nil"/>
        </w:pBdr>
        <w:spacing w:before="240" w:after="60"/>
        <w:contextualSpacing/>
        <w:rPr>
          <w:rFonts w:ascii="Arial" w:hAnsi="Arial" w:cs="Arial"/>
          <w:b/>
          <w:color w:val="000000"/>
          <w:sz w:val="20"/>
          <w:szCs w:val="20"/>
        </w:rPr>
      </w:pPr>
      <w:r w:rsidRPr="005B4F50">
        <w:rPr>
          <w:rFonts w:ascii="Arial" w:hAnsi="Arial" w:cs="Arial"/>
          <w:noProof/>
          <w:sz w:val="20"/>
          <w:szCs w:val="20"/>
        </w:rPr>
        <w:drawing>
          <wp:inline distT="0" distB="0" distL="0" distR="0" wp14:anchorId="0DE0FEA3" wp14:editId="1C8D640B">
            <wp:extent cx="5486400" cy="4482318"/>
            <wp:effectExtent l="0" t="0" r="0" b="1270"/>
            <wp:docPr id="934464985" name="Picture 1" descr="A collage of medic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2607" name="Picture 1" descr="A collage of medical diagram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86400" cy="4482318"/>
                    </a:xfrm>
                    <a:prstGeom prst="rect">
                      <a:avLst/>
                    </a:prstGeom>
                  </pic:spPr>
                </pic:pic>
              </a:graphicData>
            </a:graphic>
          </wp:inline>
        </w:drawing>
      </w:r>
    </w:p>
    <w:p w14:paraId="541A5DA9" w14:textId="4E06A250" w:rsidR="00980C22" w:rsidRPr="005B4F50" w:rsidRDefault="00980C22" w:rsidP="00750445">
      <w:pPr>
        <w:pBdr>
          <w:top w:val="nil"/>
          <w:left w:val="nil"/>
          <w:bottom w:val="nil"/>
          <w:right w:val="nil"/>
          <w:between w:val="nil"/>
        </w:pBdr>
        <w:contextualSpacing/>
        <w:rPr>
          <w:rFonts w:ascii="Arial" w:hAnsi="Arial" w:cs="Arial"/>
          <w:color w:val="000000"/>
          <w:sz w:val="20"/>
          <w:szCs w:val="20"/>
        </w:rPr>
      </w:pPr>
    </w:p>
    <w:p w14:paraId="00E2C86D" w14:textId="746EBD6B" w:rsidR="00980C22" w:rsidRPr="005B4F50" w:rsidRDefault="00186CA5" w:rsidP="00750445">
      <w:pPr>
        <w:pBdr>
          <w:top w:val="nil"/>
          <w:left w:val="nil"/>
          <w:bottom w:val="nil"/>
          <w:right w:val="nil"/>
          <w:between w:val="nil"/>
        </w:pBdr>
        <w:contextualSpacing/>
        <w:rPr>
          <w:rFonts w:ascii="Arial" w:hAnsi="Arial" w:cs="Arial"/>
          <w:color w:val="000000"/>
          <w:sz w:val="20"/>
          <w:szCs w:val="20"/>
        </w:rPr>
      </w:pPr>
      <w:r w:rsidRPr="005B4F50">
        <w:rPr>
          <w:rFonts w:ascii="Arial" w:hAnsi="Arial" w:cs="Arial"/>
          <w:noProof/>
          <w:sz w:val="20"/>
          <w:szCs w:val="20"/>
        </w:rPr>
        <mc:AlternateContent>
          <mc:Choice Requires="wps">
            <w:drawing>
              <wp:inline distT="0" distB="0" distL="0" distR="0" wp14:anchorId="57659FB7" wp14:editId="3370BC66">
                <wp:extent cx="5486400" cy="1674891"/>
                <wp:effectExtent l="0" t="0" r="0" b="1905"/>
                <wp:docPr id="1372978314" name="Text Box 1"/>
                <wp:cNvGraphicFramePr/>
                <a:graphic xmlns:a="http://schemas.openxmlformats.org/drawingml/2006/main">
                  <a:graphicData uri="http://schemas.microsoft.com/office/word/2010/wordprocessingShape">
                    <wps:wsp>
                      <wps:cNvSpPr txBox="1"/>
                      <wps:spPr>
                        <a:xfrm>
                          <a:off x="0" y="0"/>
                          <a:ext cx="5486400" cy="1674891"/>
                        </a:xfrm>
                        <a:prstGeom prst="rect">
                          <a:avLst/>
                        </a:prstGeom>
                        <a:solidFill>
                          <a:prstClr val="white"/>
                        </a:solidFill>
                        <a:ln>
                          <a:noFill/>
                        </a:ln>
                      </wps:spPr>
                      <wps:txbx>
                        <w:txbxContent>
                          <w:p w14:paraId="00302DEE" w14:textId="77777777" w:rsidR="00186CA5" w:rsidRPr="005C1681" w:rsidRDefault="00186CA5" w:rsidP="00186CA5">
                            <w:pPr>
                              <w:rPr>
                                <w:sz w:val="18"/>
                                <w:szCs w:val="18"/>
                              </w:rPr>
                            </w:pPr>
                            <w:r w:rsidRPr="00186CA5">
                              <w:rPr>
                                <w:b/>
                                <w:bCs/>
                                <w:sz w:val="18"/>
                                <w:szCs w:val="18"/>
                              </w:rPr>
                              <w:t xml:space="preserve">Figure </w:t>
                            </w:r>
                            <w:r w:rsidRPr="00186CA5">
                              <w:rPr>
                                <w:b/>
                                <w:bCs/>
                                <w:sz w:val="18"/>
                                <w:szCs w:val="18"/>
                              </w:rPr>
                              <w:fldChar w:fldCharType="begin"/>
                            </w:r>
                            <w:r w:rsidRPr="00186CA5">
                              <w:rPr>
                                <w:b/>
                                <w:bCs/>
                                <w:sz w:val="18"/>
                                <w:szCs w:val="18"/>
                              </w:rPr>
                              <w:instrText xml:space="preserve"> SEQ Figure \* ARABIC </w:instrText>
                            </w:r>
                            <w:r w:rsidRPr="00186CA5">
                              <w:rPr>
                                <w:b/>
                                <w:bCs/>
                                <w:sz w:val="18"/>
                                <w:szCs w:val="18"/>
                              </w:rPr>
                              <w:fldChar w:fldCharType="separate"/>
                            </w:r>
                            <w:r w:rsidRPr="00186CA5">
                              <w:rPr>
                                <w:b/>
                                <w:bCs/>
                                <w:noProof/>
                                <w:sz w:val="18"/>
                                <w:szCs w:val="18"/>
                              </w:rPr>
                              <w:t>1</w:t>
                            </w:r>
                            <w:r w:rsidRPr="00186CA5">
                              <w:rPr>
                                <w:b/>
                                <w:bCs/>
                                <w:sz w:val="18"/>
                                <w:szCs w:val="18"/>
                              </w:rPr>
                              <w:fldChar w:fldCharType="end"/>
                            </w:r>
                            <w:r w:rsidRPr="00186CA5">
                              <w:rPr>
                                <w:b/>
                                <w:bCs/>
                                <w:sz w:val="18"/>
                                <w:szCs w:val="18"/>
                              </w:rPr>
                              <w:t>.</w:t>
                            </w:r>
                            <w:r w:rsidRPr="005C1681">
                              <w:rPr>
                                <w:sz w:val="18"/>
                                <w:szCs w:val="18"/>
                              </w:rPr>
                              <w:t xml:space="preserve"> </w:t>
                            </w:r>
                            <w:r w:rsidRPr="005C1681">
                              <w:rPr>
                                <w:i/>
                                <w:iCs/>
                                <w:sz w:val="18"/>
                                <w:szCs w:val="18"/>
                              </w:rPr>
                              <w:t>Experimental overview and anatomical coverage of SEEG recordings and stimulation.</w:t>
                            </w:r>
                            <w:r w:rsidRPr="005C1681">
                              <w:rPr>
                                <w:sz w:val="18"/>
                                <w:szCs w:val="18"/>
                              </w:rPr>
                              <w:t xml:space="preserve"> </w:t>
                            </w:r>
                            <w:r w:rsidRPr="005C1681">
                              <w:rPr>
                                <w:b/>
                                <w:bCs/>
                                <w:sz w:val="18"/>
                                <w:szCs w:val="18"/>
                              </w:rPr>
                              <w:t>(a)</w:t>
                            </w:r>
                            <w:r w:rsidRPr="005C1681">
                              <w:rPr>
                                <w:sz w:val="18"/>
                                <w:szCs w:val="18"/>
                              </w:rPr>
                              <w:t xml:space="preserve"> Schematic of the experimental design. Patients with intractable epilepsy undergoing invasive SEEG monitoring received single-pulse electrical stimulation (6 mA, 0.2-ms biphasic square pulse, 0.5 Hz, 1-2 minutes) to the cingulate cortex (Cg) subregion(s). Cortico-cortical evoked potentials (CCEPs) were recorded from contacts distributed across various brain regions. </w:t>
                            </w:r>
                            <w:r w:rsidRPr="005C1681">
                              <w:rPr>
                                <w:b/>
                                <w:bCs/>
                                <w:sz w:val="18"/>
                                <w:szCs w:val="18"/>
                              </w:rPr>
                              <w:t>(b)</w:t>
                            </w:r>
                            <w:r w:rsidRPr="005C1681">
                              <w:rPr>
                                <w:sz w:val="18"/>
                                <w:szCs w:val="18"/>
                              </w:rPr>
                              <w:t xml:space="preserve"> Anatomical coverage of SEEG contacts pooled from 15 patients, projected onto an MNI-space cortical model generated from volumetric averaging across all patients. The area of the Cg is shown in light red. Colors of contacts represent the major brain regions where contacts were located. </w:t>
                            </w:r>
                            <w:r w:rsidRPr="005C1681">
                              <w:rPr>
                                <w:b/>
                                <w:bCs/>
                                <w:sz w:val="18"/>
                                <w:szCs w:val="18"/>
                              </w:rPr>
                              <w:t>(c)</w:t>
                            </w:r>
                            <w:r w:rsidRPr="005C1681">
                              <w:rPr>
                                <w:sz w:val="18"/>
                                <w:szCs w:val="18"/>
                              </w:rPr>
                              <w:t xml:space="preserve"> Position of contacts within the subregions of the Cg across patients, projected onto a volumetrically averaged MNI-space model, highlighting stimulated (red) and non-stimulated (black) contacts. Bar plots adjacent to the superior cortical view illustrate the distribution of stimulations across Cg subregions and hemispheres. </w:t>
                            </w:r>
                            <w:r w:rsidRPr="005C1681">
                              <w:rPr>
                                <w:b/>
                                <w:bCs/>
                                <w:sz w:val="18"/>
                                <w:szCs w:val="18"/>
                              </w:rPr>
                              <w:t>(d)</w:t>
                            </w:r>
                            <w:r w:rsidRPr="005C1681">
                              <w:rPr>
                                <w:sz w:val="18"/>
                                <w:szCs w:val="18"/>
                              </w:rPr>
                              <w:t xml:space="preserve"> Exemplar CCEP waveforms across representative cortical regions, reflecting distinct morphological qualities elicited by stimulation of different Cg subregions.</w:t>
                            </w:r>
                          </w:p>
                          <w:p w14:paraId="535EBC68" w14:textId="77777777" w:rsidR="00186CA5" w:rsidRPr="005C1681" w:rsidRDefault="00186CA5" w:rsidP="00186CA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57659FB7" id="_x0000_t202" coordsize="21600,21600" o:spt="202" path="m,l,21600r21600,l21600,xe">
                <v:stroke joinstyle="miter"/>
                <v:path gradientshapeok="t" o:connecttype="rect"/>
              </v:shapetype>
              <v:shape id="Text Box 1" o:spid="_x0000_s1026" type="#_x0000_t202" style="width:6in;height:13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" stroked="f">
                <v:textbox inset="0,0,0,0">
                  <w:txbxContent>
                    <w:p w14:paraId="00302DEE" w14:textId="77777777" w:rsidR="00186CA5" w:rsidRPr="005C1681" w:rsidRDefault="00186CA5" w:rsidP="00186CA5">
                      <w:pPr>
                        <w:rPr>
                          <w:sz w:val="18"/>
                          <w:szCs w:val="18"/>
                        </w:rPr>
                      </w:pPr>
                      <w:r w:rsidRPr="00186CA5">
                        <w:rPr>
                          <w:b/>
                          <w:bCs/>
                          <w:sz w:val="18"/>
                          <w:szCs w:val="18"/>
                        </w:rPr>
                        <w:t xml:space="preserve">Figure </w:t>
                      </w:r>
                      <w:r w:rsidRPr="00186CA5">
                        <w:rPr>
                          <w:b/>
                          <w:bCs/>
                          <w:sz w:val="18"/>
                          <w:szCs w:val="18"/>
                        </w:rPr>
                        <w:fldChar w:fldCharType="begin"/>
                      </w:r>
                      <w:r w:rsidRPr="00186CA5">
                        <w:rPr>
                          <w:b/>
                          <w:bCs/>
                          <w:sz w:val="18"/>
                          <w:szCs w:val="18"/>
                        </w:rPr>
                        <w:instrText xml:space="preserve"> SEQ Figure \* ARABIC </w:instrText>
                      </w:r>
                      <w:r w:rsidRPr="00186CA5">
                        <w:rPr>
                          <w:b/>
                          <w:bCs/>
                          <w:sz w:val="18"/>
                          <w:szCs w:val="18"/>
                        </w:rPr>
                        <w:fldChar w:fldCharType="separate"/>
                      </w:r>
                      <w:r w:rsidRPr="00186CA5">
                        <w:rPr>
                          <w:b/>
                          <w:bCs/>
                          <w:noProof/>
                          <w:sz w:val="18"/>
                          <w:szCs w:val="18"/>
                        </w:rPr>
                        <w:t>1</w:t>
                      </w:r>
                      <w:r w:rsidRPr="00186CA5">
                        <w:rPr>
                          <w:b/>
                          <w:bCs/>
                          <w:sz w:val="18"/>
                          <w:szCs w:val="18"/>
                        </w:rPr>
                        <w:fldChar w:fldCharType="end"/>
                      </w:r>
                      <w:r w:rsidRPr="00186CA5">
                        <w:rPr>
                          <w:b/>
                          <w:bCs/>
                          <w:sz w:val="18"/>
                          <w:szCs w:val="18"/>
                        </w:rPr>
                        <w:t>.</w:t>
                      </w:r>
                      <w:r w:rsidRPr="005C1681">
                        <w:rPr>
                          <w:sz w:val="18"/>
                          <w:szCs w:val="18"/>
                        </w:rPr>
                        <w:t xml:space="preserve"> </w:t>
                      </w:r>
                      <w:r w:rsidRPr="005C1681">
                        <w:rPr>
                          <w:i/>
                          <w:iCs/>
                          <w:sz w:val="18"/>
                          <w:szCs w:val="18"/>
                        </w:rPr>
                        <w:t>Experimental overview and anatomical coverage of SEEG recordings and stimulation.</w:t>
                      </w:r>
                      <w:r w:rsidRPr="005C1681">
                        <w:rPr>
                          <w:sz w:val="18"/>
                          <w:szCs w:val="18"/>
                        </w:rPr>
                        <w:t xml:space="preserve"> </w:t>
                      </w:r>
                      <w:r w:rsidRPr="005C1681">
                        <w:rPr>
                          <w:b/>
                          <w:bCs/>
                          <w:sz w:val="18"/>
                          <w:szCs w:val="18"/>
                        </w:rPr>
                        <w:t>(a)</w:t>
                      </w:r>
                      <w:r w:rsidRPr="005C1681">
                        <w:rPr>
                          <w:sz w:val="18"/>
                          <w:szCs w:val="18"/>
                        </w:rPr>
                        <w:t xml:space="preserve"> Schematic of the experimental design. Patients with intractable epilepsy undergoing invasive SEEG monitoring received single-pulse electrical stimulation (6 mA, 0.2-ms biphasic square pulse, 0.5 Hz, 1-2 minutes) to the cingulate cortex (Cg) subregion(s). Cortico-cortical evoked potentials (CCEPs) were recorded from contacts distributed across various brain regions. </w:t>
                      </w:r>
                      <w:r w:rsidRPr="005C1681">
                        <w:rPr>
                          <w:b/>
                          <w:bCs/>
                          <w:sz w:val="18"/>
                          <w:szCs w:val="18"/>
                        </w:rPr>
                        <w:t>(b)</w:t>
                      </w:r>
                      <w:r w:rsidRPr="005C1681">
                        <w:rPr>
                          <w:sz w:val="18"/>
                          <w:szCs w:val="18"/>
                        </w:rPr>
                        <w:t xml:space="preserve"> Anatomical coverage of SEEG contacts pooled from 15 patients, projected onto an MNI-space cortical model generated from volumetric averaging across all patients. The area of the Cg is shown in light red. Colors of contacts represent the major brain regions where contacts were located. </w:t>
                      </w:r>
                      <w:r w:rsidRPr="005C1681">
                        <w:rPr>
                          <w:b/>
                          <w:bCs/>
                          <w:sz w:val="18"/>
                          <w:szCs w:val="18"/>
                        </w:rPr>
                        <w:t>(c)</w:t>
                      </w:r>
                      <w:r w:rsidRPr="005C1681">
                        <w:rPr>
                          <w:sz w:val="18"/>
                          <w:szCs w:val="18"/>
                        </w:rPr>
                        <w:t xml:space="preserve"> Position of contacts within the subregions of the Cg across patients, projected onto a volumetrically averaged MNI-space model, highlighting stimulated (red) and non-stimulated (black) contacts. Bar plots adjacent to the superior cortical view illustrate the distribution of stimulations across Cg subregions and hemispheres. </w:t>
                      </w:r>
                      <w:r w:rsidRPr="005C1681">
                        <w:rPr>
                          <w:b/>
                          <w:bCs/>
                          <w:sz w:val="18"/>
                          <w:szCs w:val="18"/>
                        </w:rPr>
                        <w:t>(d)</w:t>
                      </w:r>
                      <w:r w:rsidRPr="005C1681">
                        <w:rPr>
                          <w:sz w:val="18"/>
                          <w:szCs w:val="18"/>
                        </w:rPr>
                        <w:t xml:space="preserve"> Exemplar CCEP waveforms across representative cortical regions, reflecting distinct morphological qualities elicited by stimulation of different Cg subregions.</w:t>
                      </w:r>
                    </w:p>
                    <w:p w14:paraId="535EBC68" w14:textId="77777777" w:rsidR="00186CA5" w:rsidRPr="005C1681" w:rsidRDefault="00186CA5" w:rsidP="00186CA5">
                      <w:pPr>
                        <w:pStyle w:val="Caption"/>
                        <w:rPr>
                          <w:noProof/>
                        </w:rPr>
                      </w:pPr>
                    </w:p>
                  </w:txbxContent>
                </v:textbox>
                <w10:anchorlock/>
              </v:shape>
            </w:pict>
          </mc:Fallback>
        </mc:AlternateContent>
      </w:r>
    </w:p>
    <w:p w14:paraId="2D3B04E6" w14:textId="6F72B256" w:rsidR="00186CA5" w:rsidRPr="005B4F50" w:rsidRDefault="00186CA5" w:rsidP="00750445">
      <w:pPr>
        <w:pBdr>
          <w:top w:val="nil"/>
          <w:left w:val="nil"/>
          <w:bottom w:val="nil"/>
          <w:right w:val="nil"/>
          <w:between w:val="nil"/>
        </w:pBdr>
        <w:contextualSpacing/>
        <w:rPr>
          <w:rFonts w:ascii="Arial" w:hAnsi="Arial" w:cs="Arial"/>
          <w:color w:val="000000"/>
          <w:sz w:val="20"/>
          <w:szCs w:val="20"/>
        </w:rPr>
      </w:pPr>
      <w:r w:rsidRPr="005B4F50">
        <w:rPr>
          <w:rFonts w:ascii="Arial" w:hAnsi="Arial" w:cs="Arial"/>
          <w:noProof/>
          <w:sz w:val="20"/>
          <w:szCs w:val="20"/>
        </w:rPr>
        <w:lastRenderedPageBreak/>
        <w:drawing>
          <wp:inline distT="0" distB="0" distL="0" distR="0" wp14:anchorId="4463F45C" wp14:editId="6B9A69BF">
            <wp:extent cx="6081395" cy="7870825"/>
            <wp:effectExtent l="0" t="0" r="1905" b="3175"/>
            <wp:docPr id="397671263" name="Picture 1" descr="A collage of diagram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71263" name="Picture 1" descr="A collage of diagrams and graph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1395" cy="7870825"/>
                    </a:xfrm>
                    <a:prstGeom prst="rect">
                      <a:avLst/>
                    </a:prstGeom>
                  </pic:spPr>
                </pic:pic>
              </a:graphicData>
            </a:graphic>
          </wp:inline>
        </w:drawing>
      </w:r>
      <w:r w:rsidRPr="005B4F50">
        <w:rPr>
          <w:rFonts w:ascii="Arial" w:hAnsi="Arial" w:cs="Arial"/>
          <w:noProof/>
          <w:sz w:val="20"/>
          <w:szCs w:val="20"/>
        </w:rPr>
        <w:lastRenderedPageBreak/>
        <mc:AlternateContent>
          <mc:Choice Requires="wps">
            <w:drawing>
              <wp:inline distT="0" distB="0" distL="0" distR="0" wp14:anchorId="711ECC50" wp14:editId="76F2C07D">
                <wp:extent cx="5943600" cy="3385996"/>
                <wp:effectExtent l="0" t="0" r="0" b="5080"/>
                <wp:docPr id="2048128042" name="Text Box 1"/>
                <wp:cNvGraphicFramePr/>
                <a:graphic xmlns:a="http://schemas.openxmlformats.org/drawingml/2006/main">
                  <a:graphicData uri="http://schemas.microsoft.com/office/word/2010/wordprocessingShape">
                    <wps:wsp>
                      <wps:cNvSpPr txBox="1"/>
                      <wps:spPr>
                        <a:xfrm>
                          <a:off x="0" y="0"/>
                          <a:ext cx="5943600" cy="3385996"/>
                        </a:xfrm>
                        <a:prstGeom prst="rect">
                          <a:avLst/>
                        </a:prstGeom>
                        <a:solidFill>
                          <a:prstClr val="white"/>
                        </a:solidFill>
                        <a:ln>
                          <a:noFill/>
                        </a:ln>
                      </wps:spPr>
                      <wps:txbx>
                        <w:txbxContent>
                          <w:p w14:paraId="7CAD1D2E" w14:textId="77777777" w:rsidR="00186CA5" w:rsidRPr="008D5BA0" w:rsidRDefault="00186CA5" w:rsidP="00186CA5">
                            <w:pPr>
                              <w:rPr>
                                <w:sz w:val="18"/>
                                <w:szCs w:val="18"/>
                              </w:rPr>
                            </w:pPr>
                            <w:r w:rsidRPr="00186CA5">
                              <w:rPr>
                                <w:b/>
                                <w:bCs/>
                                <w:sz w:val="18"/>
                                <w:szCs w:val="18"/>
                              </w:rPr>
                              <w:t xml:space="preserve">Figure </w:t>
                            </w:r>
                            <w:r w:rsidRPr="00186CA5">
                              <w:rPr>
                                <w:b/>
                                <w:bCs/>
                                <w:sz w:val="18"/>
                                <w:szCs w:val="18"/>
                              </w:rPr>
                              <w:fldChar w:fldCharType="begin"/>
                            </w:r>
                            <w:r w:rsidRPr="00186CA5">
                              <w:rPr>
                                <w:b/>
                                <w:bCs/>
                                <w:sz w:val="18"/>
                                <w:szCs w:val="18"/>
                              </w:rPr>
                              <w:instrText xml:space="preserve"> SEQ Figure \* ARABIC </w:instrText>
                            </w:r>
                            <w:r w:rsidRPr="00186CA5">
                              <w:rPr>
                                <w:b/>
                                <w:bCs/>
                                <w:sz w:val="18"/>
                                <w:szCs w:val="18"/>
                              </w:rPr>
                              <w:fldChar w:fldCharType="separate"/>
                            </w:r>
                            <w:r w:rsidRPr="00186CA5">
                              <w:rPr>
                                <w:b/>
                                <w:bCs/>
                                <w:noProof/>
                                <w:sz w:val="18"/>
                                <w:szCs w:val="18"/>
                              </w:rPr>
                              <w:t>2</w:t>
                            </w:r>
                            <w:r w:rsidRPr="00186CA5">
                              <w:rPr>
                                <w:b/>
                                <w:bCs/>
                                <w:sz w:val="18"/>
                                <w:szCs w:val="18"/>
                              </w:rPr>
                              <w:fldChar w:fldCharType="end"/>
                            </w:r>
                            <w:r w:rsidRPr="00186CA5">
                              <w:rPr>
                                <w:b/>
                                <w:bCs/>
                                <w:i/>
                                <w:iCs/>
                                <w:sz w:val="18"/>
                                <w:szCs w:val="18"/>
                              </w:rPr>
                              <w:t>.</w:t>
                            </w:r>
                            <w:r>
                              <w:rPr>
                                <w:i/>
                                <w:iCs/>
                                <w:sz w:val="18"/>
                                <w:szCs w:val="18"/>
                              </w:rPr>
                              <w:t xml:space="preserve"> </w:t>
                            </w:r>
                            <w:r w:rsidRPr="008D5BA0">
                              <w:rPr>
                                <w:i/>
                                <w:iCs/>
                                <w:sz w:val="18"/>
                                <w:szCs w:val="18"/>
                              </w:rPr>
                              <w:t>Cingulate cortex effective connectivity modeled using cortico-cortical evoked potential (CCEP) coherence.</w:t>
                            </w:r>
                            <w:r w:rsidRPr="008D5BA0">
                              <w:rPr>
                                <w:sz w:val="18"/>
                                <w:szCs w:val="18"/>
                              </w:rPr>
                              <w:t xml:space="preserve"> </w:t>
                            </w:r>
                            <w:r w:rsidRPr="008D5BA0">
                              <w:rPr>
                                <w:b/>
                                <w:bCs/>
                                <w:sz w:val="18"/>
                                <w:szCs w:val="18"/>
                              </w:rPr>
                              <w:t xml:space="preserve">(a &amp; b) </w:t>
                            </w:r>
                            <w:r w:rsidRPr="008D5BA0">
                              <w:rPr>
                                <w:sz w:val="18"/>
                                <w:szCs w:val="18"/>
                              </w:rPr>
                              <w:t xml:space="preserve">Methodological overview of CCEP coherence calculation. </w:t>
                            </w:r>
                            <w:r w:rsidRPr="008D5BA0">
                              <w:rPr>
                                <w:b/>
                                <w:bCs/>
                                <w:sz w:val="18"/>
                                <w:szCs w:val="18"/>
                              </w:rPr>
                              <w:t>(a)</w:t>
                            </w:r>
                            <w:r w:rsidRPr="008D5BA0">
                              <w:rPr>
                                <w:sz w:val="18"/>
                                <w:szCs w:val="18"/>
                              </w:rPr>
                              <w:t xml:space="preserve"> The inter-trial pairwise Spearman’s correlations were calculated for the baseline and task CCEP windows, resulting in </w:t>
                            </w:r>
                            <w:r w:rsidRPr="008D5BA0">
                              <w:rPr>
                                <w:b/>
                                <w:bCs/>
                                <w:sz w:val="18"/>
                                <w:szCs w:val="18"/>
                              </w:rPr>
                              <w:t>(b)</w:t>
                            </w:r>
                            <w:r w:rsidRPr="008D5BA0">
                              <w:rPr>
                                <w:sz w:val="18"/>
                                <w:szCs w:val="18"/>
                              </w:rPr>
                              <w:t xml:space="preserve"> the baseline and CCEP distributions of local field potential coherence for each contact. The effect size of connectivity between the stimulated cingulate cortex (Cg) subregion and the contact was defined as the Cohen’s d between these distributions, representing the degree of separation between the single-pulse electrical stimulation (SPES) induced changes in the local field potential (LFP) morphology and the expected morphological similarity of pre-SPES LFP behavior. The variance of the CCEP distribution was subtracted from the variance of the baseline distribution to represent the variation in the inter-trial CCEP morphology corrected by the expected variation of inter-trial LFP morphology before SPES. </w:t>
                            </w:r>
                            <w:r w:rsidRPr="008D5BA0">
                              <w:rPr>
                                <w:b/>
                                <w:bCs/>
                                <w:sz w:val="18"/>
                                <w:szCs w:val="18"/>
                              </w:rPr>
                              <w:t>(c)</w:t>
                            </w:r>
                            <w:r w:rsidRPr="008D5BA0">
                              <w:rPr>
                                <w:sz w:val="18"/>
                                <w:szCs w:val="18"/>
                              </w:rPr>
                              <w:t xml:space="preserve"> Exemplar baseline and CCEP coherence distributions recorded from representative contacts located in the orbitofrontal cortex after stimulation of each Cg subregion. </w:t>
                            </w:r>
                            <w:r w:rsidRPr="008D5BA0">
                              <w:rPr>
                                <w:b/>
                                <w:bCs/>
                                <w:sz w:val="18"/>
                                <w:szCs w:val="18"/>
                              </w:rPr>
                              <w:t xml:space="preserve">(d) </w:t>
                            </w:r>
                            <w:r w:rsidRPr="008D5BA0">
                              <w:rPr>
                                <w:sz w:val="18"/>
                                <w:szCs w:val="18"/>
                              </w:rPr>
                              <w:t xml:space="preserve">Global statistical comparison of Cohen’s d (top) and ΔVariance (bottom) across all cortical contacts for each Cg stimulation condition: (L) or right (R) anterior, mid, or posterior cingulate (ACC, MCC, or PCC, respectively). Statistical differences were assessed using Wilcoxon rank sum tests (α = 0.001). </w:t>
                            </w:r>
                            <w:r w:rsidRPr="008D5BA0">
                              <w:rPr>
                                <w:b/>
                                <w:bCs/>
                                <w:sz w:val="18"/>
                                <w:szCs w:val="18"/>
                              </w:rPr>
                              <w:t>(e)</w:t>
                            </w:r>
                            <w:r w:rsidRPr="008D5BA0">
                              <w:rPr>
                                <w:sz w:val="18"/>
                                <w:szCs w:val="18"/>
                              </w:rPr>
                              <w:t xml:space="preserve"> Visualization of the divergent Cg effective connectivity network. Each circle in the middle represents a stimulation condition: either the left or right ACC (purple), MCC (green), or PCC (blue). The outer circle contains nodes representing each cortical region grouped into major anatomical areas, distinguished by unique colors. Cortical regions within each major anatomical area are ordered from anterior to posterior. Connectivity strength from stimulated Cg subregions to these cortical regions is represented by lines, whose thickness and opacity indicate the median Cohen’s d across contacts within each region. </w:t>
                            </w:r>
                            <w:r w:rsidRPr="008D5BA0">
                              <w:rPr>
                                <w:b/>
                                <w:bCs/>
                                <w:sz w:val="18"/>
                                <w:szCs w:val="18"/>
                              </w:rPr>
                              <w:t>(f)</w:t>
                            </w:r>
                            <w:r w:rsidRPr="008D5BA0">
                              <w:rPr>
                                <w:sz w:val="18"/>
                                <w:szCs w:val="18"/>
                              </w:rPr>
                              <w:t xml:space="preserve"> Cortical surface models visualize the relative effective connectivity of each Cg subregion to each cortical region. For each stimulation condition, the mean connectivity across all significant contacts within each region was calculated. The geometric mean of these three values was then plotted on a triangle, where the vertices of the triangle represent full connectivity to a Cg subregion. A color was assigned to each region based on an interpolated colormap across this triangle. Regions with similar connectivity to all three Cg subregions appear at the center of the triangle (greyish color). Regions with biased or preferential connectivity to one or more Cg subregions will appear closer to the triangle’s edges, towards the vertices representing the subregions with greater connectivity. </w:t>
                            </w:r>
                          </w:p>
                          <w:p w14:paraId="18455D5B" w14:textId="77777777" w:rsidR="00186CA5" w:rsidRPr="008D5BA0" w:rsidRDefault="00186CA5" w:rsidP="00186CA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11ECC50" id="_x0000_s1027" type="#_x0000_t202" style="width:468pt;height:2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" stroked="f">
                <v:textbox inset="0,0,0,0">
                  <w:txbxContent>
                    <w:p w14:paraId="7CAD1D2E" w14:textId="77777777" w:rsidR="00186CA5" w:rsidRPr="008D5BA0" w:rsidRDefault="00186CA5" w:rsidP="00186CA5">
                      <w:pPr>
                        <w:rPr>
                          <w:sz w:val="18"/>
                          <w:szCs w:val="18"/>
                        </w:rPr>
                      </w:pPr>
                      <w:r w:rsidRPr="00186CA5">
                        <w:rPr>
                          <w:b/>
                          <w:bCs/>
                          <w:sz w:val="18"/>
                          <w:szCs w:val="18"/>
                        </w:rPr>
                        <w:t xml:space="preserve">Figure </w:t>
                      </w:r>
                      <w:r w:rsidRPr="00186CA5">
                        <w:rPr>
                          <w:b/>
                          <w:bCs/>
                          <w:sz w:val="18"/>
                          <w:szCs w:val="18"/>
                        </w:rPr>
                        <w:fldChar w:fldCharType="begin"/>
                      </w:r>
                      <w:r w:rsidRPr="00186CA5">
                        <w:rPr>
                          <w:b/>
                          <w:bCs/>
                          <w:sz w:val="18"/>
                          <w:szCs w:val="18"/>
                        </w:rPr>
                        <w:instrText xml:space="preserve"> SEQ Figure \* ARABIC </w:instrText>
                      </w:r>
                      <w:r w:rsidRPr="00186CA5">
                        <w:rPr>
                          <w:b/>
                          <w:bCs/>
                          <w:sz w:val="18"/>
                          <w:szCs w:val="18"/>
                        </w:rPr>
                        <w:fldChar w:fldCharType="separate"/>
                      </w:r>
                      <w:r w:rsidRPr="00186CA5">
                        <w:rPr>
                          <w:b/>
                          <w:bCs/>
                          <w:noProof/>
                          <w:sz w:val="18"/>
                          <w:szCs w:val="18"/>
                        </w:rPr>
                        <w:t>2</w:t>
                      </w:r>
                      <w:r w:rsidRPr="00186CA5">
                        <w:rPr>
                          <w:b/>
                          <w:bCs/>
                          <w:sz w:val="18"/>
                          <w:szCs w:val="18"/>
                        </w:rPr>
                        <w:fldChar w:fldCharType="end"/>
                      </w:r>
                      <w:r w:rsidRPr="00186CA5">
                        <w:rPr>
                          <w:b/>
                          <w:bCs/>
                          <w:i/>
                          <w:iCs/>
                          <w:sz w:val="18"/>
                          <w:szCs w:val="18"/>
                        </w:rPr>
                        <w:t>.</w:t>
                      </w:r>
                      <w:r>
                        <w:rPr>
                          <w:i/>
                          <w:iCs/>
                          <w:sz w:val="18"/>
                          <w:szCs w:val="18"/>
                        </w:rPr>
                        <w:t xml:space="preserve"> </w:t>
                      </w:r>
                      <w:r w:rsidRPr="008D5BA0">
                        <w:rPr>
                          <w:i/>
                          <w:iCs/>
                          <w:sz w:val="18"/>
                          <w:szCs w:val="18"/>
                        </w:rPr>
                        <w:t>Cingulate cortex effective connectivity modeled using cortico-cortical evoked potential (CCEP) coherence.</w:t>
                      </w:r>
                      <w:r w:rsidRPr="008D5BA0">
                        <w:rPr>
                          <w:sz w:val="18"/>
                          <w:szCs w:val="18"/>
                        </w:rPr>
                        <w:t xml:space="preserve"> </w:t>
                      </w:r>
                      <w:r w:rsidRPr="008D5BA0">
                        <w:rPr>
                          <w:b/>
                          <w:bCs/>
                          <w:sz w:val="18"/>
                          <w:szCs w:val="18"/>
                        </w:rPr>
                        <w:t xml:space="preserve">(a &amp; b) </w:t>
                      </w:r>
                      <w:r w:rsidRPr="008D5BA0">
                        <w:rPr>
                          <w:sz w:val="18"/>
                          <w:szCs w:val="18"/>
                        </w:rPr>
                        <w:t xml:space="preserve">Methodological overview of CCEP coherence calculation. </w:t>
                      </w:r>
                      <w:r w:rsidRPr="008D5BA0">
                        <w:rPr>
                          <w:b/>
                          <w:bCs/>
                          <w:sz w:val="18"/>
                          <w:szCs w:val="18"/>
                        </w:rPr>
                        <w:t>(a)</w:t>
                      </w:r>
                      <w:r w:rsidRPr="008D5BA0">
                        <w:rPr>
                          <w:sz w:val="18"/>
                          <w:szCs w:val="18"/>
                        </w:rPr>
                        <w:t xml:space="preserve"> The inter-trial pairwise Spearman’s correlations were calculated for the baseline and task CCEP windows, resulting in </w:t>
                      </w:r>
                      <w:r w:rsidRPr="008D5BA0">
                        <w:rPr>
                          <w:b/>
                          <w:bCs/>
                          <w:sz w:val="18"/>
                          <w:szCs w:val="18"/>
                        </w:rPr>
                        <w:t>(b)</w:t>
                      </w:r>
                      <w:r w:rsidRPr="008D5BA0">
                        <w:rPr>
                          <w:sz w:val="18"/>
                          <w:szCs w:val="18"/>
                        </w:rPr>
                        <w:t xml:space="preserve"> the baseline and CCEP distributions of local field potential coherence for each contact. The effect size of connectivity between the stimulated cingulate cortex (Cg) subregion and the contact was defined as the Cohen’s d between these distributions, representing the degree of separation between the single-pulse electrical stimulation (SPES) induced changes in the local field potential (LFP) morphology and the expected morphological similarity of pre-SPES LFP behavior. The variance of the CCEP distribution was subtracted from the variance of the baseline distribution to represent the variation in the inter-trial CCEP morphology corrected by the expected variation of inter-trial LFP morphology before SPES. </w:t>
                      </w:r>
                      <w:r w:rsidRPr="008D5BA0">
                        <w:rPr>
                          <w:b/>
                          <w:bCs/>
                          <w:sz w:val="18"/>
                          <w:szCs w:val="18"/>
                        </w:rPr>
                        <w:t>(c)</w:t>
                      </w:r>
                      <w:r w:rsidRPr="008D5BA0">
                        <w:rPr>
                          <w:sz w:val="18"/>
                          <w:szCs w:val="18"/>
                        </w:rPr>
                        <w:t xml:space="preserve"> Exemplar baseline and CCEP coherence distributions recorded from representative contacts located in the orbitofrontal cortex after stimulation of each Cg subregion. </w:t>
                      </w:r>
                      <w:r w:rsidRPr="008D5BA0">
                        <w:rPr>
                          <w:b/>
                          <w:bCs/>
                          <w:sz w:val="18"/>
                          <w:szCs w:val="18"/>
                        </w:rPr>
                        <w:t xml:space="preserve">(d) </w:t>
                      </w:r>
                      <w:r w:rsidRPr="008D5BA0">
                        <w:rPr>
                          <w:sz w:val="18"/>
                          <w:szCs w:val="18"/>
                        </w:rPr>
                        <w:t xml:space="preserve">Global statistical comparison of Cohen’s d (top) and ΔVariance (bottom) across all cortical contacts for each Cg stimulation condition: (L) or right (R) anterior, mid, or posterior cingulate (ACC, MCC, or PCC, respectively). Statistical differences were assessed using Wilcoxon rank sum tests (α = 0.001). </w:t>
                      </w:r>
                      <w:r w:rsidRPr="008D5BA0">
                        <w:rPr>
                          <w:b/>
                          <w:bCs/>
                          <w:sz w:val="18"/>
                          <w:szCs w:val="18"/>
                        </w:rPr>
                        <w:t>(e)</w:t>
                      </w:r>
                      <w:r w:rsidRPr="008D5BA0">
                        <w:rPr>
                          <w:sz w:val="18"/>
                          <w:szCs w:val="18"/>
                        </w:rPr>
                        <w:t xml:space="preserve"> Visualization of the divergent Cg effective connectivity network. Each circle in the middle represents a stimulation condition: either the left or right ACC (purple), MCC (green), or PCC (blue). The outer circle contains nodes representing each cortical region grouped into major anatomical areas, distinguished by unique colors. Cortical regions within each major anatomical area are ordered from anterior to posterior. Connectivity strength from stimulated Cg subregions to these cortical regions is represented by lines, whose thickness and opacity indicate the median Cohen’s d across contacts within each region. </w:t>
                      </w:r>
                      <w:r w:rsidRPr="008D5BA0">
                        <w:rPr>
                          <w:b/>
                          <w:bCs/>
                          <w:sz w:val="18"/>
                          <w:szCs w:val="18"/>
                        </w:rPr>
                        <w:t>(f)</w:t>
                      </w:r>
                      <w:r w:rsidRPr="008D5BA0">
                        <w:rPr>
                          <w:sz w:val="18"/>
                          <w:szCs w:val="18"/>
                        </w:rPr>
                        <w:t xml:space="preserve"> Cortical surface models visualize the relative effective connectivity of each Cg subregion to each cortical region. For each stimulation condition, the mean connectivity across all significant contacts within each region was calculated. The geometric mean of these three values was then plotted on a triangle, where the vertices of the triangle represent full connectivity to a Cg subregion. A color was assigned to each region based on an interpolated colormap across this triangle. Regions with similar connectivity to all three Cg subregions appear at the center of the triangle (greyish color). Regions with biased or preferential connectivity to one or more Cg subregions will appear closer to the triangle’s edges, towards the vertices representing the subregions with greater connectivity. </w:t>
                      </w:r>
                    </w:p>
                    <w:p w14:paraId="18455D5B" w14:textId="77777777" w:rsidR="00186CA5" w:rsidRPr="008D5BA0" w:rsidRDefault="00186CA5" w:rsidP="00186CA5">
                      <w:pPr>
                        <w:pStyle w:val="Caption"/>
                        <w:rPr>
                          <w:noProof/>
                        </w:rPr>
                      </w:pPr>
                    </w:p>
                  </w:txbxContent>
                </v:textbox>
                <w10:anchorlock/>
              </v:shape>
            </w:pict>
          </mc:Fallback>
        </mc:AlternateContent>
      </w:r>
    </w:p>
    <w:p w14:paraId="172FB426" w14:textId="021A08B1" w:rsidR="00E6133D" w:rsidRPr="005B4F50" w:rsidRDefault="00E6133D" w:rsidP="00750445">
      <w:pPr>
        <w:pBdr>
          <w:top w:val="nil"/>
          <w:left w:val="nil"/>
          <w:bottom w:val="nil"/>
          <w:right w:val="nil"/>
          <w:between w:val="nil"/>
        </w:pBdr>
        <w:contextualSpacing/>
        <w:rPr>
          <w:rFonts w:ascii="Arial" w:hAnsi="Arial" w:cs="Arial"/>
          <w:color w:val="000000"/>
          <w:sz w:val="20"/>
          <w:szCs w:val="20"/>
        </w:rPr>
      </w:pPr>
    </w:p>
    <w:p w14:paraId="1A055CD6" w14:textId="0E50C3C2" w:rsidR="00980C22" w:rsidRPr="005B4F50" w:rsidRDefault="00980C22" w:rsidP="00750445">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65EE4ED4" w:rsidR="00270945" w:rsidRPr="005B4F50" w:rsidRDefault="00186CA5" w:rsidP="00750445">
      <w:pPr>
        <w:rPr>
          <w:rFonts w:ascii="Arial" w:hAnsi="Arial" w:cs="Arial"/>
          <w:sz w:val="20"/>
          <w:szCs w:val="20"/>
        </w:rPr>
      </w:pPr>
      <w:r w:rsidRPr="005B4F50">
        <w:rPr>
          <w:rFonts w:ascii="Arial" w:hAnsi="Arial" w:cs="Arial"/>
          <w:noProof/>
          <w:sz w:val="20"/>
          <w:szCs w:val="20"/>
        </w:rPr>
        <w:drawing>
          <wp:inline distT="0" distB="0" distL="0" distR="0" wp14:anchorId="02530831" wp14:editId="4BB2F8E7">
            <wp:extent cx="5998845" cy="4660900"/>
            <wp:effectExtent l="0" t="0" r="0" b="0"/>
            <wp:docPr id="9327030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03063"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8845" cy="4660900"/>
                    </a:xfrm>
                    <a:prstGeom prst="rect">
                      <a:avLst/>
                    </a:prstGeom>
                  </pic:spPr>
                </pic:pic>
              </a:graphicData>
            </a:graphic>
          </wp:inline>
        </w:drawing>
      </w:r>
      <w:r w:rsidRPr="005B4F50">
        <w:rPr>
          <w:rFonts w:ascii="Arial" w:hAnsi="Arial" w:cs="Arial"/>
          <w:noProof/>
          <w:sz w:val="20"/>
          <w:szCs w:val="20"/>
        </w:rPr>
        <mc:AlternateContent>
          <mc:Choice Requires="wps">
            <w:drawing>
              <wp:inline distT="0" distB="0" distL="0" distR="0" wp14:anchorId="0118339F" wp14:editId="1C8BB73E">
                <wp:extent cx="5998845" cy="1865014"/>
                <wp:effectExtent l="0" t="0" r="0" b="1905"/>
                <wp:docPr id="1908556282" name="Text Box 1"/>
                <wp:cNvGraphicFramePr/>
                <a:graphic xmlns:a="http://schemas.openxmlformats.org/drawingml/2006/main">
                  <a:graphicData uri="http://schemas.microsoft.com/office/word/2010/wordprocessingShape">
                    <wps:wsp>
                      <wps:cNvSpPr txBox="1"/>
                      <wps:spPr>
                        <a:xfrm>
                          <a:off x="0" y="0"/>
                          <a:ext cx="5998845" cy="1865014"/>
                        </a:xfrm>
                        <a:prstGeom prst="rect">
                          <a:avLst/>
                        </a:prstGeom>
                        <a:solidFill>
                          <a:prstClr val="white"/>
                        </a:solidFill>
                        <a:ln>
                          <a:noFill/>
                        </a:ln>
                      </wps:spPr>
                      <wps:txbx>
                        <w:txbxContent>
                          <w:p w14:paraId="10FDF6FF" w14:textId="77777777" w:rsidR="00186CA5" w:rsidRPr="005C1681" w:rsidRDefault="00186CA5" w:rsidP="00186CA5">
                            <w:pPr>
                              <w:rPr>
                                <w:sz w:val="18"/>
                                <w:szCs w:val="18"/>
                              </w:rPr>
                            </w:pPr>
                            <w:r w:rsidRPr="00186CA5">
                              <w:rPr>
                                <w:b/>
                                <w:bCs/>
                                <w:sz w:val="18"/>
                                <w:szCs w:val="18"/>
                              </w:rPr>
                              <w:t xml:space="preserve">Figure </w:t>
                            </w:r>
                            <w:r w:rsidRPr="00186CA5">
                              <w:rPr>
                                <w:b/>
                                <w:bCs/>
                                <w:sz w:val="18"/>
                                <w:szCs w:val="18"/>
                              </w:rPr>
                              <w:fldChar w:fldCharType="begin"/>
                            </w:r>
                            <w:r w:rsidRPr="00186CA5">
                              <w:rPr>
                                <w:b/>
                                <w:bCs/>
                                <w:sz w:val="18"/>
                                <w:szCs w:val="18"/>
                              </w:rPr>
                              <w:instrText xml:space="preserve"> SEQ Figure \* ARABIC </w:instrText>
                            </w:r>
                            <w:r w:rsidRPr="00186CA5">
                              <w:rPr>
                                <w:b/>
                                <w:bCs/>
                                <w:sz w:val="18"/>
                                <w:szCs w:val="18"/>
                              </w:rPr>
                              <w:fldChar w:fldCharType="separate"/>
                            </w:r>
                            <w:r w:rsidRPr="00186CA5">
                              <w:rPr>
                                <w:b/>
                                <w:bCs/>
                                <w:noProof/>
                                <w:sz w:val="18"/>
                                <w:szCs w:val="18"/>
                              </w:rPr>
                              <w:t>3</w:t>
                            </w:r>
                            <w:r w:rsidRPr="00186CA5">
                              <w:rPr>
                                <w:b/>
                                <w:bCs/>
                                <w:sz w:val="18"/>
                                <w:szCs w:val="18"/>
                              </w:rPr>
                              <w:fldChar w:fldCharType="end"/>
                            </w:r>
                            <w:r w:rsidRPr="00186CA5">
                              <w:rPr>
                                <w:b/>
                                <w:bCs/>
                                <w:sz w:val="18"/>
                                <w:szCs w:val="18"/>
                              </w:rPr>
                              <w:t>.</w:t>
                            </w:r>
                            <w:r w:rsidRPr="005C1681">
                              <w:rPr>
                                <w:i/>
                                <w:iCs/>
                                <w:sz w:val="18"/>
                                <w:szCs w:val="18"/>
                              </w:rPr>
                              <w:t xml:space="preserve"> Spatial Distribution of Effective Connectivity Across the Cortex. </w:t>
                            </w:r>
                            <w:r w:rsidRPr="005C1681">
                              <w:rPr>
                                <w:b/>
                                <w:bCs/>
                                <w:sz w:val="18"/>
                                <w:szCs w:val="18"/>
                              </w:rPr>
                              <w:t>(a)</w:t>
                            </w:r>
                            <w:r w:rsidRPr="005C1681">
                              <w:rPr>
                                <w:sz w:val="18"/>
                                <w:szCs w:val="18"/>
                              </w:rPr>
                              <w:t xml:space="preserve"> Distributions of normalized effective connectivity (Cohen’s d) across the anterior-posterior, inferior-superior, and left-right axes. Lines show a 4</w:t>
                            </w:r>
                            <w:r w:rsidRPr="005C1681">
                              <w:rPr>
                                <w:sz w:val="18"/>
                                <w:szCs w:val="18"/>
                                <w:vertAlign w:val="superscript"/>
                              </w:rPr>
                              <w:t>th</w:t>
                            </w:r>
                            <w:r w:rsidRPr="005C1681">
                              <w:rPr>
                                <w:sz w:val="18"/>
                                <w:szCs w:val="18"/>
                              </w:rPr>
                              <w:t xml:space="preserve">-order polynomial trend line fitted to the mean Cohen’s d of 50 evenly spaced bins for each spatial dimension. The circles along the lines represent the centroids of each effective connectivity distribution. Moran’s I was calculated to quantify biases in connectivity across each spatial dimension for each condition. Permutation-based pairwise comparisons of observed centroid differences were calculated to compare centroids of distributions for each stimulation condition (α = 0.05). </w:t>
                            </w:r>
                            <w:r w:rsidRPr="005C1681">
                              <w:rPr>
                                <w:b/>
                                <w:bCs/>
                                <w:sz w:val="18"/>
                                <w:szCs w:val="18"/>
                              </w:rPr>
                              <w:t xml:space="preserve">(b) </w:t>
                            </w:r>
                            <w:r w:rsidRPr="005C1681">
                              <w:rPr>
                                <w:sz w:val="18"/>
                                <w:szCs w:val="18"/>
                              </w:rPr>
                              <w:t xml:space="preserve">Network wiring diagrams showing hemispheric differences in connectivity for regions contralateral (left) or ipsilateral (right) to the site of stimulation for each condition. Blue lines represent greater connectivity in the left hemisphere, and red lines represent greater connectivity in the right hemisphere. The thickness of lines represents the magnitude of the difference between the average connectivity strength of significant contacts within the right and left regions. Statistical tests between left and right hemisphere regions were conducted on contacts within major region groups: orbitofrontal cortex (OFC), frontal cortex (F), somato-motor cortices (SM), operculum (O), temporal lobe (T), hippocampus (Hip), amygdala (amy), insula (Ins), parietal lobe (P), thalamus (Th) (α = 0.05, * p &lt; 0.05, *** p &lt; 0.001). Dashed lines on the outer network semicircle represent major region groups without substantial contacts for statistical comparisons. </w:t>
                            </w:r>
                          </w:p>
                          <w:p w14:paraId="79F9469C" w14:textId="77777777" w:rsidR="00186CA5" w:rsidRPr="005C1681" w:rsidRDefault="00186CA5" w:rsidP="00186CA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118339F" id="_x0000_s1028" type="#_x0000_t202" style="width:472.35pt;height:1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" stroked="f">
                <v:textbox inset="0,0,0,0">
                  <w:txbxContent>
                    <w:p w14:paraId="10FDF6FF" w14:textId="77777777" w:rsidR="00186CA5" w:rsidRPr="005C1681" w:rsidRDefault="00186CA5" w:rsidP="00186CA5">
                      <w:pPr>
                        <w:rPr>
                          <w:sz w:val="18"/>
                          <w:szCs w:val="18"/>
                        </w:rPr>
                      </w:pPr>
                      <w:r w:rsidRPr="00186CA5">
                        <w:rPr>
                          <w:b/>
                          <w:bCs/>
                          <w:sz w:val="18"/>
                          <w:szCs w:val="18"/>
                        </w:rPr>
                        <w:t xml:space="preserve">Figure </w:t>
                      </w:r>
                      <w:r w:rsidRPr="00186CA5">
                        <w:rPr>
                          <w:b/>
                          <w:bCs/>
                          <w:sz w:val="18"/>
                          <w:szCs w:val="18"/>
                        </w:rPr>
                        <w:fldChar w:fldCharType="begin"/>
                      </w:r>
                      <w:r w:rsidRPr="00186CA5">
                        <w:rPr>
                          <w:b/>
                          <w:bCs/>
                          <w:sz w:val="18"/>
                          <w:szCs w:val="18"/>
                        </w:rPr>
                        <w:instrText xml:space="preserve"> SEQ Figure \* ARABIC </w:instrText>
                      </w:r>
                      <w:r w:rsidRPr="00186CA5">
                        <w:rPr>
                          <w:b/>
                          <w:bCs/>
                          <w:sz w:val="18"/>
                          <w:szCs w:val="18"/>
                        </w:rPr>
                        <w:fldChar w:fldCharType="separate"/>
                      </w:r>
                      <w:r w:rsidRPr="00186CA5">
                        <w:rPr>
                          <w:b/>
                          <w:bCs/>
                          <w:noProof/>
                          <w:sz w:val="18"/>
                          <w:szCs w:val="18"/>
                        </w:rPr>
                        <w:t>3</w:t>
                      </w:r>
                      <w:r w:rsidRPr="00186CA5">
                        <w:rPr>
                          <w:b/>
                          <w:bCs/>
                          <w:sz w:val="18"/>
                          <w:szCs w:val="18"/>
                        </w:rPr>
                        <w:fldChar w:fldCharType="end"/>
                      </w:r>
                      <w:r w:rsidRPr="00186CA5">
                        <w:rPr>
                          <w:b/>
                          <w:bCs/>
                          <w:sz w:val="18"/>
                          <w:szCs w:val="18"/>
                        </w:rPr>
                        <w:t>.</w:t>
                      </w:r>
                      <w:r w:rsidRPr="005C1681">
                        <w:rPr>
                          <w:i/>
                          <w:iCs/>
                          <w:sz w:val="18"/>
                          <w:szCs w:val="18"/>
                        </w:rPr>
                        <w:t xml:space="preserve"> Spatial Distribution of Effective Connectivity Across the Cortex. </w:t>
                      </w:r>
                      <w:r w:rsidRPr="005C1681">
                        <w:rPr>
                          <w:b/>
                          <w:bCs/>
                          <w:sz w:val="18"/>
                          <w:szCs w:val="18"/>
                        </w:rPr>
                        <w:t>(a)</w:t>
                      </w:r>
                      <w:r w:rsidRPr="005C1681">
                        <w:rPr>
                          <w:sz w:val="18"/>
                          <w:szCs w:val="18"/>
                        </w:rPr>
                        <w:t xml:space="preserve"> Distributions of normalized effective connectivity (Cohen’s d) across the anterior-posterior, inferior-superior, and left-right axes. Lines show a 4</w:t>
                      </w:r>
                      <w:r w:rsidRPr="005C1681">
                        <w:rPr>
                          <w:sz w:val="18"/>
                          <w:szCs w:val="18"/>
                          <w:vertAlign w:val="superscript"/>
                        </w:rPr>
                        <w:t>th</w:t>
                      </w:r>
                      <w:r w:rsidRPr="005C1681">
                        <w:rPr>
                          <w:sz w:val="18"/>
                          <w:szCs w:val="18"/>
                        </w:rPr>
                        <w:t xml:space="preserve">-order polynomial trend line fitted to the mean Cohen’s d of 50 evenly spaced bins for each spatial dimension. The circles along the lines represent the centroids of each effective connectivity distribution. Moran’s I was calculated to quantify biases in connectivity across each spatial dimension for each condition. Permutation-based pairwise comparisons of observed centroid differences were calculated to compare centroids of distributions for each stimulation condition (α = 0.05). </w:t>
                      </w:r>
                      <w:r w:rsidRPr="005C1681">
                        <w:rPr>
                          <w:b/>
                          <w:bCs/>
                          <w:sz w:val="18"/>
                          <w:szCs w:val="18"/>
                        </w:rPr>
                        <w:t xml:space="preserve">(b) </w:t>
                      </w:r>
                      <w:r w:rsidRPr="005C1681">
                        <w:rPr>
                          <w:sz w:val="18"/>
                          <w:szCs w:val="18"/>
                        </w:rPr>
                        <w:t xml:space="preserve">Network wiring diagrams showing hemispheric differences in connectivity for regions contralateral (left) or ipsilateral (right) to the site of stimulation for each condition. Blue lines represent greater connectivity in the left hemisphere, and red lines represent greater connectivity in the right hemisphere. The thickness of lines represents the magnitude of the difference between the average connectivity strength of significant contacts within the right and left regions. Statistical tests between left and right hemisphere regions were conducted on contacts within major region groups: orbitofrontal cortex (OFC), frontal cortex (F), somato-motor cortices (SM), operculum (O), temporal lobe (T), hippocampus (Hip), amygdala (amy), insula (Ins), parietal lobe (P), thalamus (Th) (α = 0.05, * p &lt; 0.05, *** p &lt; 0.001). Dashed lines on the outer network semicircle represent major region groups without substantial contacts for statistical comparisons. </w:t>
                      </w:r>
                    </w:p>
                    <w:p w14:paraId="79F9469C" w14:textId="77777777" w:rsidR="00186CA5" w:rsidRPr="005C1681" w:rsidRDefault="00186CA5" w:rsidP="00186CA5">
                      <w:pPr>
                        <w:pStyle w:val="Caption"/>
                        <w:rPr>
                          <w:noProof/>
                        </w:rPr>
                      </w:pPr>
                    </w:p>
                  </w:txbxContent>
                </v:textbox>
                <w10:anchorlock/>
              </v:shape>
            </w:pict>
          </mc:Fallback>
        </mc:AlternateContent>
      </w:r>
    </w:p>
    <w:p w14:paraId="40659D67" w14:textId="2EDB4538" w:rsidR="00186CA5" w:rsidRPr="005B4F50" w:rsidRDefault="00107AC0" w:rsidP="00750445">
      <w:pPr>
        <w:rPr>
          <w:rFonts w:ascii="Arial" w:hAnsi="Arial" w:cs="Arial"/>
          <w:sz w:val="20"/>
          <w:szCs w:val="20"/>
        </w:rPr>
      </w:pPr>
      <w:r w:rsidRPr="005B4F50">
        <w:rPr>
          <w:rFonts w:ascii="Arial" w:hAnsi="Arial" w:cs="Arial"/>
          <w:noProof/>
          <w:sz w:val="20"/>
          <w:szCs w:val="20"/>
        </w:rPr>
        <w:lastRenderedPageBreak/>
        <w:drawing>
          <wp:inline distT="0" distB="0" distL="0" distR="0" wp14:anchorId="2CFB4B23" wp14:editId="12C1CD41">
            <wp:extent cx="5943600" cy="6293485"/>
            <wp:effectExtent l="0" t="0" r="0" b="5715"/>
            <wp:docPr id="1049922863" name="Picture 1" descr="A collage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22863" name="Picture 1" descr="A collage of different colored graph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293485"/>
                    </a:xfrm>
                    <a:prstGeom prst="rect">
                      <a:avLst/>
                    </a:prstGeom>
                  </pic:spPr>
                </pic:pic>
              </a:graphicData>
            </a:graphic>
          </wp:inline>
        </w:drawing>
      </w:r>
      <w:r w:rsidRPr="005B4F50">
        <w:rPr>
          <w:rFonts w:ascii="Arial" w:hAnsi="Arial" w:cs="Arial"/>
          <w:noProof/>
          <w:sz w:val="20"/>
          <w:szCs w:val="20"/>
        </w:rPr>
        <mc:AlternateContent>
          <mc:Choice Requires="wps">
            <w:drawing>
              <wp:inline distT="0" distB="0" distL="0" distR="0" wp14:anchorId="6CD215AE" wp14:editId="3C9E9D6B">
                <wp:extent cx="5943600" cy="1548143"/>
                <wp:effectExtent l="0" t="0" r="0" b="1270"/>
                <wp:docPr id="95802250" name="Text Box 1"/>
                <wp:cNvGraphicFramePr/>
                <a:graphic xmlns:a="http://schemas.openxmlformats.org/drawingml/2006/main">
                  <a:graphicData uri="http://schemas.microsoft.com/office/word/2010/wordprocessingShape">
                    <wps:wsp>
                      <wps:cNvSpPr txBox="1"/>
                      <wps:spPr>
                        <a:xfrm>
                          <a:off x="0" y="0"/>
                          <a:ext cx="5943600" cy="1548143"/>
                        </a:xfrm>
                        <a:prstGeom prst="rect">
                          <a:avLst/>
                        </a:prstGeom>
                        <a:solidFill>
                          <a:prstClr val="white"/>
                        </a:solidFill>
                        <a:ln>
                          <a:noFill/>
                        </a:ln>
                      </wps:spPr>
                      <wps:txbx>
                        <w:txbxContent>
                          <w:p w14:paraId="667DE207" w14:textId="77777777" w:rsidR="00107AC0" w:rsidRPr="005C1681" w:rsidRDefault="00107AC0" w:rsidP="00107AC0">
                            <w:pPr>
                              <w:rPr>
                                <w:sz w:val="18"/>
                                <w:szCs w:val="18"/>
                              </w:rPr>
                            </w:pPr>
                            <w:r w:rsidRPr="00107AC0">
                              <w:rPr>
                                <w:b/>
                                <w:bCs/>
                                <w:sz w:val="18"/>
                                <w:szCs w:val="18"/>
                              </w:rPr>
                              <w:t xml:space="preserve">Figure </w:t>
                            </w:r>
                            <w:r w:rsidRPr="00107AC0">
                              <w:rPr>
                                <w:b/>
                                <w:bCs/>
                                <w:sz w:val="18"/>
                                <w:szCs w:val="18"/>
                              </w:rPr>
                              <w:fldChar w:fldCharType="begin"/>
                            </w:r>
                            <w:r w:rsidRPr="00107AC0">
                              <w:rPr>
                                <w:b/>
                                <w:bCs/>
                                <w:sz w:val="18"/>
                                <w:szCs w:val="18"/>
                              </w:rPr>
                              <w:instrText xml:space="preserve"> SEQ Figure \* ARABIC </w:instrText>
                            </w:r>
                            <w:r w:rsidRPr="00107AC0">
                              <w:rPr>
                                <w:b/>
                                <w:bCs/>
                                <w:sz w:val="18"/>
                                <w:szCs w:val="18"/>
                              </w:rPr>
                              <w:fldChar w:fldCharType="separate"/>
                            </w:r>
                            <w:r w:rsidRPr="00107AC0">
                              <w:rPr>
                                <w:b/>
                                <w:bCs/>
                                <w:noProof/>
                                <w:sz w:val="18"/>
                                <w:szCs w:val="18"/>
                              </w:rPr>
                              <w:t>4</w:t>
                            </w:r>
                            <w:r w:rsidRPr="00107AC0">
                              <w:rPr>
                                <w:b/>
                                <w:bCs/>
                                <w:sz w:val="18"/>
                                <w:szCs w:val="18"/>
                              </w:rPr>
                              <w:fldChar w:fldCharType="end"/>
                            </w:r>
                            <w:r w:rsidRPr="00107AC0">
                              <w:rPr>
                                <w:b/>
                                <w:bCs/>
                                <w:i/>
                                <w:iCs/>
                                <w:sz w:val="18"/>
                                <w:szCs w:val="18"/>
                              </w:rPr>
                              <w:t>.</w:t>
                            </w:r>
                            <w:r w:rsidRPr="005C1681">
                              <w:rPr>
                                <w:i/>
                                <w:iCs/>
                                <w:sz w:val="18"/>
                                <w:szCs w:val="18"/>
                              </w:rPr>
                              <w:t xml:space="preserve"> Hierarchical Clustering of Cingulate Cortex Effective Connectivity Networks. </w:t>
                            </w:r>
                            <w:r w:rsidRPr="005C1681">
                              <w:rPr>
                                <w:b/>
                                <w:bCs/>
                                <w:sz w:val="18"/>
                                <w:szCs w:val="18"/>
                              </w:rPr>
                              <w:t>(a-c)</w:t>
                            </w:r>
                            <w:r w:rsidRPr="005C1681">
                              <w:rPr>
                                <w:sz w:val="18"/>
                                <w:szCs w:val="18"/>
                              </w:rPr>
                              <w:t xml:space="preserve"> Cingulate cortex (Cg) subnetworks are defined and organized through hierarchical clustering of cortico-cortical evoked potential (CCEP) morphology. </w:t>
                            </w:r>
                            <w:r w:rsidRPr="005C1681">
                              <w:rPr>
                                <w:b/>
                                <w:bCs/>
                                <w:sz w:val="18"/>
                                <w:szCs w:val="18"/>
                              </w:rPr>
                              <w:t>(a)</w:t>
                            </w:r>
                            <w:r w:rsidRPr="005C1681">
                              <w:rPr>
                                <w:sz w:val="18"/>
                                <w:szCs w:val="18"/>
                              </w:rPr>
                              <w:t xml:space="preserve"> Subnetworks of the anterior cingulate cortex (ACC). </w:t>
                            </w:r>
                            <w:r w:rsidRPr="005C1681">
                              <w:rPr>
                                <w:b/>
                                <w:bCs/>
                                <w:sz w:val="18"/>
                                <w:szCs w:val="18"/>
                              </w:rPr>
                              <w:t>(a</w:t>
                            </w:r>
                            <w:r w:rsidRPr="005C1681">
                              <w:rPr>
                                <w:b/>
                                <w:bCs/>
                                <w:sz w:val="18"/>
                                <w:szCs w:val="18"/>
                                <w:vertAlign w:val="subscript"/>
                              </w:rPr>
                              <w:t>i</w:t>
                            </w:r>
                            <w:r w:rsidRPr="005C1681">
                              <w:rPr>
                                <w:b/>
                                <w:bCs/>
                                <w:sz w:val="18"/>
                                <w:szCs w:val="18"/>
                              </w:rPr>
                              <w:t xml:space="preserve">) </w:t>
                            </w:r>
                            <w:r w:rsidRPr="005C1681">
                              <w:rPr>
                                <w:sz w:val="18"/>
                                <w:szCs w:val="18"/>
                              </w:rPr>
                              <w:t xml:space="preserve">Correlation matrix showing the mean inter-regional similarity of CCEP morphology, organized from highest to lowest similarity. Dotted boxes show clusters. White entries in the correlation matrix represent regions without statistically significant CCEPs (Wilcoxon rank sum test, α = 0.0001). The adjacent dendrogram shows the hierarchical structure of the correlation matrix. Clusters of regions on the dendrogram are colored by cluster number, from highest to lowest intra-cluster similarity. The optimal distance threshold to resolve clusters is shown by the dashed orange line. </w:t>
                            </w:r>
                            <w:r w:rsidRPr="005C1681">
                              <w:rPr>
                                <w:b/>
                                <w:bCs/>
                                <w:sz w:val="18"/>
                                <w:szCs w:val="18"/>
                              </w:rPr>
                              <w:t>(a</w:t>
                            </w:r>
                            <w:r w:rsidRPr="005C1681">
                              <w:rPr>
                                <w:b/>
                                <w:bCs/>
                                <w:sz w:val="18"/>
                                <w:szCs w:val="18"/>
                                <w:vertAlign w:val="subscript"/>
                              </w:rPr>
                              <w:t>ii</w:t>
                            </w:r>
                            <w:r w:rsidRPr="005C1681">
                              <w:rPr>
                                <w:b/>
                                <w:bCs/>
                                <w:sz w:val="18"/>
                                <w:szCs w:val="18"/>
                              </w:rPr>
                              <w:t>)</w:t>
                            </w:r>
                            <w:r w:rsidRPr="005C1681">
                              <w:rPr>
                                <w:sz w:val="18"/>
                                <w:szCs w:val="18"/>
                              </w:rPr>
                              <w:t xml:space="preserve"> Anatomical location of clusters. </w:t>
                            </w:r>
                            <w:r w:rsidRPr="005C1681">
                              <w:rPr>
                                <w:b/>
                                <w:bCs/>
                                <w:sz w:val="18"/>
                                <w:szCs w:val="18"/>
                              </w:rPr>
                              <w:t xml:space="preserve">(b) </w:t>
                            </w:r>
                            <w:r w:rsidRPr="005C1681">
                              <w:rPr>
                                <w:sz w:val="18"/>
                                <w:szCs w:val="18"/>
                              </w:rPr>
                              <w:t xml:space="preserve">Mid-cingulate cortex (MCC) subnetworks. </w:t>
                            </w:r>
                            <w:r w:rsidRPr="005C1681">
                              <w:rPr>
                                <w:b/>
                                <w:bCs/>
                                <w:sz w:val="18"/>
                                <w:szCs w:val="18"/>
                              </w:rPr>
                              <w:t>(c)</w:t>
                            </w:r>
                            <w:r w:rsidRPr="005C1681">
                              <w:rPr>
                                <w:sz w:val="18"/>
                                <w:szCs w:val="18"/>
                              </w:rPr>
                              <w:t xml:space="preserve"> Posterior cingulate cortex (PCC) subnetworks. </w:t>
                            </w:r>
                            <w:r w:rsidRPr="005C1681">
                              <w:rPr>
                                <w:b/>
                                <w:bCs/>
                                <w:sz w:val="18"/>
                                <w:szCs w:val="18"/>
                              </w:rPr>
                              <w:t>(d)</w:t>
                            </w:r>
                            <w:r w:rsidRPr="005C1681">
                              <w:rPr>
                                <w:sz w:val="18"/>
                                <w:szCs w:val="18"/>
                              </w:rPr>
                              <w:t xml:space="preserve"> Comparison of inter-regional CCEP morphological similarity across stimulation conditions (Wilcoxon rank sum, α = 0.05). </w:t>
                            </w:r>
                            <w:r w:rsidRPr="005C1681">
                              <w:rPr>
                                <w:b/>
                                <w:bCs/>
                                <w:sz w:val="18"/>
                                <w:szCs w:val="18"/>
                              </w:rPr>
                              <w:t>(e)</w:t>
                            </w:r>
                            <w:r w:rsidRPr="005C1681">
                              <w:rPr>
                                <w:sz w:val="18"/>
                                <w:szCs w:val="18"/>
                              </w:rPr>
                              <w:t xml:space="preserve"> Comparison of dendrogram tree diversity as a distribution of cophenetic distance across stimulation conditions (Wilcoxon rank sum, α = 0.05).</w:t>
                            </w:r>
                          </w:p>
                          <w:p w14:paraId="0655113F" w14:textId="77777777" w:rsidR="00107AC0" w:rsidRPr="005C1681" w:rsidRDefault="00107AC0" w:rsidP="00107AC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CD215AE" id="_x0000_s1029" type="#_x0000_t202" style="width:468pt;height:1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" stroked="f">
                <v:textbox inset="0,0,0,0">
                  <w:txbxContent>
                    <w:p w14:paraId="667DE207" w14:textId="77777777" w:rsidR="00107AC0" w:rsidRPr="005C1681" w:rsidRDefault="00107AC0" w:rsidP="00107AC0">
                      <w:pPr>
                        <w:rPr>
                          <w:sz w:val="18"/>
                          <w:szCs w:val="18"/>
                        </w:rPr>
                      </w:pPr>
                      <w:r w:rsidRPr="00107AC0">
                        <w:rPr>
                          <w:b/>
                          <w:bCs/>
                          <w:sz w:val="18"/>
                          <w:szCs w:val="18"/>
                        </w:rPr>
                        <w:t xml:space="preserve">Figure </w:t>
                      </w:r>
                      <w:r w:rsidRPr="00107AC0">
                        <w:rPr>
                          <w:b/>
                          <w:bCs/>
                          <w:sz w:val="18"/>
                          <w:szCs w:val="18"/>
                        </w:rPr>
                        <w:fldChar w:fldCharType="begin"/>
                      </w:r>
                      <w:r w:rsidRPr="00107AC0">
                        <w:rPr>
                          <w:b/>
                          <w:bCs/>
                          <w:sz w:val="18"/>
                          <w:szCs w:val="18"/>
                        </w:rPr>
                        <w:instrText xml:space="preserve"> SEQ Figure \* ARABIC </w:instrText>
                      </w:r>
                      <w:r w:rsidRPr="00107AC0">
                        <w:rPr>
                          <w:b/>
                          <w:bCs/>
                          <w:sz w:val="18"/>
                          <w:szCs w:val="18"/>
                        </w:rPr>
                        <w:fldChar w:fldCharType="separate"/>
                      </w:r>
                      <w:r w:rsidRPr="00107AC0">
                        <w:rPr>
                          <w:b/>
                          <w:bCs/>
                          <w:noProof/>
                          <w:sz w:val="18"/>
                          <w:szCs w:val="18"/>
                        </w:rPr>
                        <w:t>4</w:t>
                      </w:r>
                      <w:r w:rsidRPr="00107AC0">
                        <w:rPr>
                          <w:b/>
                          <w:bCs/>
                          <w:sz w:val="18"/>
                          <w:szCs w:val="18"/>
                        </w:rPr>
                        <w:fldChar w:fldCharType="end"/>
                      </w:r>
                      <w:r w:rsidRPr="00107AC0">
                        <w:rPr>
                          <w:b/>
                          <w:bCs/>
                          <w:i/>
                          <w:iCs/>
                          <w:sz w:val="18"/>
                          <w:szCs w:val="18"/>
                        </w:rPr>
                        <w:t>.</w:t>
                      </w:r>
                      <w:r w:rsidRPr="005C1681">
                        <w:rPr>
                          <w:i/>
                          <w:iCs/>
                          <w:sz w:val="18"/>
                          <w:szCs w:val="18"/>
                        </w:rPr>
                        <w:t xml:space="preserve"> Hierarchical Clustering of Cingulate Cortex Effective Connectivity Networks. </w:t>
                      </w:r>
                      <w:r w:rsidRPr="005C1681">
                        <w:rPr>
                          <w:b/>
                          <w:bCs/>
                          <w:sz w:val="18"/>
                          <w:szCs w:val="18"/>
                        </w:rPr>
                        <w:t>(a-c)</w:t>
                      </w:r>
                      <w:r w:rsidRPr="005C1681">
                        <w:rPr>
                          <w:sz w:val="18"/>
                          <w:szCs w:val="18"/>
                        </w:rPr>
                        <w:t xml:space="preserve"> Cingulate cortex (Cg) subnetworks are defined and organized through hierarchical clustering of cortico-cortical evoked potential (CCEP) morphology. </w:t>
                      </w:r>
                      <w:r w:rsidRPr="005C1681">
                        <w:rPr>
                          <w:b/>
                          <w:bCs/>
                          <w:sz w:val="18"/>
                          <w:szCs w:val="18"/>
                        </w:rPr>
                        <w:t>(a)</w:t>
                      </w:r>
                      <w:r w:rsidRPr="005C1681">
                        <w:rPr>
                          <w:sz w:val="18"/>
                          <w:szCs w:val="18"/>
                        </w:rPr>
                        <w:t xml:space="preserve"> Subnetworks of the anterior cingulate cortex (ACC). </w:t>
                      </w:r>
                      <w:r w:rsidRPr="005C1681">
                        <w:rPr>
                          <w:b/>
                          <w:bCs/>
                          <w:sz w:val="18"/>
                          <w:szCs w:val="18"/>
                        </w:rPr>
                        <w:t>(a</w:t>
                      </w:r>
                      <w:r w:rsidRPr="005C1681">
                        <w:rPr>
                          <w:b/>
                          <w:bCs/>
                          <w:sz w:val="18"/>
                          <w:szCs w:val="18"/>
                          <w:vertAlign w:val="subscript"/>
                        </w:rPr>
                        <w:t>i</w:t>
                      </w:r>
                      <w:r w:rsidRPr="005C1681">
                        <w:rPr>
                          <w:b/>
                          <w:bCs/>
                          <w:sz w:val="18"/>
                          <w:szCs w:val="18"/>
                        </w:rPr>
                        <w:t xml:space="preserve">) </w:t>
                      </w:r>
                      <w:r w:rsidRPr="005C1681">
                        <w:rPr>
                          <w:sz w:val="18"/>
                          <w:szCs w:val="18"/>
                        </w:rPr>
                        <w:t xml:space="preserve">Correlation matrix showing the mean inter-regional similarity of CCEP morphology, organized from highest to lowest similarity. Dotted boxes show clusters. White entries in the correlation matrix represent regions without statistically significant CCEPs (Wilcoxon rank sum test, α = 0.0001). The adjacent dendrogram shows the hierarchical structure of the correlation matrix. Clusters of regions on the dendrogram are colored by cluster number, from highest to lowest intra-cluster similarity. The optimal distance threshold to resolve clusters is shown by the dashed orange line. </w:t>
                      </w:r>
                      <w:r w:rsidRPr="005C1681">
                        <w:rPr>
                          <w:b/>
                          <w:bCs/>
                          <w:sz w:val="18"/>
                          <w:szCs w:val="18"/>
                        </w:rPr>
                        <w:t>(a</w:t>
                      </w:r>
                      <w:r w:rsidRPr="005C1681">
                        <w:rPr>
                          <w:b/>
                          <w:bCs/>
                          <w:sz w:val="18"/>
                          <w:szCs w:val="18"/>
                          <w:vertAlign w:val="subscript"/>
                        </w:rPr>
                        <w:t>ii</w:t>
                      </w:r>
                      <w:r w:rsidRPr="005C1681">
                        <w:rPr>
                          <w:b/>
                          <w:bCs/>
                          <w:sz w:val="18"/>
                          <w:szCs w:val="18"/>
                        </w:rPr>
                        <w:t>)</w:t>
                      </w:r>
                      <w:r w:rsidRPr="005C1681">
                        <w:rPr>
                          <w:sz w:val="18"/>
                          <w:szCs w:val="18"/>
                        </w:rPr>
                        <w:t xml:space="preserve"> Anatomical location of clusters. </w:t>
                      </w:r>
                      <w:r w:rsidRPr="005C1681">
                        <w:rPr>
                          <w:b/>
                          <w:bCs/>
                          <w:sz w:val="18"/>
                          <w:szCs w:val="18"/>
                        </w:rPr>
                        <w:t xml:space="preserve">(b) </w:t>
                      </w:r>
                      <w:r w:rsidRPr="005C1681">
                        <w:rPr>
                          <w:sz w:val="18"/>
                          <w:szCs w:val="18"/>
                        </w:rPr>
                        <w:t xml:space="preserve">Mid-cingulate cortex (MCC) subnetworks. </w:t>
                      </w:r>
                      <w:r w:rsidRPr="005C1681">
                        <w:rPr>
                          <w:b/>
                          <w:bCs/>
                          <w:sz w:val="18"/>
                          <w:szCs w:val="18"/>
                        </w:rPr>
                        <w:t>(c)</w:t>
                      </w:r>
                      <w:r w:rsidRPr="005C1681">
                        <w:rPr>
                          <w:sz w:val="18"/>
                          <w:szCs w:val="18"/>
                        </w:rPr>
                        <w:t xml:space="preserve"> Posterior cingulate cortex (PCC) subnetworks. </w:t>
                      </w:r>
                      <w:r w:rsidRPr="005C1681">
                        <w:rPr>
                          <w:b/>
                          <w:bCs/>
                          <w:sz w:val="18"/>
                          <w:szCs w:val="18"/>
                        </w:rPr>
                        <w:t>(d)</w:t>
                      </w:r>
                      <w:r w:rsidRPr="005C1681">
                        <w:rPr>
                          <w:sz w:val="18"/>
                          <w:szCs w:val="18"/>
                        </w:rPr>
                        <w:t xml:space="preserve"> Comparison of inter-regional CCEP morphological similarity across stimulation conditions (Wilcoxon rank sum, α = 0.05). </w:t>
                      </w:r>
                      <w:r w:rsidRPr="005C1681">
                        <w:rPr>
                          <w:b/>
                          <w:bCs/>
                          <w:sz w:val="18"/>
                          <w:szCs w:val="18"/>
                        </w:rPr>
                        <w:t>(e)</w:t>
                      </w:r>
                      <w:r w:rsidRPr="005C1681">
                        <w:rPr>
                          <w:sz w:val="18"/>
                          <w:szCs w:val="18"/>
                        </w:rPr>
                        <w:t xml:space="preserve"> Comparison of dendrogram tree diversity as a distribution of cophenetic distance across stimulation conditions (Wilcoxon rank sum, α = 0.05).</w:t>
                      </w:r>
                    </w:p>
                    <w:p w14:paraId="0655113F" w14:textId="77777777" w:rsidR="00107AC0" w:rsidRPr="005C1681" w:rsidRDefault="00107AC0" w:rsidP="00107AC0">
                      <w:pPr>
                        <w:pStyle w:val="Caption"/>
                        <w:rPr>
                          <w:noProof/>
                        </w:rPr>
                      </w:pPr>
                    </w:p>
                  </w:txbxContent>
                </v:textbox>
                <w10:anchorlock/>
              </v:shape>
            </w:pict>
          </mc:Fallback>
        </mc:AlternateContent>
      </w:r>
    </w:p>
    <w:p w14:paraId="033538C2" w14:textId="68233649" w:rsidR="00107AC0" w:rsidRPr="005B4F50" w:rsidRDefault="00107AC0" w:rsidP="00750445">
      <w:pPr>
        <w:rPr>
          <w:rFonts w:ascii="Arial" w:hAnsi="Arial" w:cs="Arial"/>
          <w:sz w:val="20"/>
          <w:szCs w:val="20"/>
        </w:rPr>
      </w:pPr>
      <w:r w:rsidRPr="005B4F50">
        <w:rPr>
          <w:rFonts w:ascii="Arial" w:hAnsi="Arial" w:cs="Arial"/>
          <w:noProof/>
          <w:sz w:val="20"/>
          <w:szCs w:val="20"/>
        </w:rPr>
        <w:lastRenderedPageBreak/>
        <w:drawing>
          <wp:inline distT="0" distB="0" distL="0" distR="0" wp14:anchorId="29E67BFE" wp14:editId="2D110985">
            <wp:extent cx="5943600" cy="4865370"/>
            <wp:effectExtent l="0" t="0" r="0" b="0"/>
            <wp:docPr id="1516160928"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0928" name="Picture 2" descr="A close-up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865370"/>
                    </a:xfrm>
                    <a:prstGeom prst="rect">
                      <a:avLst/>
                    </a:prstGeom>
                  </pic:spPr>
                </pic:pic>
              </a:graphicData>
            </a:graphic>
          </wp:inline>
        </w:drawing>
      </w:r>
      <w:r w:rsidRPr="005B4F50">
        <w:rPr>
          <w:rFonts w:ascii="Arial" w:hAnsi="Arial" w:cs="Arial"/>
          <w:noProof/>
          <w:sz w:val="20"/>
          <w:szCs w:val="20"/>
        </w:rPr>
        <w:lastRenderedPageBreak/>
        <mc:AlternateContent>
          <mc:Choice Requires="wps">
            <w:drawing>
              <wp:inline distT="0" distB="0" distL="0" distR="0" wp14:anchorId="5B7CC876" wp14:editId="1140EF50">
                <wp:extent cx="5943600" cy="3820562"/>
                <wp:effectExtent l="0" t="0" r="0" b="2540"/>
                <wp:docPr id="1717545363" name="Text Box 1"/>
                <wp:cNvGraphicFramePr/>
                <a:graphic xmlns:a="http://schemas.openxmlformats.org/drawingml/2006/main">
                  <a:graphicData uri="http://schemas.microsoft.com/office/word/2010/wordprocessingShape">
                    <wps:wsp>
                      <wps:cNvSpPr txBox="1"/>
                      <wps:spPr>
                        <a:xfrm>
                          <a:off x="0" y="0"/>
                          <a:ext cx="5943600" cy="3820562"/>
                        </a:xfrm>
                        <a:prstGeom prst="rect">
                          <a:avLst/>
                        </a:prstGeom>
                        <a:solidFill>
                          <a:prstClr val="white"/>
                        </a:solidFill>
                        <a:ln>
                          <a:noFill/>
                        </a:ln>
                      </wps:spPr>
                      <wps:txbx>
                        <w:txbxContent>
                          <w:p w14:paraId="79C2972B" w14:textId="11A5EA79" w:rsidR="00107AC0" w:rsidRPr="003F2BA3" w:rsidRDefault="00107AC0" w:rsidP="00107AC0">
                            <w:pPr>
                              <w:rPr>
                                <w:sz w:val="18"/>
                                <w:szCs w:val="18"/>
                              </w:rPr>
                            </w:pPr>
                            <w:r w:rsidRPr="00C70FFB">
                              <w:rPr>
                                <w:b/>
                                <w:bCs/>
                                <w:sz w:val="18"/>
                                <w:szCs w:val="18"/>
                              </w:rPr>
                              <w:t>Figure 5</w:t>
                            </w:r>
                            <w:r w:rsidRPr="00C70FFB">
                              <w:rPr>
                                <w:b/>
                                <w:bCs/>
                                <w:i/>
                                <w:iCs/>
                                <w:sz w:val="18"/>
                                <w:szCs w:val="18"/>
                              </w:rPr>
                              <w:t>.</w:t>
                            </w:r>
                            <w:r w:rsidRPr="003F2BA3">
                              <w:rPr>
                                <w:i/>
                                <w:iCs/>
                                <w:sz w:val="18"/>
                                <w:szCs w:val="18"/>
                              </w:rPr>
                              <w:t xml:space="preserve"> Assessing Feature Importance for Classifying Effective Connectivity to Cingulate Cortex Subregions.</w:t>
                            </w:r>
                            <w:r w:rsidRPr="003F2BA3">
                              <w:rPr>
                                <w:sz w:val="18"/>
                                <w:szCs w:val="18"/>
                              </w:rPr>
                              <w:t xml:space="preserve"> </w:t>
                            </w:r>
                            <w:r w:rsidRPr="003F2BA3">
                              <w:rPr>
                                <w:b/>
                                <w:bCs/>
                                <w:sz w:val="18"/>
                                <w:szCs w:val="18"/>
                              </w:rPr>
                              <w:t xml:space="preserve">(a) </w:t>
                            </w:r>
                            <w:r w:rsidRPr="003F2BA3">
                              <w:rPr>
                                <w:sz w:val="18"/>
                                <w:szCs w:val="18"/>
                              </w:rPr>
                              <w:t xml:space="preserve">Confusion matrix evaluating the classification performance of a Random Forest Model trained to classify contacts by which cingulate cortex subregion was stimulated. </w:t>
                            </w:r>
                            <w:r w:rsidRPr="003F2BA3">
                              <w:rPr>
                                <w:b/>
                                <w:bCs/>
                                <w:sz w:val="18"/>
                                <w:szCs w:val="18"/>
                              </w:rPr>
                              <w:t>(b)</w:t>
                            </w:r>
                            <w:r w:rsidRPr="003F2BA3">
                              <w:rPr>
                                <w:sz w:val="18"/>
                                <w:szCs w:val="18"/>
                              </w:rPr>
                              <w:t xml:space="preserve"> Predictive strength of input features in classifying which cingulate subregion was stimulated, indicating the impact of each feature on the classification model after random permutation. Features were divided into six feature classes: effective connectivity features, spatial features, assumption-free waveform features, evoked gamma features, temporal features, and assumption-based waveform features. Features (in descending order of predictor strength) included CCEP amplitude as root-mean-squared (RMS), anterior-posterior contact position (AP), superior-inferior contact position (SI), left-right contact position (LR), mean CCEP coherence (Mean Coherence), peak broadband CCEP magnitude (Peak Mag.), CCEP coherence as Cohen’s d (Cohen’s d), third angle of the broadband CCEP waveform (Angle 3), peak broadband gamma response magnitude (Peak Gamma), first angle of the broadband CCEP morphology (Angle 1), average magnitude of the broadband gamma response (Gamma Mag.), difference between the variance of the baseline and CCEP coherence distributions (Var. Coherence), average coherence of the baseline coherence distribution (Base. Coherence), gamma response as Spearman’s rho (Gamma Response), latency of the peak broadband CCEP magnitude (Peak Latency), second angle of the broadband CCEP waveform (Angle 2), latency of the third angle of the CCEP waveform (Angle 3 Onset), latency of the second angle of the CCEP waveform (Angle 2 Onset), latency of the first angle of the CCEP waveform (Angle 1 Onset), latency of the broadband CCEP waveform onset detected using the first derivative of the broadband magnitude (Response Latency), latency of the broadband CCEP waveform onset detected using the broadband magnitude (Response Start Time), latency of the peak evoked gamma response (Gamma Peak Latency), latency of the broadband CCEP waveform offset (Response Offset), angle of the CCEP waveform response onset (First Angle), duration of CCEP calculated from the magnitude of the broadband CCEP waveform (Response Duration), duration of evoked gamma response (Gamma Duration), latency of the evoked gamma response onset (Gamma Latency), angle of the CCEP waveform response offset (Last Angle), evoked gamma response offset (Gamma Offset), N2 peak amplitude (N2 Amplitude), N2 peak prominence (N2 Prominence), N2 peak width (N2 Width), N1 peak amplitude (N1 Amplitude), N1peak prominence (N1 Prominence), N1 peak width (N1 Width). </w:t>
                            </w:r>
                            <w:r w:rsidRPr="003F2BA3">
                              <w:rPr>
                                <w:b/>
                                <w:bCs/>
                                <w:sz w:val="18"/>
                                <w:szCs w:val="18"/>
                              </w:rPr>
                              <w:t xml:space="preserve">(c) </w:t>
                            </w:r>
                            <w:r w:rsidRPr="003F2BA3">
                              <w:rPr>
                                <w:sz w:val="18"/>
                                <w:szCs w:val="18"/>
                              </w:rPr>
                              <w:t xml:space="preserve">Classification accuracy expressed as a percentage of contacts correctly classified for each brain region, across brain regions. </w:t>
                            </w:r>
                            <w:r w:rsidRPr="003F2BA3">
                              <w:rPr>
                                <w:b/>
                                <w:bCs/>
                                <w:sz w:val="18"/>
                                <w:szCs w:val="18"/>
                              </w:rPr>
                              <w:t>(d)</w:t>
                            </w:r>
                            <w:r w:rsidRPr="003F2BA3">
                              <w:rPr>
                                <w:sz w:val="18"/>
                                <w:szCs w:val="18"/>
                              </w:rPr>
                              <w:t xml:space="preserve"> Comparison of primary effective connectivity measures, RMS, and Cohen’s d between correctly and incorrectly classified contacts (Wilcoxon rank sum test, α = 0.05, *** p &lt; 0.001). </w:t>
                            </w:r>
                            <w:r w:rsidRPr="003F2BA3">
                              <w:rPr>
                                <w:b/>
                                <w:bCs/>
                                <w:sz w:val="18"/>
                                <w:szCs w:val="18"/>
                              </w:rPr>
                              <w:t>(e)</w:t>
                            </w:r>
                            <w:r w:rsidRPr="003F2BA3">
                              <w:rPr>
                                <w:sz w:val="18"/>
                                <w:szCs w:val="18"/>
                              </w:rPr>
                              <w:t xml:space="preserve"> Differences in the percentage of significant contacts for correctly and incorrectly classified contacts across primary effective connectivity measures. </w:t>
                            </w:r>
                          </w:p>
                          <w:p w14:paraId="392E4C3A" w14:textId="77777777" w:rsidR="00107AC0" w:rsidRPr="003F2BA3" w:rsidRDefault="00107AC0" w:rsidP="00107AC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B7CC876" id="_x0000_s1030" type="#_x0000_t202" style="width:468pt;height:30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" stroked="f">
                <v:textbox inset="0,0,0,0">
                  <w:txbxContent>
                    <w:p w14:paraId="79C2972B" w14:textId="11A5EA79" w:rsidR="00107AC0" w:rsidRPr="003F2BA3" w:rsidRDefault="00107AC0" w:rsidP="00107AC0">
                      <w:pPr>
                        <w:rPr>
                          <w:sz w:val="18"/>
                          <w:szCs w:val="18"/>
                        </w:rPr>
                      </w:pPr>
                      <w:r w:rsidRPr="00C70FFB">
                        <w:rPr>
                          <w:b/>
                          <w:bCs/>
                          <w:sz w:val="18"/>
                          <w:szCs w:val="18"/>
                        </w:rPr>
                        <w:t>Figure 5</w:t>
                      </w:r>
                      <w:r w:rsidRPr="00C70FFB">
                        <w:rPr>
                          <w:b/>
                          <w:bCs/>
                          <w:i/>
                          <w:iCs/>
                          <w:sz w:val="18"/>
                          <w:szCs w:val="18"/>
                        </w:rPr>
                        <w:t>.</w:t>
                      </w:r>
                      <w:r w:rsidRPr="003F2BA3">
                        <w:rPr>
                          <w:i/>
                          <w:iCs/>
                          <w:sz w:val="18"/>
                          <w:szCs w:val="18"/>
                        </w:rPr>
                        <w:t xml:space="preserve"> Assessing Feature Importance for Classifying Effective Connectivity to Cingulate Cortex Subregions.</w:t>
                      </w:r>
                      <w:r w:rsidRPr="003F2BA3">
                        <w:rPr>
                          <w:sz w:val="18"/>
                          <w:szCs w:val="18"/>
                        </w:rPr>
                        <w:t xml:space="preserve"> </w:t>
                      </w:r>
                      <w:r w:rsidRPr="003F2BA3">
                        <w:rPr>
                          <w:b/>
                          <w:bCs/>
                          <w:sz w:val="18"/>
                          <w:szCs w:val="18"/>
                        </w:rPr>
                        <w:t xml:space="preserve">(a) </w:t>
                      </w:r>
                      <w:r w:rsidRPr="003F2BA3">
                        <w:rPr>
                          <w:sz w:val="18"/>
                          <w:szCs w:val="18"/>
                        </w:rPr>
                        <w:t xml:space="preserve">Confusion matrix evaluating the classification performance of a Random Forest Model trained to classify contacts by which cingulate cortex subregion was stimulated. </w:t>
                      </w:r>
                      <w:r w:rsidRPr="003F2BA3">
                        <w:rPr>
                          <w:b/>
                          <w:bCs/>
                          <w:sz w:val="18"/>
                          <w:szCs w:val="18"/>
                        </w:rPr>
                        <w:t>(b)</w:t>
                      </w:r>
                      <w:r w:rsidRPr="003F2BA3">
                        <w:rPr>
                          <w:sz w:val="18"/>
                          <w:szCs w:val="18"/>
                        </w:rPr>
                        <w:t xml:space="preserve"> Predictive strength of input features in classifying which cingulate subregion was stimulated, indicating the impact of each feature on the classification model after random permutation. Features were divided into six feature classes: effective connectivity features, spatial features, assumption-free waveform features, evoked gamma features, temporal features, and assumption-based waveform features. Features (in descending order of predictor strength) included CCEP amplitude as root-mean-squared (RMS), anterior-posterior contact position (AP), superior-inferior contact position (SI), left-right contact position (LR), mean CCEP coherence (Mean Coherence), peak broadband CCEP magnitude (Peak Mag.), CCEP coherence as Cohen’s d (Cohen’s d), third angle of the broadband CCEP waveform (Angle 3), peak broadband gamma response magnitude (Peak Gamma), first angle of the broadband CCEP morphology (Angle 1), average magnitude of the broadband gamma response (Gamma Mag.), difference between the variance of the baseline and CCEP coherence distributions (Var. Coherence), average coherence of the baseline coherence distribution (Base. Coherence), gamma response as Spearman’s rho (Gamma Response), latency of the peak broadband CCEP magnitude (Peak Latency), second angle of the broadband CCEP waveform (Angle 2), latency of the third angle of the CCEP waveform (Angle 3 Onset), latency of the second angle of the CCEP waveform (Angle 2 Onset), latency of the first angle of the CCEP waveform (Angle 1 Onset), latency of the broadband CCEP waveform onset detected using the first derivative of the broadband magnitude (Response Latency), latency of the broadband CCEP waveform onset detected using the broadband magnitude (Response Start Time), latency of the peak evoked gamma response (Gamma Peak Latency), latency of the broadband CCEP waveform offset (Response Offset), angle of the CCEP waveform response onset (First Angle), duration of CCEP calculated from the magnitude of the broadband CCEP waveform (Response Duration), duration of evoked gamma response (Gamma Duration), latency of the evoked gamma response onset (Gamma Latency), angle of the CCEP waveform response offset (Last Angle), evoked gamma response offset (Gamma Offset), N2 peak amplitude (N2 Amplitude), N2 peak prominence (N2 Prominence), N2 peak width (N2 Width), N1 peak amplitude (N1 Amplitude), N1peak prominence (N1 Prominence), N1 peak width (N1 Width). </w:t>
                      </w:r>
                      <w:r w:rsidRPr="003F2BA3">
                        <w:rPr>
                          <w:b/>
                          <w:bCs/>
                          <w:sz w:val="18"/>
                          <w:szCs w:val="18"/>
                        </w:rPr>
                        <w:t xml:space="preserve">(c) </w:t>
                      </w:r>
                      <w:r w:rsidRPr="003F2BA3">
                        <w:rPr>
                          <w:sz w:val="18"/>
                          <w:szCs w:val="18"/>
                        </w:rPr>
                        <w:t xml:space="preserve">Classification accuracy expressed as a percentage of contacts correctly classified for each brain region, across brain regions. </w:t>
                      </w:r>
                      <w:r w:rsidRPr="003F2BA3">
                        <w:rPr>
                          <w:b/>
                          <w:bCs/>
                          <w:sz w:val="18"/>
                          <w:szCs w:val="18"/>
                        </w:rPr>
                        <w:t>(d)</w:t>
                      </w:r>
                      <w:r w:rsidRPr="003F2BA3">
                        <w:rPr>
                          <w:sz w:val="18"/>
                          <w:szCs w:val="18"/>
                        </w:rPr>
                        <w:t xml:space="preserve"> Comparison of primary effective connectivity measures, RMS, and Cohen’s d between correctly and incorrectly classified contacts (Wilcoxon rank sum test, α = 0.05, *** p &lt; 0.001). </w:t>
                      </w:r>
                      <w:r w:rsidRPr="003F2BA3">
                        <w:rPr>
                          <w:b/>
                          <w:bCs/>
                          <w:sz w:val="18"/>
                          <w:szCs w:val="18"/>
                        </w:rPr>
                        <w:t>(e)</w:t>
                      </w:r>
                      <w:r w:rsidRPr="003F2BA3">
                        <w:rPr>
                          <w:sz w:val="18"/>
                          <w:szCs w:val="18"/>
                        </w:rPr>
                        <w:t xml:space="preserve"> Differences in the percentage of significant contacts for correctly and incorrectly classified contacts across primary effective connectivity measures. </w:t>
                      </w:r>
                    </w:p>
                    <w:p w14:paraId="392E4C3A" w14:textId="77777777" w:rsidR="00107AC0" w:rsidRPr="003F2BA3" w:rsidRDefault="00107AC0" w:rsidP="00107AC0">
                      <w:pPr>
                        <w:pStyle w:val="Caption"/>
                        <w:rPr>
                          <w:noProof/>
                        </w:rPr>
                      </w:pPr>
                    </w:p>
                  </w:txbxContent>
                </v:textbox>
                <w10:anchorlock/>
              </v:shape>
            </w:pict>
          </mc:Fallback>
        </mc:AlternateContent>
      </w:r>
    </w:p>
    <w:sectPr w:rsidR="00107AC0" w:rsidRPr="005B4F50" w:rsidSect="0040158E">
      <w:headerReference w:type="default" r:id="rId15"/>
      <w:footerReference w:type="default" r:id="rId16"/>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1F17" w14:textId="77777777" w:rsidR="0084029A" w:rsidRDefault="0084029A">
      <w:pPr>
        <w:spacing w:after="0"/>
      </w:pPr>
      <w:r>
        <w:separator/>
      </w:r>
    </w:p>
  </w:endnote>
  <w:endnote w:type="continuationSeparator" w:id="0">
    <w:p w14:paraId="65B5A31C" w14:textId="77777777" w:rsidR="0084029A" w:rsidRDefault="008402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DCAA" w14:textId="77777777" w:rsidR="0084029A" w:rsidRDefault="0084029A">
      <w:pPr>
        <w:spacing w:after="0"/>
      </w:pPr>
      <w:r>
        <w:separator/>
      </w:r>
    </w:p>
  </w:footnote>
  <w:footnote w:type="continuationSeparator" w:id="0">
    <w:p w14:paraId="2F50D40A" w14:textId="77777777" w:rsidR="0084029A" w:rsidRDefault="008402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3A1031"/>
    <w:multiLevelType w:val="hybridMultilevel"/>
    <w:tmpl w:val="204EC0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6191141">
    <w:abstractNumId w:val="0"/>
  </w:num>
  <w:num w:numId="2" w16cid:durableId="1391491802">
    <w:abstractNumId w:val="1"/>
  </w:num>
  <w:num w:numId="3" w16cid:durableId="479465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805C2"/>
    <w:rsid w:val="000C3044"/>
    <w:rsid w:val="000E3957"/>
    <w:rsid w:val="0010376C"/>
    <w:rsid w:val="00107AC0"/>
    <w:rsid w:val="00186CA5"/>
    <w:rsid w:val="001B0070"/>
    <w:rsid w:val="001C1E4E"/>
    <w:rsid w:val="001F1761"/>
    <w:rsid w:val="00270945"/>
    <w:rsid w:val="002A7053"/>
    <w:rsid w:val="002B2848"/>
    <w:rsid w:val="002C1563"/>
    <w:rsid w:val="00333F4D"/>
    <w:rsid w:val="00352A93"/>
    <w:rsid w:val="00357469"/>
    <w:rsid w:val="0037732D"/>
    <w:rsid w:val="003830A5"/>
    <w:rsid w:val="003A1DB4"/>
    <w:rsid w:val="003D2BE0"/>
    <w:rsid w:val="003E408D"/>
    <w:rsid w:val="0040158E"/>
    <w:rsid w:val="0046535B"/>
    <w:rsid w:val="00474D11"/>
    <w:rsid w:val="0047627D"/>
    <w:rsid w:val="004768C8"/>
    <w:rsid w:val="00476D4B"/>
    <w:rsid w:val="00480407"/>
    <w:rsid w:val="00483D1D"/>
    <w:rsid w:val="004B135C"/>
    <w:rsid w:val="004C4175"/>
    <w:rsid w:val="004C41BD"/>
    <w:rsid w:val="0052396A"/>
    <w:rsid w:val="00584273"/>
    <w:rsid w:val="00595073"/>
    <w:rsid w:val="005A78D5"/>
    <w:rsid w:val="005B4F50"/>
    <w:rsid w:val="005C58AA"/>
    <w:rsid w:val="005C7DD7"/>
    <w:rsid w:val="0060191F"/>
    <w:rsid w:val="00623869"/>
    <w:rsid w:val="006570B6"/>
    <w:rsid w:val="006B5D26"/>
    <w:rsid w:val="006D3B81"/>
    <w:rsid w:val="006F7DB3"/>
    <w:rsid w:val="0070618C"/>
    <w:rsid w:val="00725BE3"/>
    <w:rsid w:val="00750445"/>
    <w:rsid w:val="007527BE"/>
    <w:rsid w:val="00760981"/>
    <w:rsid w:val="00765D9C"/>
    <w:rsid w:val="007A024E"/>
    <w:rsid w:val="007A18F0"/>
    <w:rsid w:val="007B1C7E"/>
    <w:rsid w:val="00825485"/>
    <w:rsid w:val="0084029A"/>
    <w:rsid w:val="00897958"/>
    <w:rsid w:val="008C7A66"/>
    <w:rsid w:val="008E6DB8"/>
    <w:rsid w:val="00904FBD"/>
    <w:rsid w:val="00906570"/>
    <w:rsid w:val="009248E7"/>
    <w:rsid w:val="00941AE5"/>
    <w:rsid w:val="00972194"/>
    <w:rsid w:val="00980C22"/>
    <w:rsid w:val="009A0DF7"/>
    <w:rsid w:val="009A3B92"/>
    <w:rsid w:val="009A63EA"/>
    <w:rsid w:val="009B0612"/>
    <w:rsid w:val="009F66BE"/>
    <w:rsid w:val="00A00857"/>
    <w:rsid w:val="00A1401C"/>
    <w:rsid w:val="00A15F67"/>
    <w:rsid w:val="00A500E3"/>
    <w:rsid w:val="00A53343"/>
    <w:rsid w:val="00A57204"/>
    <w:rsid w:val="00A635A9"/>
    <w:rsid w:val="00A84DC9"/>
    <w:rsid w:val="00A85CC3"/>
    <w:rsid w:val="00A957AF"/>
    <w:rsid w:val="00AE60EF"/>
    <w:rsid w:val="00AF7B8A"/>
    <w:rsid w:val="00B239A3"/>
    <w:rsid w:val="00B30924"/>
    <w:rsid w:val="00B4169B"/>
    <w:rsid w:val="00B5224D"/>
    <w:rsid w:val="00B9147E"/>
    <w:rsid w:val="00B94799"/>
    <w:rsid w:val="00BE4840"/>
    <w:rsid w:val="00C33F07"/>
    <w:rsid w:val="00C423F4"/>
    <w:rsid w:val="00C70FFB"/>
    <w:rsid w:val="00C84C53"/>
    <w:rsid w:val="00C91007"/>
    <w:rsid w:val="00C97AF8"/>
    <w:rsid w:val="00CA1C1E"/>
    <w:rsid w:val="00CA4747"/>
    <w:rsid w:val="00CB2D3D"/>
    <w:rsid w:val="00CB5B28"/>
    <w:rsid w:val="00D14D8C"/>
    <w:rsid w:val="00D46880"/>
    <w:rsid w:val="00DA5FED"/>
    <w:rsid w:val="00DE28A6"/>
    <w:rsid w:val="00DE3A31"/>
    <w:rsid w:val="00DF48AE"/>
    <w:rsid w:val="00DF7EA3"/>
    <w:rsid w:val="00E01958"/>
    <w:rsid w:val="00E229F1"/>
    <w:rsid w:val="00E6133D"/>
    <w:rsid w:val="00E62015"/>
    <w:rsid w:val="00EB5DD5"/>
    <w:rsid w:val="00F26B0E"/>
    <w:rsid w:val="00F27E41"/>
    <w:rsid w:val="00F649EE"/>
    <w:rsid w:val="00F655BC"/>
    <w:rsid w:val="00F7470C"/>
    <w:rsid w:val="00F839A7"/>
    <w:rsid w:val="00FB60FE"/>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Caption">
    <w:name w:val="caption"/>
    <w:basedOn w:val="Normal"/>
    <w:next w:val="Normal"/>
    <w:uiPriority w:val="35"/>
    <w:unhideWhenUsed/>
    <w:qFormat/>
    <w:rsid w:val="00186CA5"/>
    <w:rPr>
      <w:rFonts w:ascii="Times New Roman" w:eastAsia="Times New Roman" w:hAnsi="Times New Roman" w:cs="Times New Roman"/>
      <w:i/>
      <w:iCs/>
      <w:color w:val="1F497D" w:themeColor="text2"/>
      <w:sz w:val="18"/>
      <w:szCs w:val="18"/>
    </w:rPr>
  </w:style>
  <w:style w:type="paragraph" w:customStyle="1" w:styleId="Paragraph">
    <w:name w:val="Paragraph"/>
    <w:basedOn w:val="Normal"/>
    <w:rsid w:val="00107AC0"/>
    <w:pPr>
      <w:spacing w:before="120" w:after="0"/>
      <w:ind w:firstLine="720"/>
    </w:pPr>
    <w:rPr>
      <w:rFonts w:ascii="Times New Roman" w:eastAsia="Times New Roman" w:hAnsi="Times New Roman" w:cs="Times New Roman"/>
      <w:sz w:val="24"/>
      <w:szCs w:val="24"/>
    </w:rPr>
  </w:style>
  <w:style w:type="paragraph" w:styleId="ListParagraph">
    <w:name w:val="List Paragraph"/>
    <w:basedOn w:val="Normal"/>
    <w:uiPriority w:val="34"/>
    <w:qFormat/>
    <w:rsid w:val="0070618C"/>
    <w:pPr>
      <w:spacing w:after="160" w:line="278" w:lineRule="auto"/>
      <w:ind w:left="720"/>
      <w:contextualSpacing/>
    </w:pPr>
    <w:rPr>
      <w:kern w:val="2"/>
      <w:sz w:val="24"/>
      <w:szCs w:val="24"/>
      <w14:ligatures w14:val="standardContextual"/>
    </w:rPr>
  </w:style>
  <w:style w:type="paragraph" w:customStyle="1" w:styleId="Acknowledgement">
    <w:name w:val="Acknowledgement"/>
    <w:basedOn w:val="Normal"/>
    <w:rsid w:val="00F27E41"/>
    <w:pPr>
      <w:spacing w:before="120" w:after="0"/>
      <w:ind w:left="720" w:hanging="720"/>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A957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pnascentral.or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28</Pages>
  <Words>53455</Words>
  <Characters>304696</Characters>
  <Application>Microsoft Office Word</Application>
  <DocSecurity>0</DocSecurity>
  <Lines>2539</Lines>
  <Paragraphs>714</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357437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Phil</cp:lastModifiedBy>
  <cp:revision>15</cp:revision>
  <dcterms:created xsi:type="dcterms:W3CDTF">2026-01-29T06:06:00Z</dcterms:created>
  <dcterms:modified xsi:type="dcterms:W3CDTF">2026-03-05T20:01:00Z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id="yOawrfPv"/&gt;&lt;style id="http://www.zotero.org/styles/pnas"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