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7BC6" w14:textId="77777777" w:rsidR="00DC4E45" w:rsidRPr="00B261AF" w:rsidRDefault="00DC4E45" w:rsidP="00B52B3B">
      <w:pPr>
        <w:spacing w:line="276" w:lineRule="auto"/>
        <w:rPr>
          <w:rFonts w:ascii="Arial" w:hAnsi="Arial" w:cs="Arial"/>
          <w:sz w:val="24"/>
          <w:szCs w:val="24"/>
        </w:rPr>
      </w:pPr>
      <w:r w:rsidRPr="00B261AF">
        <w:rPr>
          <w:rFonts w:ascii="Arial" w:hAnsi="Arial" w:cs="Arial"/>
          <w:sz w:val="24"/>
          <w:szCs w:val="24"/>
        </w:rPr>
        <w:t>Effective Network Profiles of the Human Cingulate Gyrus</w:t>
      </w:r>
    </w:p>
    <w:p w14:paraId="73DC257B" w14:textId="77777777" w:rsidR="00DC4E45" w:rsidRPr="00B261AF" w:rsidRDefault="00DC4E45" w:rsidP="00B52B3B">
      <w:pPr>
        <w:spacing w:line="276" w:lineRule="auto"/>
        <w:contextualSpacing/>
        <w:rPr>
          <w:rFonts w:ascii="Arial" w:hAnsi="Arial" w:cs="Arial"/>
          <w:sz w:val="20"/>
          <w:szCs w:val="20"/>
          <w:vertAlign w:val="superscript"/>
        </w:rPr>
      </w:pPr>
      <w:r w:rsidRPr="00B261AF">
        <w:rPr>
          <w:rFonts w:ascii="Arial" w:hAnsi="Arial" w:cs="Arial"/>
          <w:sz w:val="20"/>
          <w:szCs w:val="20"/>
        </w:rPr>
        <w:t>Phillip Demarest</w:t>
      </w:r>
      <w:r w:rsidRPr="00B261AF">
        <w:rPr>
          <w:rFonts w:ascii="Arial" w:hAnsi="Arial" w:cs="Arial"/>
          <w:sz w:val="20"/>
          <w:szCs w:val="20"/>
          <w:vertAlign w:val="superscript"/>
        </w:rPr>
        <w:t>1,2,3</w:t>
      </w:r>
      <w:r w:rsidRPr="00B261AF">
        <w:rPr>
          <w:rFonts w:ascii="Arial" w:hAnsi="Arial" w:cs="Arial"/>
          <w:sz w:val="20"/>
          <w:szCs w:val="20"/>
        </w:rPr>
        <w:t>; Patrick Luckett</w:t>
      </w:r>
      <w:r w:rsidRPr="00B261AF">
        <w:rPr>
          <w:rFonts w:ascii="Arial" w:hAnsi="Arial" w:cs="Arial"/>
          <w:sz w:val="20"/>
          <w:szCs w:val="20"/>
          <w:vertAlign w:val="superscript"/>
        </w:rPr>
        <w:t>1,3</w:t>
      </w:r>
      <w:r w:rsidRPr="00B261AF">
        <w:rPr>
          <w:rFonts w:ascii="Arial" w:hAnsi="Arial" w:cs="Arial"/>
          <w:sz w:val="20"/>
          <w:szCs w:val="20"/>
        </w:rPr>
        <w:t xml:space="preserve">; </w:t>
      </w:r>
      <w:proofErr w:type="spellStart"/>
      <w:r w:rsidRPr="00B261AF">
        <w:rPr>
          <w:rFonts w:ascii="Arial" w:hAnsi="Arial" w:cs="Arial"/>
          <w:sz w:val="20"/>
          <w:szCs w:val="20"/>
        </w:rPr>
        <w:t>Gansheng</w:t>
      </w:r>
      <w:proofErr w:type="spellEnd"/>
      <w:r w:rsidRPr="00B261AF">
        <w:rPr>
          <w:rFonts w:ascii="Arial" w:hAnsi="Arial" w:cs="Arial"/>
          <w:sz w:val="20"/>
          <w:szCs w:val="20"/>
        </w:rPr>
        <w:t xml:space="preserve"> Tan</w:t>
      </w:r>
      <w:r w:rsidRPr="00B261AF">
        <w:rPr>
          <w:rFonts w:ascii="Arial" w:hAnsi="Arial" w:cs="Arial"/>
          <w:sz w:val="20"/>
          <w:szCs w:val="20"/>
          <w:vertAlign w:val="superscript"/>
        </w:rPr>
        <w:t>1,2,3</w:t>
      </w:r>
      <w:r w:rsidRPr="00B261AF">
        <w:rPr>
          <w:rFonts w:ascii="Arial" w:hAnsi="Arial" w:cs="Arial"/>
          <w:sz w:val="20"/>
          <w:szCs w:val="20"/>
        </w:rPr>
        <w:t xml:space="preserve">; </w:t>
      </w:r>
      <w:proofErr w:type="spellStart"/>
      <w:r w:rsidRPr="00B261AF">
        <w:rPr>
          <w:rFonts w:ascii="Arial" w:hAnsi="Arial" w:cs="Arial"/>
          <w:sz w:val="20"/>
          <w:szCs w:val="20"/>
        </w:rPr>
        <w:t>Xiaoxuan</w:t>
      </w:r>
      <w:proofErr w:type="spellEnd"/>
      <w:r w:rsidRPr="00B261AF">
        <w:rPr>
          <w:rFonts w:ascii="Arial" w:hAnsi="Arial" w:cs="Arial"/>
          <w:sz w:val="20"/>
          <w:szCs w:val="20"/>
        </w:rPr>
        <w:t xml:space="preserve"> Liu</w:t>
      </w:r>
      <w:r w:rsidRPr="00B261AF">
        <w:rPr>
          <w:rFonts w:ascii="Arial" w:hAnsi="Arial" w:cs="Arial"/>
          <w:sz w:val="20"/>
          <w:szCs w:val="20"/>
          <w:vertAlign w:val="superscript"/>
        </w:rPr>
        <w:t>1,2,3</w:t>
      </w:r>
      <w:r w:rsidRPr="00B261AF">
        <w:rPr>
          <w:rFonts w:ascii="Arial" w:hAnsi="Arial" w:cs="Arial"/>
          <w:sz w:val="20"/>
          <w:szCs w:val="20"/>
        </w:rPr>
        <w:t>;</w:t>
      </w:r>
      <w:r w:rsidRPr="00B261AF">
        <w:rPr>
          <w:rFonts w:ascii="Arial" w:hAnsi="Arial" w:cs="Arial"/>
          <w:sz w:val="20"/>
          <w:szCs w:val="20"/>
          <w:vertAlign w:val="superscript"/>
        </w:rPr>
        <w:t xml:space="preserve"> </w:t>
      </w:r>
      <w:r w:rsidRPr="00B261AF">
        <w:rPr>
          <w:rFonts w:ascii="Arial" w:hAnsi="Arial" w:cs="Arial"/>
          <w:sz w:val="20"/>
          <w:szCs w:val="20"/>
        </w:rPr>
        <w:t>Siddharth S. Sivakumar</w:t>
      </w:r>
      <w:r w:rsidRPr="00B261AF">
        <w:rPr>
          <w:rFonts w:ascii="Arial" w:hAnsi="Arial" w:cs="Arial"/>
          <w:sz w:val="20"/>
          <w:szCs w:val="20"/>
          <w:vertAlign w:val="superscript"/>
        </w:rPr>
        <w:t>1,2,3</w:t>
      </w:r>
      <w:r w:rsidRPr="00B261AF">
        <w:rPr>
          <w:rFonts w:ascii="Arial" w:hAnsi="Arial" w:cs="Arial"/>
          <w:sz w:val="20"/>
          <w:szCs w:val="20"/>
        </w:rPr>
        <w:t>; Tao Xie</w:t>
      </w:r>
      <w:r w:rsidRPr="00B261AF">
        <w:rPr>
          <w:rFonts w:ascii="Arial" w:hAnsi="Arial" w:cs="Arial"/>
          <w:sz w:val="20"/>
          <w:szCs w:val="20"/>
          <w:vertAlign w:val="superscript"/>
        </w:rPr>
        <w:t>1,3</w:t>
      </w:r>
      <w:r w:rsidRPr="00B261AF">
        <w:rPr>
          <w:rFonts w:ascii="Arial" w:hAnsi="Arial" w:cs="Arial"/>
          <w:sz w:val="20"/>
          <w:szCs w:val="20"/>
        </w:rPr>
        <w:t xml:space="preserve">; </w:t>
      </w:r>
      <w:proofErr w:type="spellStart"/>
      <w:r w:rsidRPr="00B261AF">
        <w:rPr>
          <w:rFonts w:ascii="Arial" w:hAnsi="Arial" w:cs="Arial"/>
          <w:sz w:val="20"/>
          <w:szCs w:val="20"/>
        </w:rPr>
        <w:t>Hohyun</w:t>
      </w:r>
      <w:proofErr w:type="spellEnd"/>
      <w:r w:rsidRPr="00B261AF">
        <w:rPr>
          <w:rFonts w:ascii="Arial" w:hAnsi="Arial" w:cs="Arial"/>
          <w:sz w:val="20"/>
          <w:szCs w:val="20"/>
        </w:rPr>
        <w:t xml:space="preserve"> Cho</w:t>
      </w:r>
      <w:r w:rsidRPr="00B261AF">
        <w:rPr>
          <w:rFonts w:ascii="Arial" w:hAnsi="Arial" w:cs="Arial"/>
          <w:sz w:val="20"/>
          <w:szCs w:val="20"/>
          <w:vertAlign w:val="superscript"/>
        </w:rPr>
        <w:t>1,3</w:t>
      </w:r>
      <w:r w:rsidRPr="00B261AF">
        <w:rPr>
          <w:rFonts w:ascii="Arial" w:hAnsi="Arial" w:cs="Arial"/>
          <w:sz w:val="20"/>
          <w:szCs w:val="20"/>
        </w:rPr>
        <w:t>; James R. Swift</w:t>
      </w:r>
      <w:r w:rsidRPr="00B261AF">
        <w:rPr>
          <w:rFonts w:ascii="Arial" w:hAnsi="Arial" w:cs="Arial"/>
          <w:sz w:val="20"/>
          <w:szCs w:val="20"/>
          <w:vertAlign w:val="superscript"/>
        </w:rPr>
        <w:t>1,3</w:t>
      </w:r>
      <w:r w:rsidRPr="00B261AF">
        <w:rPr>
          <w:rFonts w:ascii="Arial" w:hAnsi="Arial" w:cs="Arial"/>
          <w:sz w:val="20"/>
          <w:szCs w:val="20"/>
        </w:rPr>
        <w:t>; Markus Adamek</w:t>
      </w:r>
      <w:r w:rsidRPr="00B261AF">
        <w:rPr>
          <w:rFonts w:ascii="Arial" w:hAnsi="Arial" w:cs="Arial"/>
          <w:sz w:val="20"/>
          <w:szCs w:val="20"/>
          <w:vertAlign w:val="superscript"/>
        </w:rPr>
        <w:t>1,3</w:t>
      </w:r>
      <w:r w:rsidRPr="00B261AF">
        <w:rPr>
          <w:rFonts w:ascii="Arial" w:hAnsi="Arial" w:cs="Arial"/>
          <w:sz w:val="20"/>
          <w:szCs w:val="20"/>
        </w:rPr>
        <w:t>; William Engelhardt</w:t>
      </w:r>
      <w:r w:rsidRPr="00B261AF">
        <w:rPr>
          <w:rFonts w:ascii="Arial" w:hAnsi="Arial" w:cs="Arial"/>
          <w:sz w:val="20"/>
          <w:szCs w:val="20"/>
          <w:vertAlign w:val="superscript"/>
        </w:rPr>
        <w:t>1,3</w:t>
      </w:r>
      <w:r w:rsidRPr="00B261AF">
        <w:rPr>
          <w:rFonts w:ascii="Arial" w:hAnsi="Arial" w:cs="Arial"/>
          <w:sz w:val="20"/>
          <w:szCs w:val="20"/>
        </w:rPr>
        <w:t>; Simon Haroutounian</w:t>
      </w:r>
      <w:r w:rsidRPr="00B261AF">
        <w:rPr>
          <w:rFonts w:ascii="Arial" w:hAnsi="Arial" w:cs="Arial"/>
          <w:sz w:val="20"/>
          <w:szCs w:val="20"/>
          <w:vertAlign w:val="superscript"/>
        </w:rPr>
        <w:t>4,5</w:t>
      </w:r>
      <w:r w:rsidRPr="00B261AF">
        <w:rPr>
          <w:rFonts w:ascii="Arial" w:hAnsi="Arial" w:cs="Arial"/>
          <w:sz w:val="20"/>
          <w:szCs w:val="20"/>
        </w:rPr>
        <w:t>; Lawrence N. Eisenman</w:t>
      </w:r>
      <w:r w:rsidRPr="00B261AF">
        <w:rPr>
          <w:rFonts w:ascii="Arial" w:hAnsi="Arial" w:cs="Arial"/>
          <w:sz w:val="20"/>
          <w:szCs w:val="20"/>
          <w:vertAlign w:val="superscript"/>
        </w:rPr>
        <w:t>6</w:t>
      </w:r>
      <w:r w:rsidRPr="00B261AF">
        <w:rPr>
          <w:rFonts w:ascii="Arial" w:hAnsi="Arial" w:cs="Arial"/>
          <w:sz w:val="20"/>
          <w:szCs w:val="20"/>
        </w:rPr>
        <w:t>; Adam S. Greenblatt</w:t>
      </w:r>
      <w:r w:rsidRPr="00B261AF">
        <w:rPr>
          <w:rFonts w:ascii="Arial" w:hAnsi="Arial" w:cs="Arial"/>
          <w:sz w:val="20"/>
          <w:szCs w:val="20"/>
          <w:vertAlign w:val="superscript"/>
        </w:rPr>
        <w:t>6</w:t>
      </w:r>
      <w:r w:rsidRPr="00B261AF">
        <w:rPr>
          <w:rFonts w:ascii="Arial" w:hAnsi="Arial" w:cs="Arial"/>
          <w:sz w:val="20"/>
          <w:szCs w:val="20"/>
        </w:rPr>
        <w:t>; *Jon T. Willie</w:t>
      </w:r>
      <w:r w:rsidRPr="00B261AF">
        <w:rPr>
          <w:rFonts w:ascii="Arial" w:hAnsi="Arial" w:cs="Arial"/>
          <w:sz w:val="20"/>
          <w:szCs w:val="20"/>
          <w:vertAlign w:val="superscript"/>
        </w:rPr>
        <w:t>7</w:t>
      </w:r>
      <w:r w:rsidRPr="00B261AF">
        <w:rPr>
          <w:rFonts w:ascii="Arial" w:hAnsi="Arial" w:cs="Arial"/>
          <w:sz w:val="20"/>
          <w:szCs w:val="20"/>
        </w:rPr>
        <w:t>; *Peter Brunner</w:t>
      </w:r>
      <w:r w:rsidRPr="00B261AF">
        <w:rPr>
          <w:rFonts w:ascii="Arial" w:hAnsi="Arial" w:cs="Arial"/>
          <w:sz w:val="20"/>
          <w:szCs w:val="20"/>
          <w:vertAlign w:val="superscript"/>
        </w:rPr>
        <w:t>1,3</w:t>
      </w:r>
      <w:r w:rsidRPr="00B261AF">
        <w:rPr>
          <w:rFonts w:ascii="Arial" w:hAnsi="Arial" w:cs="Arial"/>
          <w:sz w:val="20"/>
          <w:szCs w:val="20"/>
        </w:rPr>
        <w:t>; *Eric C. Leuthardt</w:t>
      </w:r>
      <w:r w:rsidRPr="00B261AF">
        <w:rPr>
          <w:rFonts w:ascii="Arial" w:hAnsi="Arial" w:cs="Arial"/>
          <w:sz w:val="20"/>
          <w:szCs w:val="20"/>
          <w:vertAlign w:val="superscript"/>
        </w:rPr>
        <w:t>1,2,3</w:t>
      </w:r>
    </w:p>
    <w:p w14:paraId="180BF0B0" w14:textId="77777777" w:rsidR="00383111" w:rsidRPr="00B261AF" w:rsidRDefault="00383111" w:rsidP="00B52B3B">
      <w:pPr>
        <w:spacing w:line="276" w:lineRule="auto"/>
        <w:rPr>
          <w:sz w:val="20"/>
          <w:szCs w:val="20"/>
        </w:rPr>
      </w:pPr>
    </w:p>
    <w:p w14:paraId="7CEB49E5"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Division of Neurotechnology, Department of Neurosurgery,</w:t>
      </w:r>
    </w:p>
    <w:p w14:paraId="697ED857" w14:textId="77777777" w:rsidR="00DC4E45" w:rsidRPr="00B261AF" w:rsidRDefault="00DC4E45" w:rsidP="00B52B3B">
      <w:pPr>
        <w:pStyle w:val="ListParagraph"/>
        <w:spacing w:after="0" w:line="276" w:lineRule="auto"/>
        <w:ind w:left="360"/>
        <w:jc w:val="both"/>
        <w:rPr>
          <w:rFonts w:ascii="Arial" w:hAnsi="Arial" w:cs="Arial"/>
          <w:sz w:val="20"/>
          <w:szCs w:val="20"/>
        </w:rPr>
      </w:pPr>
      <w:r w:rsidRPr="00B261AF">
        <w:rPr>
          <w:rFonts w:ascii="Arial" w:hAnsi="Arial" w:cs="Arial"/>
          <w:sz w:val="20"/>
          <w:szCs w:val="20"/>
        </w:rPr>
        <w:t>Washington University in St. Louis School of Medicine, St Louis, MO, 63110, USA.</w:t>
      </w:r>
    </w:p>
    <w:p w14:paraId="423E6F13"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Department of Biomedical Engineering, McKelvey School of Engineering,</w:t>
      </w:r>
    </w:p>
    <w:p w14:paraId="70381433" w14:textId="77777777" w:rsidR="00DC4E45" w:rsidRPr="00B261AF" w:rsidRDefault="00DC4E45" w:rsidP="00B52B3B">
      <w:pPr>
        <w:pStyle w:val="ListParagraph"/>
        <w:spacing w:after="0" w:line="276" w:lineRule="auto"/>
        <w:ind w:left="360"/>
        <w:jc w:val="both"/>
        <w:rPr>
          <w:rFonts w:ascii="Arial" w:hAnsi="Arial" w:cs="Arial"/>
          <w:sz w:val="20"/>
          <w:szCs w:val="20"/>
        </w:rPr>
      </w:pPr>
      <w:r w:rsidRPr="00B261AF">
        <w:rPr>
          <w:rFonts w:ascii="Arial" w:hAnsi="Arial" w:cs="Arial"/>
          <w:sz w:val="20"/>
          <w:szCs w:val="20"/>
        </w:rPr>
        <w:t>Washington University in St. Louis, St Louis, MO, 63130, USA.</w:t>
      </w:r>
    </w:p>
    <w:p w14:paraId="326BE2BD"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Department of Neurosurgery, Washington University in St. Louis School of Medicine, St Louis, MO, 63110, USA.</w:t>
      </w:r>
    </w:p>
    <w:p w14:paraId="6FE62A06"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Division of Clinical and Translational Research, Department of Anesthesiology,</w:t>
      </w:r>
    </w:p>
    <w:p w14:paraId="6BE71F50" w14:textId="77777777" w:rsidR="00DC4E45" w:rsidRPr="00B261AF" w:rsidRDefault="00DC4E45" w:rsidP="00B52B3B">
      <w:pPr>
        <w:pStyle w:val="ListParagraph"/>
        <w:spacing w:after="0" w:line="276" w:lineRule="auto"/>
        <w:ind w:left="360"/>
        <w:jc w:val="both"/>
        <w:rPr>
          <w:rFonts w:ascii="Arial" w:hAnsi="Arial" w:cs="Arial"/>
          <w:sz w:val="20"/>
          <w:szCs w:val="20"/>
        </w:rPr>
      </w:pPr>
      <w:r w:rsidRPr="00B261AF">
        <w:rPr>
          <w:rFonts w:ascii="Arial" w:hAnsi="Arial" w:cs="Arial"/>
          <w:sz w:val="20"/>
          <w:szCs w:val="20"/>
        </w:rPr>
        <w:t>Washington University in St. Louis School of Medicine, St Louis, MO, 63110, USA.</w:t>
      </w:r>
    </w:p>
    <w:p w14:paraId="1CA938ED"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Washington University Pain Center, Washington University in St. Louis School of</w:t>
      </w:r>
    </w:p>
    <w:p w14:paraId="22F98F20" w14:textId="77777777" w:rsidR="00DC4E45" w:rsidRPr="00B261AF" w:rsidRDefault="00DC4E45" w:rsidP="00B52B3B">
      <w:pPr>
        <w:pStyle w:val="ListParagraph"/>
        <w:spacing w:after="0" w:line="276" w:lineRule="auto"/>
        <w:ind w:left="360"/>
        <w:jc w:val="both"/>
        <w:rPr>
          <w:rFonts w:ascii="Arial" w:hAnsi="Arial" w:cs="Arial"/>
          <w:sz w:val="20"/>
          <w:szCs w:val="20"/>
        </w:rPr>
      </w:pPr>
      <w:r w:rsidRPr="00B261AF">
        <w:rPr>
          <w:rFonts w:ascii="Arial" w:hAnsi="Arial" w:cs="Arial"/>
          <w:sz w:val="20"/>
          <w:szCs w:val="20"/>
        </w:rPr>
        <w:t>Medicine, St Louis, MO, 63110, USA.</w:t>
      </w:r>
    </w:p>
    <w:p w14:paraId="5AF48CD9"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Department of Neurology, Washington University in St. Louis School of Medicine, St Louis, MO, 63110, USA.</w:t>
      </w:r>
    </w:p>
    <w:p w14:paraId="72CC52F2" w14:textId="77777777" w:rsidR="00DC4E45" w:rsidRPr="00B261AF" w:rsidRDefault="00DC4E45" w:rsidP="00B52B3B">
      <w:pPr>
        <w:pStyle w:val="ListParagraph"/>
        <w:numPr>
          <w:ilvl w:val="0"/>
          <w:numId w:val="1"/>
        </w:numPr>
        <w:spacing w:after="0" w:line="276" w:lineRule="auto"/>
        <w:jc w:val="both"/>
        <w:rPr>
          <w:rFonts w:ascii="Arial" w:hAnsi="Arial" w:cs="Arial"/>
          <w:sz w:val="20"/>
          <w:szCs w:val="20"/>
        </w:rPr>
      </w:pPr>
      <w:r w:rsidRPr="00B261AF">
        <w:rPr>
          <w:rFonts w:ascii="Arial" w:hAnsi="Arial" w:cs="Arial"/>
          <w:sz w:val="20"/>
          <w:szCs w:val="20"/>
        </w:rPr>
        <w:t>Department of Neurosurgery, The University of Texas at Austin, Dell Medical School, Austin, Texas, 78712, USA.</w:t>
      </w:r>
    </w:p>
    <w:p w14:paraId="23970042" w14:textId="77777777" w:rsidR="00DC4E45" w:rsidRPr="00B261AF" w:rsidRDefault="00DC4E45" w:rsidP="00B52B3B">
      <w:pPr>
        <w:pStyle w:val="ListParagraph"/>
        <w:spacing w:after="0" w:line="276" w:lineRule="auto"/>
        <w:ind w:left="360"/>
        <w:jc w:val="both"/>
        <w:rPr>
          <w:rFonts w:ascii="Arial" w:hAnsi="Arial" w:cs="Arial"/>
          <w:sz w:val="24"/>
          <w:szCs w:val="24"/>
        </w:rPr>
      </w:pPr>
    </w:p>
    <w:p w14:paraId="72F19E7E" w14:textId="77777777" w:rsidR="00DC4E45" w:rsidRPr="00B261AF" w:rsidRDefault="00DC4E45" w:rsidP="00B52B3B">
      <w:pPr>
        <w:spacing w:line="276" w:lineRule="auto"/>
        <w:rPr>
          <w:rFonts w:ascii="Arial" w:hAnsi="Arial" w:cs="Arial"/>
          <w:sz w:val="24"/>
          <w:szCs w:val="24"/>
        </w:rPr>
      </w:pPr>
      <w:r w:rsidRPr="00B261AF">
        <w:rPr>
          <w:rFonts w:ascii="Arial" w:hAnsi="Arial" w:cs="Arial"/>
          <w:sz w:val="24"/>
          <w:szCs w:val="24"/>
        </w:rPr>
        <w:t xml:space="preserve">*Corresponding Author Eric C. </w:t>
      </w:r>
      <w:proofErr w:type="spellStart"/>
      <w:r w:rsidRPr="00B261AF">
        <w:rPr>
          <w:rFonts w:ascii="Arial" w:hAnsi="Arial" w:cs="Arial"/>
          <w:sz w:val="24"/>
          <w:szCs w:val="24"/>
        </w:rPr>
        <w:t>Leuthardt</w:t>
      </w:r>
      <w:proofErr w:type="spellEnd"/>
    </w:p>
    <w:p w14:paraId="6C0480C4" w14:textId="77777777" w:rsidR="00DC4E45" w:rsidRPr="00B261AF" w:rsidRDefault="00DC4E45" w:rsidP="00B52B3B">
      <w:pPr>
        <w:spacing w:line="276" w:lineRule="auto"/>
        <w:rPr>
          <w:rFonts w:ascii="Arial" w:hAnsi="Arial" w:cs="Arial"/>
          <w:sz w:val="24"/>
          <w:szCs w:val="24"/>
        </w:rPr>
      </w:pPr>
      <w:r w:rsidRPr="00B261AF">
        <w:rPr>
          <w:rFonts w:ascii="Arial" w:hAnsi="Arial" w:cs="Arial"/>
          <w:b/>
          <w:sz w:val="24"/>
          <w:szCs w:val="24"/>
        </w:rPr>
        <w:t xml:space="preserve">Email: </w:t>
      </w:r>
      <w:r w:rsidRPr="00B261AF">
        <w:rPr>
          <w:rFonts w:ascii="Arial" w:hAnsi="Arial" w:cs="Arial"/>
          <w:sz w:val="24"/>
          <w:szCs w:val="24"/>
        </w:rPr>
        <w:t xml:space="preserve"> leuthardte@wustl.edu</w:t>
      </w:r>
    </w:p>
    <w:p w14:paraId="5B61BA63" w14:textId="77777777" w:rsidR="00DC4E45" w:rsidRPr="00B261AF" w:rsidRDefault="00DC4E45" w:rsidP="00B52B3B">
      <w:pPr>
        <w:keepNext/>
        <w:pBdr>
          <w:top w:val="nil"/>
          <w:left w:val="nil"/>
          <w:bottom w:val="nil"/>
          <w:right w:val="nil"/>
          <w:between w:val="nil"/>
        </w:pBdr>
        <w:spacing w:before="240" w:after="60" w:line="276" w:lineRule="auto"/>
        <w:rPr>
          <w:rFonts w:ascii="Arial" w:hAnsi="Arial" w:cs="Arial"/>
          <w:b/>
          <w:color w:val="000000"/>
          <w:sz w:val="24"/>
          <w:szCs w:val="24"/>
        </w:rPr>
      </w:pPr>
      <w:r w:rsidRPr="00B261AF">
        <w:rPr>
          <w:rFonts w:ascii="Arial" w:hAnsi="Arial" w:cs="Arial"/>
          <w:b/>
          <w:color w:val="000000"/>
          <w:sz w:val="24"/>
          <w:szCs w:val="24"/>
        </w:rPr>
        <w:t>Abstract</w:t>
      </w:r>
    </w:p>
    <w:p w14:paraId="4F3846F9" w14:textId="77777777" w:rsidR="00DC4E45" w:rsidRPr="00B261AF" w:rsidRDefault="00DC4E45" w:rsidP="00B52B3B">
      <w:pPr>
        <w:pStyle w:val="Paragraph"/>
        <w:spacing w:before="0" w:line="276" w:lineRule="auto"/>
        <w:rPr>
          <w:rFonts w:ascii="Arial" w:hAnsi="Arial" w:cs="Arial"/>
          <w:bCs/>
        </w:rPr>
      </w:pPr>
      <w:r w:rsidRPr="00B261AF">
        <w:rPr>
          <w:rFonts w:ascii="Arial" w:hAnsi="Arial" w:cs="Arial"/>
          <w:bCs/>
        </w:rPr>
        <w:t>The human cingulate gyrus supports diverse functions, yet its effective networks lack standardized, network-level models. We mapped the effective networks of the anterior, mid, and posterior cingulate in 15 resection-free patients</w:t>
      </w:r>
      <w:r w:rsidRPr="00B261AF">
        <w:rPr>
          <w:rFonts w:ascii="Arial" w:hAnsi="Arial" w:cs="Arial"/>
        </w:rPr>
        <w:t xml:space="preserve"> </w:t>
      </w:r>
      <w:r w:rsidRPr="00B261AF">
        <w:rPr>
          <w:rFonts w:ascii="Arial" w:hAnsi="Arial" w:cs="Arial"/>
          <w:bCs/>
        </w:rPr>
        <w:t xml:space="preserve">using single-pulse electrical stimulation and multimodal analysis of cortico-cortical evoked potentials (CCEPs). A morphology-based CCEP coherence measure complemented conventional amplitude-based measures, revealing connections undetected by amplitude alone. Across cingulate effective networks, we identified cortical hub regions with shared connectivity across all cingulate subregions, an anterior-posterior connectivity gradient consistent with known cingulum white-matter </w:t>
      </w:r>
      <w:proofErr w:type="gramStart"/>
      <w:r w:rsidRPr="00B261AF">
        <w:rPr>
          <w:rFonts w:ascii="Arial" w:hAnsi="Arial" w:cs="Arial"/>
          <w:bCs/>
        </w:rPr>
        <w:t>organization, and</w:t>
      </w:r>
      <w:proofErr w:type="gramEnd"/>
      <w:r w:rsidRPr="00B261AF">
        <w:rPr>
          <w:rFonts w:ascii="Arial" w:hAnsi="Arial" w:cs="Arial"/>
          <w:bCs/>
        </w:rPr>
        <w:t xml:space="preserve"> evaluated the morphological heterogeneity of CCEPs across the cortex for each effective network. Finally, a random forest classification model trained on CCEP features distinguished cingulate subregion networks with 75% accuracy and revealed that conventional assumption-based features had the lowest predictive strength. These results motivate multimodal, data-driven approaches to modeling effective connectivity and provide detailed, network-level models of the human cingulate.</w:t>
      </w:r>
    </w:p>
    <w:p w14:paraId="2D1E0D62" w14:textId="77777777" w:rsidR="00DC4E45" w:rsidRPr="00B261AF" w:rsidRDefault="00DC4E45" w:rsidP="00B52B3B">
      <w:pPr>
        <w:pStyle w:val="Paragraph"/>
        <w:spacing w:before="0" w:line="276" w:lineRule="auto"/>
        <w:rPr>
          <w:rFonts w:ascii="Arial" w:hAnsi="Arial" w:cs="Arial"/>
          <w:bCs/>
        </w:rPr>
      </w:pPr>
    </w:p>
    <w:p w14:paraId="0F5A4949" w14:textId="2230CB65" w:rsidR="00DC4E45" w:rsidRPr="00B261AF" w:rsidRDefault="00DC4E45" w:rsidP="00B52B3B">
      <w:pPr>
        <w:pStyle w:val="Paragraph"/>
        <w:spacing w:before="0" w:line="276" w:lineRule="auto"/>
        <w:rPr>
          <w:rFonts w:ascii="Arial" w:hAnsi="Arial" w:cs="Arial"/>
          <w:bCs/>
        </w:rPr>
      </w:pPr>
      <w:r w:rsidRPr="00B261AF">
        <w:rPr>
          <w:rFonts w:ascii="Arial" w:hAnsi="Arial" w:cs="Arial"/>
          <w:bCs/>
        </w:rPr>
        <w:br w:type="page"/>
      </w:r>
    </w:p>
    <w:p w14:paraId="6E582849" w14:textId="3DD20A4D" w:rsidR="00DC4E45" w:rsidRPr="00B261AF" w:rsidRDefault="00DC4E45" w:rsidP="00B52B3B">
      <w:pPr>
        <w:keepNext/>
        <w:pBdr>
          <w:top w:val="nil"/>
          <w:left w:val="nil"/>
          <w:bottom w:val="nil"/>
          <w:right w:val="nil"/>
          <w:between w:val="nil"/>
        </w:pBdr>
        <w:spacing w:before="240" w:after="60" w:line="276" w:lineRule="auto"/>
        <w:contextualSpacing/>
        <w:rPr>
          <w:rFonts w:ascii="Arial" w:hAnsi="Arial" w:cs="Arial"/>
          <w:b/>
          <w:color w:val="000000"/>
          <w:sz w:val="24"/>
          <w:szCs w:val="24"/>
        </w:rPr>
      </w:pPr>
      <w:r w:rsidRPr="00B261AF">
        <w:rPr>
          <w:rFonts w:ascii="Arial" w:hAnsi="Arial" w:cs="Arial"/>
          <w:b/>
          <w:color w:val="000000"/>
          <w:sz w:val="24"/>
          <w:szCs w:val="24"/>
        </w:rPr>
        <w:lastRenderedPageBreak/>
        <w:t xml:space="preserve">1 </w:t>
      </w:r>
      <w:r w:rsidRPr="00B261AF">
        <w:rPr>
          <w:rFonts w:ascii="Arial" w:hAnsi="Arial" w:cs="Arial"/>
          <w:b/>
          <w:color w:val="000000"/>
          <w:sz w:val="24"/>
          <w:szCs w:val="24"/>
        </w:rPr>
        <w:t>Introduction</w:t>
      </w:r>
    </w:p>
    <w:p w14:paraId="470E57E7" w14:textId="77777777" w:rsidR="00DC4E45" w:rsidRPr="00B261AF" w:rsidRDefault="00DC4E45" w:rsidP="00B52B3B">
      <w:pPr>
        <w:keepNext/>
        <w:pBdr>
          <w:top w:val="nil"/>
          <w:left w:val="nil"/>
          <w:bottom w:val="nil"/>
          <w:right w:val="nil"/>
          <w:between w:val="nil"/>
        </w:pBdr>
        <w:spacing w:before="240" w:after="60" w:line="276" w:lineRule="auto"/>
        <w:contextualSpacing/>
        <w:rPr>
          <w:rFonts w:ascii="Arial" w:hAnsi="Arial" w:cs="Arial"/>
          <w:b/>
          <w:color w:val="000000"/>
          <w:sz w:val="24"/>
          <w:szCs w:val="24"/>
        </w:rPr>
      </w:pPr>
    </w:p>
    <w:p w14:paraId="0C4F1B9A" w14:textId="13156A45"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In humans, the </w:t>
      </w:r>
      <w:r w:rsidRPr="00B261AF">
        <w:rPr>
          <w:rFonts w:ascii="Arial" w:hAnsi="Arial" w:cs="Arial"/>
          <w:bCs/>
          <w:sz w:val="24"/>
          <w:szCs w:val="24"/>
        </w:rPr>
        <w:t xml:space="preserve">cingulate gyrus (Cg) </w:t>
      </w:r>
      <w:r w:rsidRPr="00B261AF">
        <w:rPr>
          <w:rFonts w:ascii="Arial" w:hAnsi="Arial" w:cs="Arial"/>
          <w:color w:val="000000" w:themeColor="text1"/>
          <w:sz w:val="24"/>
          <w:szCs w:val="24"/>
          <w:lang w:eastAsia="ko-KR"/>
        </w:rPr>
        <w:t xml:space="preserve">is widely recognized as a central locus involved in a broad range of processes. Forming an arch-shaped convolution directly dorsal to the corpus callosum, the Cg has historically been defined by its functional, anatomical, connective, and cytoarchitecturally distinct subdivisions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{"citationID":"RI9ydfMd","properties":{"formattedCitation":"(Beckmann et al., 2009; Brodmann, 1909; Jin et al., 2018; Jorstad et al., 2023; Oane et al., 2022; Palomero-Gallagher et al., 2009; Shen et al., 2023; Vogt et al., 1995; Yu et al., 2011)","plainCitation":"(Beckmann et al., 2009; Brodmann, 1909; Jin et al., 2018; Jorstad et al., 2023; Oane et al., 2022; Palomero-Gallagher et al., 2009; Shen et al., 2023; Vogt et al., 1995; Yu et al., 2011)","noteIndex":0},"citationItems":[{"id":4297,"uris":["http://zotero.org/users/7023408/items/V687GN3K"],"itemData":{"id":4297,"type":"book","language":"de","number-of-pages":"350","publisher":"Barth","source":"Google Books","title":"Vergleichende Lokalisationslehre der Grosshirnrinde in ihren Prinzipien dargestellt auf Grund des Zellenbaues","author":[{"family":"Brodmann","given":"Korbinian"}],"issued":{"date-parts":[["1909"]]},"citation-key":"brodmannVergleichendeLokalisationslehreGrosshirnrinde1909"}},{"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functional magnetic resonance imaging (rs</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fMRI) and diffusion tensor imaging (DTI) to parcellate the human cingulate cortex (CC) based on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 xml:space="preserve">based parcellation of human cingulate cortex","volume":"8","author":[{"family":"Jin","given":"Fei"},{"family":"Zheng","given":"Pengpeng"},{"family":"Liu","given":"Huaigui"},{"family":"Guo","given":"Hui"},{"family":"Sun","given":"Zhihua"}],"issued":{"date-parts":[["2018",7,24]]},"citation-key":"jinFunctionalAnatomicalConnectivitybased2018"}},{"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Connectivity"}},{"id":4296,"uris":["http://zotero.org/users/7023408/items/BWWVV6X7"],"itemData":{"id":4296,"type":"article-journal","abstract":"Heterogeneity of the cingulate cortex is evident in multiple dimensions including anatomy, function, connectivity, and involvement in networks and diseases. Using the recently developed functional connectivity gradient approach and resting-state functional MRI data, we found three functional connectivity gradients that captured distinct dimensions of cingulate hierarchical organization. The principal gradient exhibited a radiating organization with transitions from the middle toward both anterior and posterior parts of the cingulate cortex and was related to canonical functional networks and corresponding behavioral domains. The second gradient showed an anterior–posterior axis across the cingulate cortex and had prominent geometric distance dependence. The third gradient displayed a marked differentiation of subgenual and caudal middle with other parts of the cingulate cortex and was associated with cortical morphology. Aside from providing an updated framework for understanding the multifaceted nature of cingulate heterogeneity, the observed hierarchical organization of the cingulate cortex may constitute a novel research agenda with potential applications in basic and clinical neuroscience.","container-title":"Communications Biology","DOI":"10.1038/s42003-023-05029-0","ISSN":"2399-3642","issue":"1","journalAbbreviation":"Commun Biol","language":"en","license":"2023 The Author(s)","page":"1-9","source":"www.nature.com","title":"Functional connectivity gradients of the cingulate cortex","volume":"6","author":[{"family":"Shen","given":"Yuhao"},{"family":"Cai","given":"Huanhuan"},{"family":"Mo","given":"Fan"},{"family":"Yao","given":"Shanwen"},{"family":"Yu","given":"Yongqiang"},{"family":"Zhu","given":"Jiajia"}],"issued":{"date-parts":[["2023",6,19]]},"citation-key":"shenFunctionalConnectivityGradients2023"}},{"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S."},{"family":"Zilles","given":"Karl"}],"issued":{"date-parts":[["2009",8]]},"citation-key":"palomero-gallagherReceptorArchitectureHuman2009"}},{"id":4300,"uris":["http://zotero.org/users/7023408/items/T3Q73HDF"],"itemData":{"id":4300,"type":"article-journal","abstract":"The four-region model with 7 specified subregions represents a theoretical construct of functionally segregated divisions of the cingulate cortex based on integrated neurobiological assessments. Under this framework, we aimed to investigate the functional specialization of the human cingulate cortex by analyzing the resting-state functional connectivity (FC) of each subregion from a network perspective. In 20 healthy subjects we systematically investigated the FC patterns of the bilateral subgenual (sACC) and pregenual (pACC) anterior cingulate cortices, anterior (aMCC) and posterior (pMCC) midcingulate cortices, dorsal (dPCC) and ventral (vPCC) posterior cingulate cortices and retrosplenial cortices (RSC). We found that each cingulate subregion was specifically integrated in the predescribed functional networks and showed anti-correlated resting-state fluctuations. The sACC and pACC were involved in an affective network and anti-correlated with the sensorimotor and cognitive networks, while the pACC also correlated with the default-mode network and anti-correlated with the visual network. In the midcingulate cortex, however, the aMCC was correlated with the cognitive and sensorimotor networks and anti-correlated with the visual, affective and default-mode networks, whereas the pMCC only correlated with the sensorimotor network and anti-correlated with the cognitive and visual networks. The dPCC and vPCC involved in the default-mode network and anti-correlated with the sensorimotor, cognitive and visual networks, in contrast, the RSC was mainly correlated with the PCC and thalamus. Based on a strong hypothesis driven approach of anatomical partitions of the cingulate cortex, we could confirm their segregation in terms of functional neuroanatomy, as suggested earlier by task studies or exploratory multi-seed investigations.","container-title":"NeuroImage","DOI":"10.1016/j.neuroimage.2010.11.018","ISSN":"1095-9572","issue":"4","journalAbbreviation":"Neuroimage","language":"eng","note":"PMID: 21073967","page":"2571-2581","source":"PubMed","title":"Functional segregation of the human cingulate cortex is confirmed by functional connectivity based neuroanatomical parcellation","volume":"54","author":[{"family":"Yu","given":"Chunshui"},{"family":"Zhou","given":"Yuan"},{"family":"Liu","given":"Yong"},{"family":"Jiang","given":"Tianzi"},{"family":"Dong","given":"Haiwei"},{"family":"Zhang","given":"Yunting"},{"family":"Walter","given":"Martin"}],"issued":{"date-parts":[["2011",2,14]]},"citation-key":"yuFunctionalSegregationHuman2011"}},{"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S."}],"issued":{"date-parts":[["2009",1,28]]},"citation-key":"beckmannConnectivitybasedParcellationHuman2009"}},{"id":4315,"uris":["http://zotero.org/users/7023408/items/J3PHI7FR"],"itemData":{"id":4315,"type":"article-journal","abstract":"Variation in cytoarchitecture is the basis for the histological definition of cortical areas. We used single cell transcriptomics and performed cellular characterization of the human cortex to better understand cortical areal specialization. Single-nucleus RNA-sequencing of 8 areas spanning cortical structural variation showed a highly consistent cellular makeup for 24 cell subclasses. However, proportions of excitatory neuron subclasses varied substantially, likely reflecting differences in connectivity across primary sensorimotor and association cortices. Laminar organization of astrocytes and oligodendrocytes also differed across areas. Primary visual cortex showed characteristic organization with major changes in the excitatory to inhibitory neuron ratio, expansion of layer 4 excitatory neurons, and specialized inhibitory neurons. These results lay the groundwork for a refined cellular and molecular characterization of human cortical cytoarchitecture and areal specialization. \n          ,  \n             \n              INTRODUCTION \n              The human neocortex is generally organized into six layers of neurons but the size and cellular composition of these layers varies across the cortex, and this variation is thought to underlie differences in connectivity that impart specific functional specialization to distinct cortical areas. However, the degree to which cortical areas have a canonical versus noncanonical organization has proved difficult to reliably quantify. Single-nucleus and spatial transcriptomic methods enable high-resolution characterization of the cellular structure of the human neocortex providing a means to quantitatively compare the molecular and cellular structure and specialization of distinct cortical areas. \n             \n             \n              RATIONALE \n              Eight cortical areas that are representative of major variation in cellular architecture and include primary sensory and association cortices were sampled using single-nucleus transcriptomics to generate a dataset comprised of more than 1.1 million nuclei. \n             \n             \n              RESULTS \n              Nuclei were grouped based on gene expression similarity into one of 24 cellular subclasses, which were found in all cortical areas. Layer 4 intratelencephalic excitatory neurons were present even in agranular areas that lacked a histologically distinct layer 4, suggesting a common subclass-level cellular blueprint across the cortex. However, gene expression and subclass proportions varied substantially between cortical areas, with more differences in excitatory projection neurons than inhibitory neurons. All non-neuronal subclasses were shared across cortical areas but their laminar distributions varied between areas, and astrocytes also expressed regional marker genes. Variation as a function of rostrocaudal location in the cortex was a clear organizational feature where neighboring cortical areas were most similar, in line with previous observations of gene expression similarity by topographic proximity in the cortex. At a finer cell-type level of analysis, area-enriched and area-specific cell types were apparent in multiple cortical areas, but most notably in the primary visual cortex (V1) that had many distinct excitatory neuron types and several distinct inhibitory neuron types that reflect the specialized cellular architecture of this area in humans and other primates. V1 specialized inhibitory cell types were mostly Somatostatin-expressing neurons likely originating from the medial ganglionic eminence during development. Layer 4 in V1, which is visibly enlarged and has multiple sublayers, was notably different from other areas with discrete sublaminar distributions of specialized excitatory and inhibitory neurons revealed by spatial transcriptomics. \n             \n             \n              CONCLUSION \n              A common set of cell types are found across human cortical areas that have diverse functions. Excitatory projection neurons exhibit large spatial gradients and regional differences in proportions, laminar distributions, and gene expression that are less pronounced in inhibitory neurons or non-neuronal cells. V1 is molecularly distinct from other cortical areas and several excitatory and inhibitory neuronal types are found only in V1. The ratio of excitatory to inhibitory neurons in V1 is also more than double that of other cortical areas, reflecting specialization of the human cortex for processing visual information. \n               \n                 \n                  Regional specializations of human cortical cell types. \n                   \n                    ( \n                    A \n                    ) Single nucleus RNA-sequencing data from eight areas of the human neocortex were used to generate a cross-areal taxonomy with shared and area-specific types. ( \n                    B \n                    ) The relative number of excitatory and inhibitory neurons is similar across all areas except V1. Neuronal cell-type proportions and gene expression varied systematically from the rostral (R) to caudal (C) cortex with additional regional signatures. ( \n                    C \n                    ) Some excitatory neuron types that are exclusive to V1 are in the visual input layer 4, which is expanded compared to other cortical areas.","container-title":"Science","DOI":"10.1126/science.adf6812","ISSN":"0036-8075, 1095-9203","issue":"6667","journalAbbreviation":"Science","language":"en","page":"eadf6812","source":"DOI.org (Crossref)","title":"Transcriptomic cytoarchitecture reveals principles of human neocortex organization","volume":"382","author":[{"family":"Jorstad","given":"Nikolas L."},{"family":"Close","given":"Jennie"},{"family":"Johansen","given":"Nelson"},{"family":"Yanny","given":"Anna Marie"},{"family":"Barkan","given":"Eliza R."},{"family":"Travaglini","given":"Kyle J."},{"family":"Bertagnolli","given":"Darren"},{"family":"Campos","given":"Jazmin"},{"family":"Casper","given":"Tamara"},{"family":"Crichton","given":"Kirsten"},{"family":"Dee","given":"Nick"},{"family":"Ding","given":"Song-Lin"},{"family":"Gelfand","given":"Emily"},{"family":"Goldy","given":"Jeff"},{"family":"Hirschstein","given":"Daniel"},{"family":"Kiick","given":"Katelyn"},{"family":"Kroll","given":"Matthew"},{"family":"Kunst","given":"Michael"},{"family":"Lathia","given":"Kanan"},{"family":"Long","given":"Brian"},{"family":"Martin","given":"Naomi"},{"family":"McMillen","given":"Delissa"},{"family":"Pham","given":"Trangthanh"},{"family":"Rimorin","given":"Christine"},{"family":"Ruiz","given":"Augustin"},{"family":"Shapovalova","given":"Nadiya"},{"family":"Shehata","given":"Soraya"},{"family":"Siletti","given":"Kimberly"},{"family":"Somasundaram","given":"Saroja"},{"family":"Sulc","given":"Josef"},{"family":"Tieu","given":"Michael"},{"family":"Torkelson","given":"Amy"},{"family":"Tung","given":"Herman"},{"family":"Callaway","given":"Edward M."},{"family":"Hof","given":"Patrick R."},{"family":"Keene","given":"C. Dirk"},{"family":"Levi","given":"Boaz P."},{"family":"Linnarsson","given":"Sten"},{"family":"Mitra","given":"Partha P."},{"family":"Smith","given":"Kimberly"},{"family":"Hodge","given":"Rebecca D."},{"family":"Bakken","given":"Trygve E."},{"family":"Lein","given":"Ed S"}],"issued":{"date-parts":[["2023",10,13]]},"citation-key":"jorstadTranscriptomicCytoarchitectureReveals2023"}}],"schema":"https://github.com/citation-style-language/schema/raw/master/csl-citation.json"}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 xml:space="preserve">(Beckmann et al., 2009; Brodmann, 1909; Jin et al., 2018; Jorstad et al., 2023; </w:t>
      </w:r>
      <w:proofErr w:type="spellStart"/>
      <w:r w:rsidR="00B261AF">
        <w:rPr>
          <w:rFonts w:ascii="Arial" w:hAnsi="Arial" w:cs="Arial"/>
          <w:color w:val="000000"/>
          <w:sz w:val="24"/>
          <w:szCs w:val="24"/>
        </w:rPr>
        <w:t>Oane</w:t>
      </w:r>
      <w:proofErr w:type="spellEnd"/>
      <w:r w:rsidR="00B261AF">
        <w:rPr>
          <w:rFonts w:ascii="Arial" w:hAnsi="Arial" w:cs="Arial"/>
          <w:color w:val="000000"/>
          <w:sz w:val="24"/>
          <w:szCs w:val="24"/>
        </w:rPr>
        <w:t xml:space="preserve"> et al., 2022; </w:t>
      </w:r>
      <w:proofErr w:type="spellStart"/>
      <w:r w:rsidR="00B261AF">
        <w:rPr>
          <w:rFonts w:ascii="Arial" w:hAnsi="Arial" w:cs="Arial"/>
          <w:color w:val="000000"/>
          <w:sz w:val="24"/>
          <w:szCs w:val="24"/>
        </w:rPr>
        <w:t>Palomero</w:t>
      </w:r>
      <w:proofErr w:type="spellEnd"/>
      <w:r w:rsidR="00B261AF">
        <w:rPr>
          <w:rFonts w:ascii="Arial" w:hAnsi="Arial" w:cs="Arial"/>
          <w:color w:val="000000"/>
          <w:sz w:val="24"/>
          <w:szCs w:val="24"/>
        </w:rPr>
        <w:t>-Gallagher et al., 2009; Shen et al., 2023; Vogt et al., 1995; Yu et al., 2011)</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The most formal model of the Cg groups these subdivisions into four regions: the anterior cingulate cortex (ACC), midcingulate cortex (MCC), posterior cingulate cortex (PCC), and </w:t>
      </w:r>
      <w:proofErr w:type="spellStart"/>
      <w:r w:rsidRPr="00B261AF">
        <w:rPr>
          <w:rFonts w:ascii="Arial" w:hAnsi="Arial" w:cs="Arial"/>
          <w:color w:val="000000" w:themeColor="text1"/>
          <w:sz w:val="24"/>
          <w:szCs w:val="24"/>
          <w:lang w:eastAsia="ko-KR"/>
        </w:rPr>
        <w:t>retrosplenial</w:t>
      </w:r>
      <w:proofErr w:type="spellEnd"/>
      <w:r w:rsidRPr="00B261AF">
        <w:rPr>
          <w:rFonts w:ascii="Arial" w:hAnsi="Arial" w:cs="Arial"/>
          <w:color w:val="000000" w:themeColor="text1"/>
          <w:sz w:val="24"/>
          <w:szCs w:val="24"/>
          <w:lang w:eastAsia="ko-KR"/>
        </w:rPr>
        <w:t xml:space="preserve"> cortex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{"citationID":"4AXyn7zr","properties":{"formattedCitation":"(Palomero-Gallagher et al., 2009; Vogt et al., 1995)","plainCitation":"(Palomero-Gallagher et al., 2009; Vogt et al., 1995)","noteIndex":0},"citationItems":[{"id":4298,"uris":["http://zotero.org/users/7023408/items/VCY7TENE"],"itemData":{"id":4298,"type":"article-journal","abstract":"The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(Palomero-Gallagher et al., 2009; Vogt et al., 1995)</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w:t>
      </w:r>
    </w:p>
    <w:p w14:paraId="51E29EE3" w14:textId="4EAE48BE"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The ACC is one of the most widely studied cortical regions and is implicated in cognitive control, autonomic control, social cognition, decision-making, prediction error, pain, and emotion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{"citationID":"UkiaI8rm","properties":{"formattedCitation":"(Critchley et al., 2003; Edmonds et al., 2024; Gallagher &amp; Frith, 2003; Hayden et al., 2011; Lettieri et al., 2024; Shackman et al., 2011; Vogt, 2005)","plainCitation":"(Critchley et al., 2003; Edmonds et al., 2024; Gallagher &amp; Frith, 2003; Hayden et al., 2011; Lettieri et al., 2024; Shackman et al., 2011; Vogt, 2005)","noteIndex":0},"citationItems":[{"id":3605,"uris":["http://zotero.org/users/7023408/items/GK4QUT2E"],"itemData":{"id":3605,"type":"article-journal","abstract":"The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A."}],"issued":{"date-parts":[["2005",7]]},"citation-key":"vogtPainEmotionInteractions2005"}},{"id":4302,"uris":["http://zotero.org/users/7023408/items/C773843D"],"itemData":{"id":4302,"type":"article-journal","abstract":"Our ability to explain and predict other people's behaviour by attributing to them independent mental states, such as beliefs and desires, is known as having a 'theory of mind'. Interest in this very human ability has engendered a growing body of evidence concerning its evolution and development and the biological basis of the mechanisms underpinning it. Functional imaging has played a key role in seeking to isolate brain regions specific to this ability. Three areas are consistently activated in association with theory of mind. These are the anterior paracingulate cortex, the superior temporal sulci and the temporal poles bilaterally. This review discusses the functional significance of each of these areas within a social cognitive network.","container-title":"Trends in Cognitive Sciences","DOI":"10.1016/s1364-6613(02)00025-6","ISSN":"1879-307X","issue":"2","journalAbbreviation":"Trends Cogn Sci","language":"eng","note":"PMID: 12584026","page":"77-83","source":"PubMed","title":"Functional imaging of 'theory of mind'","volume":"7","author":[{"family":"Gallagher","given":"Helen L."},{"family":"Frith","given":"Christopher D."}],"issued":{"date-parts":[["2003",2]]},"citation-key":"gallagherFunctionalImagingTheory2003"}},{"id":4303,"uris":["http://zotero.org/users/7023408/items/IF2PLTKQ"],"itemData":{"id":4303,"type":"article-journal","abstract":"Human anterior cingulate function has been explained primarily within a cognitive framework. We used functional MRI experiments with simultaneous electrocardiography to examine regional brain activity associated with autonomic cardiovascular control during performance of cognitive and motor tasks. Using indices of heart rate variability, and high- and low-frequency power in the cardiac rhythm, we observed activity in the dorsal anterior cingulate cortex (ACC) related to sympathetic modulation of heart rate that was dissociable from cognitive and motor-related activity. The findings predict that during effortful cognitive and motor behaviour the dorsal ACC supports the generation of associated autonomic states of cardiovascular arousal. We subsequently tested this prediction by studying three patients with focal damage involving the ACC while they performed effortful cognitive and motor tests. Each showed abnormalities in autonomic cardiovascular responses with blunted autonomic arousal to mental stress when compared with 147 normal subjects tested in identical fashion. Thus, converging neuroimaging and clinical findings suggest that ACC function mediates context-driven modulation of bodily arousal states.","container-title":"Brain: A Journal of Neurology","DOI":"10.1093/brain/awg216","ISSN":"0006-8950","issue":"Pt 10","journalAbbreviation":"Brain","language":"eng","note":"PMID: 12821513","page":"2139-2152","source":"PubMed","title":"Human cingulate cortex and autonomic control: converging neuroimaging and clinical evidence","title-short":"Human cingulate cortex and autonomic control","volume":"126","author":[{"family":"Critchley","given":"Hugo D."},{"family":"Mathias","given":"Christopher J."},{"family":"Josephs","given":"Oliver"},{"family":"O'Doherty","given":"John"},{"family":"Zanini","given":"Sergio"},{"family":"Dewar","given":"Bonnie-Kate"},{"family":"Cipolotti","given":"Lisa"},{"family":"Shallice","given":"Tim"},{"family":"Dolan","given":"Raymond J."}],"issued":{"date-parts":[["2003",10]]},"citation-key":"critchleyHumanCingulateCortex2003"}},{"id":4099,"uris":["http://zotero.org/users/7023408/items/CXWS5T22"],"itemData":{"id":4099,"type":"article-journal","abstract":"The rostral cingulate cortex occupies a central position in models of emotion, pain and cognitive control. Work in these domains has strongly influenced recent models of social behaviour and psychopathology.The segregationist view: it has been argued that the rostral cingulate cortex is functionally segregated into affective and cognitive divisions. Although this view remains influential, new data suggest that it is no longer tenable.Robust links have been forged between the anterior subdivision of the midcingulate cortex (aMCC) and negative affect (as with the anticipation and delivery of pain), leading some to speculate that aMCC implements a 'domain-general' process that is integral to negative affect, pain and cognitive control.Physiological evidence: a meta-analysis of activation foci from functional imaging studies of negative affect, pain and cognitive control revealed that aMCC is consistently activated by all three domains, refuting claims that cognition and emotion are strictly segregated in the cingulate.Anatomical evidence: aMCC is characterized by substantial connections with subcortical regions involved in negative affect and pain (the spinothalamic system, periaqueductal grey, amygdala, nucleus accumbens and substantia nigra). Unlike other cortical 'hot spots' for emotion, aMCC harbours the rostral cingulate zone (RCZ) — a premotor area that is heavily interconnected with other motor centres (including the facial nucleus).Functional evidence: measures of negative affect, pain and cognitive control exhibit convergent functional properties. These measures covary with one another and are amplified in similar ways by uncertainty about responses and outcomes.The adaptive control hypothesis: the core function common to negative affect, pain and cognitive control is the need to determine an optimal course of action in the face of uncertainty — that is, to exert 'adaptive control'. We suggest that aMCC implements adaptive control by using information about punishment to bias responding in situations where the optimal course of action is uncertain or entails response competition.Further evidence: pain-responsive MCC neurons are activated by the anticipation of pain, activated during instrumental escape from pain and are sensitive to manipulations of certainty and conflict. Lesions of aMCC alter how threat modulates instrumental behaviour. aMCC activity during aversively motivated learning is predicted by computational models of control and reinforcement learning.These data encourage a broader perspective on the functional significance of cingulate activity, one that recognizes that aMCC did not evolve to optimize performance on laboratory measures of 'cold' cognition. The data that we have surveyed are consistent with the possibility that the contribution of aMCC to measures of cognitive control stems from its older role in regulating 'hot' behaviours.The adaptive control hypothesis provides a clear roadmap to the most profitable avenues for understanding the contribution of aMCC to negative affect and pain.","container-title":"Nature Reviews Neuroscience","DOI":"10.1038/nrn2994","ISSN":"1471-0048","issue":"3","journalAbbreviation":"Nat Rev Neurosci","language":"en","license":"2011 Springer Nature Limited","page":"154-167","source":"www.nature.com","title":"The integration of negative affect, pain and cognitive control in the cingulate cortex","volume":"12","author":[{"family":"Shackman","given":"Alexander J."},{"family":"Salomons","given":"Tim V."},{"family":"Slagter","given":"Heleen A."},{"family":"Fox","given":"Andrew S."},{"family":"Winter","given":"Jameel J."},{"family":"Davidson","given":"Richard J."}],"issued":{"date-parts":[["2011",3]]},"citation-key":"shackmanIntegrationNegativeAffect2011"}},{"id":4305,"uris":["http://zotero.org/users/7023408/items/ADWMGFPQ"],"itemData":{"id":4305,"type":"article-journal","abstract":"In attentional models of learning, associations between actions and subsequent rewards are stronger when outcomes are surprising, regardless of their valence. Despite the behavioral evidence that surprising outcomes drive learning, neural correlates of unsigned reward prediction errors remain elusive. Here we show that in a probabilistic choice task, trial-to-trial variations in preference track outcome surprisingness. Concordant with this behavioral pattern, responses of neurons in macaque (Macaca mulatta) dorsal anterior cingulate cortex (dACC) to both large and small rewards were enhanced when the outcome was surprising. Moreover, when, on some trials, probabilities were hidden, neuronal responses to rewards were reduced, consistent with the idea that the absence of clear expectations diminishes surprise. These patterns are inconsistent with the idea that dACC neurons track signed errors in reward prediction, as dopamine neurons do. Our results also indicate that dACC neurons do not signal conflict. In the context of other studies of dACC function, these results suggest a link between reward-related modulations in dACC activity and attention and motor control processes involved in behavioral adjustment. More speculatively, these data point to a harmonious integration between reward and learning accounts of ACC function on one hand, and attention and cognitive control accounts on the other.","container-title":"The Journal of Neuroscience","DOI":"10.1523/JNEUROSCI.4652-10.2011","ISSN":"0270-6474","issue":"11","journalAbbreviation":"J Neurosci","note":"PMID: 21411658\nPMCID: PMC3070460","page":"4178-4187","source":"PubMed Central","title":"Surprise Signals in Anterior Cingulate Cortex: Neuronal Encoding of Unsigned Reward Prediction Errors Driving Adjustment in Behavior","title-short":"Surprise Signals in Anterior Cingulate Cortex","volume":"31","author":[{"family":"Hayden","given":"Benjamin Y."},{"family":"Heilbronner","given":"Sarah R."},{"family":"Pearson","given":"John M."},{"family":"Platt","given":"Michael L."}],"issued":{"date-parts":[["2011",3,16]]},"citation-key":"haydenSurpriseSignalsAnterior2011"}},{"id":4314,"uris":["http://zotero.org/users/7023408/items/JFKKYWCF"],"itemData":{"id":4314,"type":"article-journal","abstract":"Emotion and perception are tightly intertwined, as affective experiences often arise from the appraisal of sensory information. Nonetheless, whether the brain encodes emotional instances using a sensory-specific code or in a more abstract manner is unclear. Here, we answer this question by measuring the association between emotion ratings collected during a unisensory or multisensory presentation of a full-length movie and brain activity recorded in typically developed, congenitally blind and congenitally deaf participants. Emotional instances are encoded in a vast network encompassing sensory, prefrontal, and temporal cortices. Within this network, the ventromedial prefrontal cortex stores a categorical representation of emotion independent of modality and previous sensory experience, and the posterior superior temporal cortex maps the valence dimension using an abstract code. Sensory experience more than modality affects how the brain organizes emotional information outside supramodal regions, suggesting the existence of a scaffold for the representation of emotional states where sensory inputs during development shape its functioning. \n          ,  \n            Abstract and sensory coding of emotion coexist in the brain, with perceptual experience shaping sensory-dependent representations.","container-title":"Science Advances","DOI":"10.1126/sciadv.adk6840","ISSN":"2375-2548","issue":"10","journalAbbreviation":"Sci. Adv.","language":"en","page":"eadk6840","source":"DOI.org (Crossref)","title":"Dissecting abstract, modality-specific and experience-dependent coding of affect in the human brain","volume":"10","author":[{"family":"Lettieri","given":"Giada"},{"family":"Handjaras","given":"Giacomo"},{"family":"Cappello","given":"Elisa M."},{"family":"Setti","given":"Francesca"},{"family":"Bottari","given":"Davide"},{"family":"Bruno","given":"Valentina"},{"family":"Diano","given":"Matteo"},{"family":"Leo","given":"Andrea"},{"family":"Tinti","given":"Carla"},{"family":"Garbarini","given":"Francesca"},{"family":"Pietrini","given":"Pietro"},{"family":"Ricciardi","given":"Emiliano"},{"family":"Cecchetti","given":"Luca"}],"issued":{"date-parts":[["2024",3,8]]},"citation-key":"lettieriDissectingAbstractModalityspecific2024"}},{"id":4316,"uris":["http://zotero.org/users/7023408/items/LKMTB5SQ"],"itemData":{"id":4316,"type":"article-journal","abstract":"Reasoning about someone’s thoughts and intentions—i.e., forming a “theory of mind”—is a core aspect of social cognition and relies on association areas of the brain that have expanded disproportionately in the human lineage. We recently showed that these association zones comprise parallel distributed networks that, despite occupying adjacent and interdigitated regions, serve dissociable functions. One network is selectively recruited by social cognitive processes. What circuit properties differentiate these parallel networks? Here, we show that social cognitive association areas are intrinsically and selectively connected to anterior regions of the medial temporal lobe that are implicated in emotional learning and social behaviors, including the amygdala at or near the basolateral complex and medial nucleus. The results suggest that social cognitive functions emerge through coordinated activity between internal circuits of the amygdala and a broader distributed association network, and indicate the medial nucleus may play an important role in social cognition in humans. \n          ,  \n            Social association areas are connected to amygdala nuclei involved in social behavior, including basolateral and medial nuclei.","container-title":"Science Advances","DOI":"10.1126/sciadv.adp0453","ISSN":"2375-2548","issue":"47","journalAbbreviation":"Sci. Adv.","language":"en","page":"eadp0453","source":"DOI.org (Crossref)","title":"The human social cognitive network contains multiple regions within the amygdala","volume":"10","author":[{"family":"Edmonds","given":"Donnisa"},{"family":"Salvo","given":"Joseph J."},{"family":"Anderson","given":"Nathan"},{"family":"Lakshman","given":"Maya"},{"family":"Yang","given":"Qiaohan"},{"family":"Kay","given":"Kendrick"},{"family":"Zelano","given":"Christina"},{"family":"Braga","given":"Rodrigo M."}],"issued":{"date-parts":[["2024",11,22]]},"citation-key":"edmondsHumanSocialCognitive2024"}}],"schema":"https://github.com/citation-style-language/schema/raw/master/csl-citation.json"}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 xml:space="preserve">(Critchley et al., 2003; Edmonds et al., 2024; Gallagher &amp; Frith, 2003; Hayden et al., 2011; Lettieri et al., 2024; </w:t>
      </w:r>
      <w:proofErr w:type="spellStart"/>
      <w:r w:rsidR="00B261AF">
        <w:rPr>
          <w:rFonts w:ascii="Arial" w:hAnsi="Arial" w:cs="Arial"/>
          <w:color w:val="000000"/>
          <w:sz w:val="24"/>
          <w:szCs w:val="24"/>
        </w:rPr>
        <w:t>Shackman</w:t>
      </w:r>
      <w:proofErr w:type="spellEnd"/>
      <w:r w:rsidR="00B261AF">
        <w:rPr>
          <w:rFonts w:ascii="Arial" w:hAnsi="Arial" w:cs="Arial"/>
          <w:color w:val="000000"/>
          <w:sz w:val="24"/>
          <w:szCs w:val="24"/>
        </w:rPr>
        <w:t xml:space="preserve"> et al., 2011; Vogt, 2005)</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The ACC’s diverse functional profile affords an equally intricate repertoire of functional and structural connections. The most well-documented connections are with limbic, frontal, orbitofrontal, parietal, thalamic, cingulate, and midbrain structures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{"citationID":"rU3D9JO2","properties":{"formattedCitation":"(Beckmann et al., 2009; Cifre et al., 2012; Jin et al., 2018; Oane et al., 2022)","plainCitation":"(Beckmann et al., 2009; Cifre et al., 2012; Jin et al., 2018; Oane et al., 2022)","noteIndex":0},"citationItems":[{"id":4286,"uris":["http://zotero.org/users/7023408/items/U7I4MQ49"],"itemData":{"id":4286,"type":"article-journal","abstract":"Introduction\nHuman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functional magnetic resonance imaging (rs</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fMRI) and diffusion tensor imaging (DTI) to parcellate the human cingulate cortex (CC) based on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 xml:space="preserve">based parcellation of human cingulate cortex","volume":"8","author":[{"family":"Jin","given":"Fei"},{"family":"Zheng","given":"Pengpeng"},{"family":"Liu","given":"Huaigui"},{"family":"Guo","given":"Hui"},{"family":"Sun","given":"Zhihua"}],"issued":{"date-parts":[["2018",7,24]]},"citation-key":"jinFunctionalAnatomicalConnectivitybased2018"}},{"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S."}],"issued":{"date-parts":[["2009",1,28]]},"citation-key":"beckmannConnectivitybasedParcellationHuman2009"}},{"id":4327,"uris":["http://zotero.org/users/7023408/items/NB9N9AYW"],"itemData":{"id":4327,"type":"article-journal","abstract":"OBJECTIVE: To investigate the impact of chronic pain on brain dynamics at rest.\nMETHODS: Functional connectivity was examined in patients with fibromyalgia (FM) (n = 9) and healthy controls (n = 11) by calculating partial correlations between low-frequency blood oxygen level-dependent fluctuations extracted from 15 brain regions.\nRESULTS: Patients with FM had more positive and negative correlations within the pain network than healthy controls. Patients with FM displayed enhanced functional connectivity of the anterior cingulate cortex (ACC) with the insula (INS) and basal ganglia (p values between .01 and .05), the secondary somatosensory area with the caudate (CAU) (p = .012), the primary motor cortex with the supplementary motor area (p = .007), the globus pallidus with the amygdala and superior temporal sulcus (both p values &lt; .05), and the medial prefrontal cortex with the posterior cingulate cortex (PCC) and CAU (both p values &lt; .05). Functional connectivity of the ACC with the amygdala and periaqueductal gray (PAG) matter (p values between .001 and .05), the thalamus with the INS and PAG (both p values &lt; .01), the INS with the putamen (p = .038), the PAG with the CAU (p = .038), the secondary somatosensory area with the motor cortex and PCC (both p values &lt; .05), and the PCC with the superior temporal sulcus (p = .002) was also reduced in FM. In addition, significant negative correlations were observed between depression and PAG connectivity strength with the thalamus (r = -0.64, p = .003) and ACC (r = -0.60, p = .004).\nCONCLUSIONS: These findings demonstrate that patients with FM display a substantial imbalance of the connectivity within the pain network during rest, suggesting that chronic pain may also lead to changes in brain activity during internally generated thought processes such as occur at rest.","container-title":"Psychosomatic Medicine","DOI":"10.1097/PSY.0b013e3182408f04","ISSN":"1534-7796","issue":"1","journalAbbreviation":"Psychosom Med","language":"eng","note":"PMID: 22210242","page":"55-62","source":"PubMed","title":"Disrupted functional connectivity of the pain network in fibromyalgia","volume":"74","author":[{"family":"Cifre","given":"Ignacio"},{"family":"Sitges","given":"Carolina"},{"family":"Fraiman","given":"Daniel"},{"family":"Muñoz","given":"Miguel Ángel"},{"family":"Balenzuela","given":"Pablo"},{"family":"González-Roldán","given":"Ana"},{"family":"Martínez-Jauand","given":"Mercedes"},{"family":"Birbaumer","given":"Niels"},{"family":"Chialvo","given":"Dante R."},{"family":"Montoya","given":"Pedro"}],"issued":{"date-parts":[["2012",1]]},"citation-key":"cifreDisruptedFunctionalConnectivity2012"}}],"schema":"https://github.com/citation-style-language/schema/raw/master/csl-citation.json"}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 xml:space="preserve">(Beckmann et al., 2009; </w:t>
      </w:r>
      <w:proofErr w:type="spellStart"/>
      <w:r w:rsidR="00B261AF">
        <w:rPr>
          <w:rFonts w:ascii="Arial" w:hAnsi="Arial" w:cs="Arial"/>
          <w:color w:val="000000"/>
          <w:sz w:val="24"/>
          <w:szCs w:val="24"/>
        </w:rPr>
        <w:t>Cifre</w:t>
      </w:r>
      <w:proofErr w:type="spellEnd"/>
      <w:r w:rsidR="00B261AF">
        <w:rPr>
          <w:rFonts w:ascii="Arial" w:hAnsi="Arial" w:cs="Arial"/>
          <w:color w:val="000000"/>
          <w:sz w:val="24"/>
          <w:szCs w:val="24"/>
        </w:rPr>
        <w:t xml:space="preserve"> et al., 2012; Jin et al., 2018; </w:t>
      </w:r>
      <w:proofErr w:type="spellStart"/>
      <w:r w:rsidR="00B261AF">
        <w:rPr>
          <w:rFonts w:ascii="Arial" w:hAnsi="Arial" w:cs="Arial"/>
          <w:color w:val="000000"/>
          <w:sz w:val="24"/>
          <w:szCs w:val="24"/>
        </w:rPr>
        <w:t>Oane</w:t>
      </w:r>
      <w:proofErr w:type="spellEnd"/>
      <w:r w:rsidR="00B261AF">
        <w:rPr>
          <w:rFonts w:ascii="Arial" w:hAnsi="Arial" w:cs="Arial"/>
          <w:color w:val="000000"/>
          <w:sz w:val="24"/>
          <w:szCs w:val="24"/>
        </w:rPr>
        <w:t xml:space="preserve"> et al., 2022)</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The MCC has two functionally and connectively distinct divisions consisting of its anterior and posterior sections. The anterior section has been reported to have functional overlap with the ACC, especially in cognitive and sensory-related functions. Uniquely, the MCC, especially its posterior section, plays a primary role in reflexive orientation and response selection. The MCC is anatomically adjacent and strongly connected to </w:t>
      </w:r>
      <w:proofErr w:type="spellStart"/>
      <w:r w:rsidRPr="00B261AF">
        <w:rPr>
          <w:rFonts w:ascii="Arial" w:hAnsi="Arial" w:cs="Arial"/>
          <w:color w:val="000000" w:themeColor="text1"/>
          <w:sz w:val="24"/>
          <w:szCs w:val="24"/>
          <w:lang w:eastAsia="ko-KR"/>
        </w:rPr>
        <w:t>somatomotor</w:t>
      </w:r>
      <w:proofErr w:type="spellEnd"/>
      <w:r w:rsidRPr="00B261AF">
        <w:rPr>
          <w:rFonts w:ascii="Arial" w:hAnsi="Arial" w:cs="Arial"/>
          <w:color w:val="000000" w:themeColor="text1"/>
          <w:sz w:val="24"/>
          <w:szCs w:val="24"/>
          <w:lang w:eastAsia="ko-KR"/>
        </w:rPr>
        <w:t xml:space="preserve"> regions, and thus, plays a role in sensory and motor-related behaviors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{"citationID":"Jo93hvXg","properties":{"formattedCitation":"(Oane et al., 2022; Vogt, 2016)","plainCitation":"(Oane et al., 2022; Vogt, 2016)","noteIndex":0},"citationItems":[{"id":3368,"uris":["http://zotero.org/users/7023408/items/9NJXW7ZV"],"itemData":{"id":3368,"type":"article-journal","abstract":"Summary: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w:t>
      </w:r>
      <w:proofErr w:type="spellStart"/>
      <w:r w:rsidR="00B261AF">
        <w:rPr>
          <w:rFonts w:ascii="Arial" w:hAnsi="Arial" w:cs="Arial"/>
          <w:color w:val="000000"/>
          <w:sz w:val="24"/>
          <w:szCs w:val="24"/>
        </w:rPr>
        <w:t>Oane</w:t>
      </w:r>
      <w:proofErr w:type="spellEnd"/>
      <w:r w:rsidR="00B261AF">
        <w:rPr>
          <w:rFonts w:ascii="Arial" w:hAnsi="Arial" w:cs="Arial"/>
          <w:color w:val="000000"/>
          <w:sz w:val="24"/>
          <w:szCs w:val="24"/>
        </w:rPr>
        <w:t xml:space="preserve"> et al., 2022; Vogt, 2016)</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The PCC and </w:t>
      </w:r>
      <w:proofErr w:type="spellStart"/>
      <w:r w:rsidRPr="00B261AF">
        <w:rPr>
          <w:rFonts w:ascii="Arial" w:hAnsi="Arial" w:cs="Arial"/>
          <w:color w:val="000000" w:themeColor="text1"/>
          <w:sz w:val="24"/>
          <w:szCs w:val="24"/>
          <w:lang w:eastAsia="ko-KR"/>
        </w:rPr>
        <w:t>retrosplenial</w:t>
      </w:r>
      <w:proofErr w:type="spellEnd"/>
      <w:r w:rsidRPr="00B261AF">
        <w:rPr>
          <w:rFonts w:ascii="Arial" w:hAnsi="Arial" w:cs="Arial"/>
          <w:color w:val="000000" w:themeColor="text1"/>
          <w:sz w:val="24"/>
          <w:szCs w:val="24"/>
          <w:lang w:eastAsia="ko-KR"/>
        </w:rPr>
        <w:t xml:space="preserve"> cortex, while functionally distinct, are often grouped anatomically. These are key regions in the human default mode network, and have well-established functional roles in memory, introspection, self-referential cognition, visual processing, and attention. These regions have documented functional and structural connections to limbic, frontal, orbitofrontal, visual, cingulate, and parietal areas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{"citationID":"LpI4ma1m","properties":{"formattedCitation":"(Kaboodvand et al., 2018; Leech &amp; Sharp, 2014; Oane et al., 2022; Vogt, 2005; Willbrand et al., 2022)","plainCitation":"(Kaboodvand et al., 2018; Leech &amp; Sharp, 2014; Oane et al., 2022; Vogt, 2005; Willbrand et al., 2022)","noteIndex":0},"citationItems":[{"id":3368,"uris":["http://zotero.org/users/7023408/items/9NJXW7ZV"],"itemData":{"id":3368,"type":"article-journal","abstract":"Summary: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A."}],"issued":{"date-parts":[["2005",7]]},"citation-key":"vogtPainEmotionInteractions2005"}},{"id":3666,"uris":["http://zotero.org/users/7023408/items/ZM4ID2EQ"],"itemData":{"id":3666,"type":"article-journal","abstract":"The posterior cingulate cortex is a highly connected and metabolically active brain region. Recent studies suggest it has an important cognitive role, although there is no consensus about what this is. The region is typically discussed as having a unitary function because of a common pattern of relative deactivation observed during attentionally demanding tasks. One influential hypothesis is that the posterior cingulate cortex has a central role in supporting internally-directed cognition. It is a key node in the default mode network and shows increased activity when individuals retrieve autobiographical memories or plan for the future, as well as during unconstrained ‘rest’ when activity in the brain is ‘free-wheeling’. However, other evidence suggests that the region is highly heterogeneous and may play a direct role in regulating the focus of attention. In addition, its activity varies with arousal state and its interactions with other brain networks may be important for conscious awareness. Understanding posterior cingulate cortex function is likely to be of clinical importance. It is well protected against ischaemic stroke, and so there is relatively little neuropsychological data about the consequences of focal lesions. However, in other conditions abnormalities in the region are clearly linked to disease. For example, amyloid deposition and reduced metabolism is seen early in Alzheimer’s disease. Functional neuroimaging studies show abnormalities in a range of neurological and psychiatric disorders including Alzheimer’s disease, schizophrenia, autism, depression and attention deficit hyperactivity disorder, as well as ageing. Our own work has consistently shown abnormal posterior cingulate cortex function following traumatic brain injury, which predicts attentional impairments. Here we review the anatomy and physiology of the region and how it is affected in a range of clinical conditions, before discussing its proposed functions. We synthesize key findings into a novel model of the region’s function (the ‘Arousal, Balance and Breadth of Attention’ model). Dorsal and ventral subcomponents are functionally separated and differences in regional activity are explained by considering: (i) arousal state; (ii) whether attention is focused internally or externally; and (iii) the breadth of attentional focus. The predictions of the model can be tested within the framework of complex dynamic systems theory, and we propose that the dorsal posterior cingulate cortex influences attentional focus by ‘tuning’ whole-brain metastability and so adjusts how stable brain network activity is over time.","container-title":"Brain","DOI":"10.1093/brain/awt162","ISSN":"0006-8950","issue":"1","journalAbbreviation":"Brain","note":"PMID: 23869106\nPMCID: PMC3891440","page":"12-32","source":"PubMed Central","title":"The role of the posterior cingulate cortex in cognition and disease","volume":"137","author":[{"family":"Leech","given":"Robert"},{"family":"Sharp","given":"David J."}],"issued":{"date-parts":[["2014",1]]},"citation-key":"leechRolePosteriorCingulate2014"}},{"id":4306,"uris":["http://zotero.org/users/7023408/items/AYFA9R3L"],"itemData":{"id":4306,"type":"article-journal","abstract":"The default mode network (DMN) involves interacting cortical areas, including the posterior cingulate cortex (PCC) and the retrosplenial cortex (RSC), and subcortical areas, including the medial temporal lobe (MTL). The degree of functional connectivity (FC) within the DMN, particularly between MTL and medial</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parietal subsystems, relates to episodic memory (EM) processes. However, past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studies investigating the link between posterior DMN</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MTL FC and EM performance yielded inconsistent results, possibly reflecting heterogeneity in the degree of connectivity between MTL and specific cortical DMN regions. Animal work suggests that RSC has structural connections to both cortical DMN regions and MTL, and may thus serve as an intermediate layer that facilitates information transfer between cortical and subcortical DMNs. We studied 180 healthy old adults (aged 64–68 years), who underwent comprehensive assessment of EM, along with resting</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state fMRI. We found greater FC between MTL and RSC than between MTL and the other cortical DMN regions (e.g., PCC), with the only significant association with EM observed for MTL</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RSC FC. Mediational analysis showed that MTL</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cortical DMN connectivity increased with RSC as a mediator. Further analysis using a graph</w:instrText>
      </w:r>
      <w:r w:rsidR="00B261AF">
        <w:rPr>
          <w:rFonts w:ascii="Cambria Math" w:hAnsi="Cambria Math" w:cs="Cambria Math"/>
          <w:color w:val="000000" w:themeColor="text1"/>
          <w:sz w:val="24"/>
          <w:szCs w:val="24"/>
          <w:lang w:eastAsia="ko-KR"/>
        </w:rPr>
        <w:instrText>‐</w:instrText>
      </w:r>
      <w:r w:rsidR="00B261AF">
        <w:rPr>
          <w:rFonts w:ascii="Arial" w:hAnsi="Arial" w:cs="Arial"/>
          <w:color w:val="000000" w:themeColor="text1"/>
          <w:sz w:val="24"/>
          <w:szCs w:val="24"/>
          <w:lang w:eastAsia="ko-KR"/>
        </w:rPr>
        <w:instrText xml:space="preserve">theoretical approach on DMN nodes revealed the highest betweenness centrality for RSC, confirming that a high proportion of short paths among DMN regions pass through RSC. Importantly, the degree of RSC mediation was associated with EM performance, suggesting that individuals with greater mediation have an EM advantage. These findings suggest that RSC forms a critical gateway between MTL and cortical DMN to support EM in older adults.","container-title":"Human Brain Mapping","DOI":"10.1002/hbm.23983","ISSN":"1065-9471","issue":"5","journalAbbreviation":"Hum Brain Mapp","note":"PMID: 29363256\nPMCID: PMC6866613","page":"2020-2034","source":"PubMed Central","title":"The retrosplenial cortex: A memory gateway between the cortical default mode network and the medial temporal lobe","title-short":"The retrosplenial cortex","volume":"39","author":[{"family":"Kaboodvand","given":"Neda"},{"family":"Bäckman","given":"Lars"},{"family":"Nyberg","given":"Lars"},{"family":"Salami","given":"Alireza"}],"issued":{"date-parts":[["2018",1,23]]},"citation-key":"kaboodvandRetrosplenialCortexMemory2018"}},{"id":4312,"uris":["http://zotero.org/users/7023408/items/I5JJF43R"],"itemData":{"id":4312,"type":"article-journal","abstract":"Understanding brain structure-function relationships, and their development and evolution, is central to neuroscience research. Here, we show that morphological differences in posterior cingulate cortex (PCC), a hub of functional brain networks, predict individual differences in macroanatomical, microstructural, and functional features of PCC. Manually labeling 4511 sulci in 572 hemispheres, we found a shallow cortical indentation (termed the inframarginal sulcus; \n              ifrms \n              ) within PCC that is absent from neuroanatomical atlases yet colocalized with a focal, functional region of the lateral frontoparietal network implicated in cognitive control. This structural-functional coupling generalized to meta-analyses consisting of hundreds of studies and thousands of participants. Additional morphological analyses showed that unique properties of the \n              ifrms \n              differ across the life span and between hominoid species. These findings support a classic theory that shallow, tertiary sulci serve as landmarks in association cortices. They also beg the question: How many other cortical indentations have we missed? \n             \n          ,  \n            A previously uncharted brain structure links functional and anatomical organization and differs across the life span and species.","container-title":"Science Advances","DOI":"10.1126/sciadv.abn9516","ISSN":"2375-2548","issue":"36","journalAbbreviation":"Sci. Adv.","language":"en","page":"eabn9516","source":"DOI.org (Crossref)","title":"Uncovering a tripartite landmark in posterior cingulate cortex","volume":"8","author":[{"family":"Willbrand","given":"Ethan H."},{"family":"Parker","given":"Benjamin J."},{"family":"Voorhies","given":"Willa I."},{"family":"Miller","given":"Jacob A."},{"family":"Lyu","given":"Ilwoo"},{"family":"Hallock","given":"Tyler"},{"family":"Aponik-Gremillion","given":"Lyndsey"},{"family":"Koslov","given":"Seth R."},{"literal":"Alzheimer’s Disease Neuroimaging Initiative"},{"family":"Bunge","given":"Silvia A."},{"family":"Foster","given":"Brett L."},{"family":"Weiner","given":"Kevin S."}],"issued":{"date-parts":[["2022",9,9]]},"citation-key":"willbrandUncoveringTripartiteLandmark2022"}}],"schema":"https://github.com/citation-style-language/schema/raw/master/csl-citation.json"}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w:t>
      </w:r>
      <w:proofErr w:type="spellStart"/>
      <w:r w:rsidR="00B261AF">
        <w:rPr>
          <w:rFonts w:ascii="Arial" w:hAnsi="Arial" w:cs="Arial"/>
          <w:color w:val="000000"/>
          <w:sz w:val="24"/>
          <w:szCs w:val="24"/>
        </w:rPr>
        <w:t>Kaboodvand</w:t>
      </w:r>
      <w:proofErr w:type="spellEnd"/>
      <w:r w:rsidR="00B261AF">
        <w:rPr>
          <w:rFonts w:ascii="Arial" w:hAnsi="Arial" w:cs="Arial"/>
          <w:color w:val="000000"/>
          <w:sz w:val="24"/>
          <w:szCs w:val="24"/>
        </w:rPr>
        <w:t xml:space="preserve"> et al., 2018; Leech &amp; Sharp, 2014; </w:t>
      </w:r>
      <w:proofErr w:type="spellStart"/>
      <w:r w:rsidR="00B261AF">
        <w:rPr>
          <w:rFonts w:ascii="Arial" w:hAnsi="Arial" w:cs="Arial"/>
          <w:color w:val="000000"/>
          <w:sz w:val="24"/>
          <w:szCs w:val="24"/>
        </w:rPr>
        <w:t>Oane</w:t>
      </w:r>
      <w:proofErr w:type="spellEnd"/>
      <w:r w:rsidR="00B261AF">
        <w:rPr>
          <w:rFonts w:ascii="Arial" w:hAnsi="Arial" w:cs="Arial"/>
          <w:color w:val="000000"/>
          <w:sz w:val="24"/>
          <w:szCs w:val="24"/>
        </w:rPr>
        <w:t xml:space="preserve"> et al., 2022; Vogt, 2005; Willbrand et al., 2022)</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w:t>
      </w:r>
    </w:p>
    <w:p w14:paraId="7DF6504A" w14:textId="6790E7CC"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The human Cg is studied in the field of human connectivity most often due to its complexity, relevance to cognition and behavior, and role in various disease states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{"citationID":"aixtydK1","properties":{"formattedCitation":"(Vogt, 2019)","plainCitation":"(Vogt, 2019)","noteIndex":0},"citationItems":[{"id":4308,"uris":["http://zotero.org/users/7023408/items/DAARBC2P"],"itemData":{"id":4308,"type":"article-journal","abstract":"A brief review of the history of key observations of cingulate organization, particularly in the limbic system framework, is presented from 1907 to the present. The reasons why it has not played a significant role in neurology reflect the fact that its arterial supply is complex and no cingulate syndrome has been identified. A flat map of its eight subregions and areas is presented as a basis for many subsequent chapters in this volume. Along with this is a summary of current functional attributes of many of its divisions including cognitive, emotion, mental (Theory of Mind), skeletomotor, and autonomic output and various models of its function based on connectivity studies.","container-title":"Handbook of Clinical Neurology","DOI":"10.1016/B978-0-444-64196-0.00001-7","ISSN":"0072-9752","journalAbbreviation":"Handb Clin Neurol","language":"eng","note":"PMID: 31731918","page":"3-21","source":"PubMed","title":"The cingulate cortex in neurologic diseases: History, Structure, Overview","title-short":"The cingulate cortex in neurologic diseases","volume":"166","author":[{"family":"Vogt","given":"Brent A."}],"issued":{"date-parts":[["2019"]]},"citation-key":"vogtCingulateCortexNeurologic2019"}}],"schema":"https://github.com/citation-style-language/schema/raw/master/csl-citation.json"}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(Vogt, 2019)</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Connectivity is often studied through a functional or structural lens. Functional connectivity represents connections between regions based on the shared statistical content of the physiology recorded within brain regions, typically under behavioral paradigms. Unlike structural connectivity, functional connectivity draws connections between regions regardless of direct structural links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{"citationID":"wi7KmKKD","properties":{"formattedCitation":"(Friston, 2011; Krohn et al., 2023)","plainCitation":"(Friston, 2011; Krohn et al., 2023)","noteIndex":0},"citationItems":[{"id":4269,"uris":["http://zotero.org/users/7023408/items/6IM4DBTS"],"itemData":{"id":4269,"type":"article-journal","abstract":"Over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J."}],"issued":{"date-parts":[["2011"]]},"citation-key":"fristonFunctionalEffectiveConnectivity2011"}},{"id":4313,"uris":["http://zotero.org/users/7023408/items/2ESCBLTT"],"itemData":{"id":4313,"type":"article-journal","abstract":"The human brain operates in large-scale functional networks. These networks are an expression of temporally correlated activity across brain regions, but how global network properties relate to the neural dynamics of individual regions remains incompletely understood. Here, we show that the brain’s network architecture is tightly linked to critical episodes of neural regularity, visible as spontaneous “complexity drops” in functional magnetic resonance imaging signals. These episodes closely explain functional connectivity strength between regions, subserve the propagation of neural activity patterns, and reflect interindividual differences in age and behavior. Furthermore, complexity drops define neural activity states that dynamically shape the connectivity strength, topological configuration, and hierarchy of brain networks and comprehensively explain known structure-function relationships within the brain. These findings delineate a principled complexity architecture of neural activity—a human “complexome” that underpins the brain’s functional network organization. \n          ,  \n            The functional network architecture of the human brain is tightly linked to critical moments of neural regularity.","container-title":"Science Advances","DOI":"10.1126/sciadv.abq3851","ISSN":"2375-2548","issue":"5","journalAbbreviation":"Sci. Adv.","language":"en","page":"eabq3851","source":"DOI.org (Crossref)","title":"A spatiotemporal complexity architecture of human brain activity","volume":"9","author":[{"family":"Krohn","given":"Stephan"},{"family":"Von Schwanenflug","given":"Nina"},{"family":"Waschke","given":"Leonhard"},{"family":"Romanello","given":"Amy"},{"family":"Gell","given":"Martin"},{"family":"Garrett","given":"Douglas D."},{"family":"Finke","given":"Carsten"}],"issued":{"date-parts":[["2023",2,3]]},"citation-key":"krohnSpatiotemporalComplexityArchitecture2023"}}],"schema":"https://github.com/citation-style-language/schema/raw/master/csl-citation.json"}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 xml:space="preserve">(Friston, 2011; Krohn </w:t>
      </w:r>
      <w:r w:rsidR="00B261AF">
        <w:rPr>
          <w:rFonts w:ascii="Arial" w:hAnsi="Arial" w:cs="Arial"/>
          <w:color w:val="000000"/>
          <w:sz w:val="24"/>
          <w:szCs w:val="24"/>
        </w:rPr>
        <w:lastRenderedPageBreak/>
        <w:t>et al., 2023)</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In contrast, structural connectivity infers the presence and direction of white matter fibers between regions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{"citationID":"fsL3mnhx","properties":{"formattedCitation":"(Griffa et al., 2013)","plainCitation":"(Griffa et al., 2013)","noteIndex":0},"citationItems":[{"id":4309,"uris":["http://zotero.org/users/7023408/items/CH62Y4F6"],"itemData":{"id":4309,"type":"article-journal","abstract":"Imaging the connectome in vivo has become feasible through the integration of several rapidly developing fields of science and engineering, namely magnetic resonance imaging and in particular diffusion MRI on one side, image processing and network theory on the other side. This framework brings in vivo brain imaging closer to the real topology of the brain, contributing to narrow the existing gap between our understanding of brain structural organization on one side and of human behavior and cognition on the other side. Given the seminal technical progresses achieved in the last few years, it may be ready to tackle even greater challenges, namely exploring disease mechanisms. In this review we analyze the current situation from the technical and biological perspectives. First, we critically review the technical solutions proposed in the literature to perform clinical studies. We analyze for each step (i.e. MRI acquisition, network building and network statistical analysis) the advantages and potential limitations. In the second part we review the current literature available on a selected subset of diseases, namely, dementia, schizophrenia, multiple sclerosis and others, and try to extract for each disease the common findings and main differences between reports.","container-title":"NeuroImage","DOI":"10.1016/j.neuroimage.2013.04.056","ISSN":"1095-9572","journalAbbreviation":"Neuroimage","language":"eng","note":"PMID: 23623973","page":"515-526","source":"PubMed","title":"Structural connectomics in brain diseases","volume":"80","author":[{"family":"Griffa","given":"Alessandra"},{"family":"Baumann","given":"Philipp S."},{"family":"Thiran","given":"Jean-Philippe"},{"family":"Hagmann","given":"Patric"}],"issued":{"date-parts":[["2013",10,15]]},"citation-key":"griffaStructuralConnectomicsBrain2013"}}],"schema":"https://github.com/citation-style-language/schema/raw/master/csl-citation.json"}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w:t>
      </w:r>
      <w:proofErr w:type="spellStart"/>
      <w:r w:rsidR="00B261AF">
        <w:rPr>
          <w:rFonts w:ascii="Arial" w:hAnsi="Arial" w:cs="Arial"/>
          <w:color w:val="000000"/>
          <w:sz w:val="24"/>
          <w:szCs w:val="24"/>
        </w:rPr>
        <w:t>Griffa</w:t>
      </w:r>
      <w:proofErr w:type="spellEnd"/>
      <w:r w:rsidR="00B261AF">
        <w:rPr>
          <w:rFonts w:ascii="Arial" w:hAnsi="Arial" w:cs="Arial"/>
          <w:color w:val="000000"/>
          <w:sz w:val="24"/>
          <w:szCs w:val="24"/>
        </w:rPr>
        <w:t xml:space="preserve"> et al., 2013)</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While these metrics are both useful and accessible through modern imaging techniques, they do not resolve the cause-and-effect relationships between structures, or the nuanced physiology indicative of one neuronal population’s influence over another. </w:t>
      </w:r>
    </w:p>
    <w:p w14:paraId="6D732150" w14:textId="242AAAD0"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Effective connectivity refers to the influence one neuronal population has over another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{"citationID":"1ZuV2sSC","properties":{"formattedCitation":"(Friston, 2011)","plainCitation":"(Friston, 2011)","noteIndex":0},"citationItems":[{"id":4269,"uris":["http://zotero.org/users/7023408/items/6IM4DBTS"],"itemData":{"id":4269,"type":"article-journal","abstract":"Over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(Friston, 2011)</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While this measure can be inferred statistically, interventional methods such as direct electrical stimulation of brain regions provide causal models of effective connectivity. Specifically, stereotactic electroencephalography (SEEG)-mediated direct single-pulse electrical stimulation (SPES) of brain regions produces cortico-cortical evoked potentials (CCEPs) in effectively connected regions. Subsequently, the analysis of CCEP quality and characteristics elucidates the mechanisms of how the stimulated region influences effectively connected areas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{"citationID":"jrffvGV2","properties":{"formattedCitation":"(Keller et al., 2014)","plainCitation":"(Keller et al., 2014)","noteIndex":0},"citationItems":[{"id":3516,"uris":["http://zotero.org/users/7023408/items/PIPUQARN"],"itemData":{"id":3516,"type":"article-journal","abstract":"The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(Keller et al., 2014)</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For example, CCEP magnitude indicates the strength of directional connectivity, CCEP latency reflects aspects of fiber pathways such as distance from the site of stimulation, and CCEP morphological features can provide insight into the neurophysiological processes that influence effective pathways (e.g., connection directness, pathway signatures, directionality of connections)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{"citationID":"kBxef69u","properties":{"formattedCitation":"(Hays et al., 2021; Huang &amp; Keller, 2023; Levinson et al., 2024; Miller et al., 2023; Prime et al., 2020)","plainCitation":"(Hays et al., 2021; Huang &amp; Keller, 2023; Levinson et al., 2024; Miller et al., 2023; Prime et al., 2020)","noteIndex":0},"citationItems":[{"id":4270,"uris":["http://zotero.org/users/7023408/items/3YRNXVAK"],"itemData":{"id":4270,"type":"article-journal","abstract":"Objective\nThe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4310,"uris":["http://zotero.org/users/7023408/items/YAYVT4FM"],"itemData":{"id":4310,"type":"article-journal","abstract":"Background\nCortico-cortical evoked potentials (CCEP) are a technique using low frequency stimulation to infer regions of cortical connectivity in patients undergoing Stereo-electroencephalographic (SEEG) monitoring for refractory epilepsy. Little attention has been given to volume conducted components of CCEP responses, and how they may inflate CCEP connectivity.\nNew Method\nUsing data from 37 SEEG-CCEPs patients, a novel method was developed to quantify stimulation artefact by measuring the peak-to-peak voltage difference in the first 10 ms after CCEP stimulation. Early responses to CCEP stimulation were also quantified by calculating the root mean square of the 10−100 ms period after each stimulation pulse. Both the early CCEP responses and amplitude of stimulation artefact were regressed by physical distance, stimulation waveform, stimulation intensity and tissue type to identify conduction related properties.\nResults\nBoth stimulation artefact and early responses were correlated strongly with the inverse square of the distance from the stimulating electrode. Once corrected for the inverse square distance from the electrode, stimulation artefact and CCEP responses showed a linear relationship, indicating a volume conducted component.\nComparison with existing methods\nThis is the first study to use stimulation artefact to quantify volume conducted potentials, and is the first to quantify volume conducted potentials in SEEG. A single prior study utilizing electrocorticography has shown that parts of early CCEP responses are due to volume conduction.\nConclusions\nThe linear relationship between stimulation artefact amplitude and CCEP early responses, once corrected for distance, suggests that stimulation artefact can be used as a measure to quantify the volume conducted components.","container-title":"Journal of Neuroscience Methods","DOI":"10.1016/j.jneumeth.2020.108639","ISSN":"0165-0270","journalAbbreviation":"Journal of Neuroscience Methods","page":"108639","source":"ScienceDirect","title":"Quantifying volume conducted potential using stimulation artefact in cortico-cortical evoked potentials","volume":"337","author":[{"family":"Prime","given":"David"},{"family":"Woolfe","given":"Matthew"},{"family":"O’Keefe","given":"Steven"},{"family":"Rowlands","given":"David"},{"family":"Dionisio","given":"Sasha"}],"issued":{"date-parts":[["2020",5,1]]},"citation-key":"primeQuantifyingVolumeConducted2020"}},{"id":3509,"uris":["http://zotero.org/users/7023408/items/JDPDPDPW"],"itemData":{"id":3509,"type":"chapter","abstract":"While many human imaging methodologies probe the structural and functional connectivity of the brain, techniques to investigate cortical networks in a causal and directional manner are critical but limited. The use of iEEG enables several approaches to directly characterize brain regions that are functionally connected and in some cases also establish directionality of these connections. In this chapter we focus on the basis, method and application of the cortico-cortical evoked potential (CCEP), whereby electrical pulses applied to one set of intracranial electrodes yields an electrically-induced brain response at local and remote regions. In this chapter, CCEPs are first contextualized within common brain connectivity methods used to define cortical networks and how CCEP adds unique information. Second, the practical and analytical considerations when using CCEP are discussed. Third, we review the neurophysiology underlying CCEPs and the applications of CCEPs including exploring functional and pathological brain networks and probing brain plasticity. Finally, we end with a discussion of limitations, caveats, and directions to improve CCEP utilization in the future.","collection-title":"Studies in Neuroscience, Psychology and Behavioral Economics","container-title":"Intracranial EEG: A Guide for Cognitive Neuroscientists","event-place":"Cham","ISBN":"978-3-031-20910-9","language":"en","note":"DOI: 10.1007/978-3-031-20910-9_40","page":"639-655","publisher":"Springer International Publishing","publisher-place":"Cham","source":"Springer Link","title":"How Can I Investigate Causal Brain Networks with iEEG?","URL":"https://doi.org/10.1007/978-3-031-20910-9_40","author":[{"family":"Huang","given":"Yuhao"},{"family":"Keller","given":"Corey"}],"editor":[{"family":"Axmacher","given":"Nikolai"}],"accessed":{"date-parts":[["2023",11,2]]},"issued":{"date-parts":[["2023"]]},"citation-key":"huangHowCanInvestigate2023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(Hays et al., 2021; Huang &amp; Keller, 2023; Levinson et al., 2024; Miller et al., 2023; Prime et al., 2020)</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w:t>
      </w:r>
    </w:p>
    <w:p w14:paraId="74D1F29F" w14:textId="69E8D961"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While CCEP analysis has the potential to reveal invaluable information on the dynamics and function of neural systems, the lack of a formally established methodology and analysis standards limits the utility and interpretability of effective connectivity characterization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{"citationID":"dZwfzTon","properties":{"formattedCitation":"(Miller et al., 2021, 2023)","plainCitation":"(Miller et al., 2021, 2023)","noteIndex":0},"citationItems":[{"id":4293,"uris":["http://zotero.org/users/7023408/items/DUZJRH6R"],"itemData":{"id":4293,"type":"article-journal","abstract":"Single-pulse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(Miller et al., 2021, 2023)</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This is especially true for evaluating the effective networks of the Cg, as its functional complexity and highly integrated nature likely follow intricate effective connections throughout the brain. Current studies of effective connectivity, even those evaluating the networks of the Cg, use highly variable stimulation parameters, drastically affecting CCEP characteristics, or include data from patients with major cortical resections, which alters tractography and cortical physiology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{"citationID":"BTzEffLu","properties":{"formattedCitation":"(Hays et al., 2021; Matsumoto et al., 2004; Parmigiani et al., 2022)","plainCitation":"(Hays et al., 2021; Matsumoto et al., 2004; Parmigiani et al., 2022)","noteIndex":0},"citationItems":[{"id":4270,"uris":["http://zotero.org/users/7023408/items/3YRNXVAK"],"itemData":{"id":4270,"type":"article-journal","abstract":"Objective\nThe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Y."}],"issued":{"date-parts":[["2021",11,1]]},"citation-key":"haysEffectsStimulationIntensity2021"}},{"id":3654,"uris":["http://zotero.org/users/7023408/items/DNUA57UZ"],"itemData":{"id":3654,"type":"article-journal","abstract":"Background\nCortico-cortical evoked potentials (CCEPs) recorded by stereo-electroencephalography (SEEG) are a valuable tool to investigate brain reactivity and effective connectivity. However, invasive recordings are spatially sparse since they depend on clinical needs. This sparsity hampers systematic comparisons across-subjects, the detection of the whole-brain effects of intracortical stimulation, as well as their relationships to the EEG responses evoked by non-invasive stimuli.\nObjective\nTo demonstrate that CCEPs recorded by high-density electroencephalography (hd-EEG) provide additional information with respect SEEG alone and to provide an open, curated dataset to allow for further exploration of their potential.\nMethods\nThe dataset encompasses SEEG and hd-EEG recordings simultaneously acquired during Single Pulse Electrical Stimulation (SPES) in drug-resistant epileptic patients (N = 36) in whom stimulations were delivered with different physical, geometrical, and topological parameters. Differences in CCEPs were assessed by amplitude, latency, and spectral measures.\nResults\nWhile invasively and non-invasively recorded CCEPs were generally correlated, differences in pulse duration, angle and stimulated cortical area were better captured by hd-EEG. Further, intracranial stimulation evoked site-specific hd-EEG responses that reproduced the spectral features of EEG responses to transcranial magnetic stimulation (TMS). Notably, SPES, albeit unperceived by subjects, elicited scalp responses that were up to one order of magnitude larger than the responses typically evoked by sensory stimulation in awake humans.\nConclusions\nCCEPs can be simultaneously recorded with SEEG and hd-EEG and the latter provides a reliable descriptor of the effects of SPES as well as a common reference to compare the whole-brain effects of intracortical stimulation to those of non-invasive transcranial or sensory stimulations in humans.","container-title":"Brain Stimulation","DOI":"10.1016/j.brs.2022.04.007","ISSN":"1935-861X","issue":"3","journalAbbreviation":"Brain Stimulation","page":"664-675","source":"ScienceDirect","title":"Simultaneous stereo-EEG and high-density scalp EEG recordings to study the effects of intracerebral stimulation parameters","volume":"15","author":[{"family":"Parmigiani","given":"S."},{"family":"Mikulan","given":"E."},{"family":"Russo","given":"S."},{"family":"Sarasso","given":"S."},{"family":"Zauli","given":"F. M."},{"family":"Rubino","given":"A."},{"family":"Cattani","given":"A."},{"family":"Fecchio","given":"M."},{"family":"Giampiccolo","given":"D."},{"family":"Lanzone","given":"J."},{"family":"D'Orio","given":"P."},{"family":"Del Vecchio","given":"M."},{"family":"Avanzini","given":"P."},{"family":"Nobili","given":"L."},{"family":"Sartori","given":"I."},{"family":"Massimini","given":"M."},{"family":"Pigorini","given":"A."}],"issued":{"date-parts":[["2022",5,1]]},"citation-key":"parmigianiSimultaneousStereoEEGHighdensity2022"},"label":"page"},{"id":4271,"uris":["http://zotero.org/users/7023408/items/FBSRKXDQ"],"itemData":{"id":4271,"type":"article-journal","abstract":"A better understanding of the mechanisms involved in human higher cortical functions requires a detailed knowledge of neuronal connectivity between functional cortical regions. Currently no good method for tracking in vivo neuronal connectivity exists. We investigated the inter-areal connections in vivo in the human language system using a new method, which we termed 'cortico-cortical evoked potentials' (CCEPs). Eight patients with epilepsy (age 13-42 years) underwent invasive monitoring with subdural electrodes for epilepsy surgery. Six patients had language dominance on the side of grid implantation and two had bilateral language representation by the intracarotid amobarbital test. Conventional cortical electrical stimulation was performed to identify the anterior and posterior language areas. Single pulse electrical stimuli were delivered to the anterior language (eight patients), posterior language (four patients) or face motor (two patients) area, and CCEPs were obtained by averaging electrocorticograms (ECoGs) recorded from the perisylvian and extrasylvian basal temporal language areas time-locked to the stimulus. The subjects were not asked to perform any tasks during the study. Stimulation at the anterior language area elicited CCEPs in the lateral temporo-parietal area (seven of eight patients) in the middle and posterior part of the superior temporal gyrus, the adjacent part of the middle temporal gyrus and the supramarginal gyrus. CCEPs were recorded in 3-21 electrodes per patient. CCEPs occurred at or around the particular electrodes in the posterior language area which, when stimulated, produced speech arrest. Similar early and late CCEPs were obtained from the basal temporal area by stimulating the anterior language area (three of three patients). In contrast, stimulation of the adjacent face motor area did not elicit CCEPs in language areas but rather in the postcentral gyrus. Stimulation of the posterior language area produced CCEPs in the anterior language (three of four patients) as well as in the basal temporal area (one of two patients). These CCEPs were less well defined. These findings suggest that perisylvian and extrasylvian language areas participate in the language system as components of a network by means of feed-forward and feed-back projections. Different from the classical Wernicke-Geschwind model, the present study revealed a bidirectional connection between Broca's and Wernicke's areas probably through the arcuate fasciculus and/or the cortico-subcortico-cortical pathway. CCEPs were recorded from a larger area than the posterior language area identified by electrical stimulation. This suggests the existence of a rather broad neuronal network surrounding the previously recognized core region of this area.","container-title":"Brain: A Journal of Neurology","DOI":"10.1093/brain/awh246","ISSN":"1460-2156","issue":"Pt 10","journalAbbreviation":"Brain","language":"eng","note":"PMID: 15269116","page":"2316-2330","source":"PubMed","title":"Functional connectivity in the human language system: a cortico-cortical evoked potential study","title-short":"Functional connectivity in the human language system","volume":"127","author":[{"family":"Matsumoto","given":"Riki"},{"family":"Nair","given":"Dileep R."},{"family":"LaPresto","given":"Eric"},{"family":"Najm","given":"Imad"},{"family":"Bingaman","given":"William"},{"family":"Shibasaki","given":"Hiroshi"},{"family":"Lüders","given":"Hans O."}],"issued":{"date-parts":[["2004",10]]},"citation-key":"matsumotoFunctionalConnectivityHuman2004a"}}],"schema":"https://github.com/citation-style-language/schema/raw/master/csl-citation.json"}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(Hays et al., 2021; Matsumoto et al., 2004; Parmigiani et al., 2022)</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Analytical methods also </w:t>
      </w:r>
      <w:proofErr w:type="gramStart"/>
      <w:r w:rsidRPr="00B261AF">
        <w:rPr>
          <w:rFonts w:ascii="Arial" w:hAnsi="Arial" w:cs="Arial"/>
          <w:color w:val="000000" w:themeColor="text1"/>
          <w:sz w:val="24"/>
          <w:szCs w:val="24"/>
          <w:lang w:eastAsia="ko-KR"/>
        </w:rPr>
        <w:t>have an effect on</w:t>
      </w:r>
      <w:proofErr w:type="gramEnd"/>
      <w:r w:rsidRPr="00B261AF">
        <w:rPr>
          <w:rFonts w:ascii="Arial" w:hAnsi="Arial" w:cs="Arial"/>
          <w:color w:val="000000" w:themeColor="text1"/>
          <w:sz w:val="24"/>
          <w:szCs w:val="24"/>
          <w:lang w:eastAsia="ko-KR"/>
        </w:rPr>
        <w:t xml:space="preserve"> the statistical content and interpretability of CCEPs. Therefore, the choice of analytical method directly determines how the effective connections between regions are characterized and defined. For example, studies of effective connectivity often use CCEP magnitude or rely on pre-defined assumptions about CCEP shape, thus limiting the utility and depth of network-wide characterization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{"citationID":"BMD6zvxz","properties":{"formattedCitation":"(Levinson et al., 2024; Miller et al., 2023)","plainCitation":"(Levinson et al., 2024; Miller et al., 2023)","noteIndex":0},"citationItems":[{"id":4268,"uris":["http://zotero.org/users/7023408/items/ZAVRVS7A"],"itemData":{"id":4268,"type":"article-journal","abstract":"Background\nCortico-cortical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(Levinson et al., 2024; Miller et al., 2023)</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Further, due to the high dimensionality of data required to profile entire effective networks, studies of effective connectivity utilizing more rigorous analytical approaches often focus on subsets of networks, especially in work investigating hypothesis-preselected circuits. While these methods are critical for providing deep insight into the neural mechanisms of the connections comprising </w:t>
      </w:r>
      <w:r w:rsidRPr="00B261AF">
        <w:rPr>
          <w:rFonts w:ascii="Arial" w:hAnsi="Arial" w:cs="Arial"/>
          <w:color w:val="000000" w:themeColor="text1"/>
          <w:sz w:val="24"/>
          <w:szCs w:val="24"/>
          <w:lang w:eastAsia="ko-KR"/>
        </w:rPr>
        <w:lastRenderedPageBreak/>
        <w:t xml:space="preserve">networks, this level of detail makes it difficult to profile entire effective networks and compare them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{"citationID":"u7VmYXjU","properties":{"formattedCitation":"(Miller et al., 2021, 2023; Ojeda Valencia et al., 2023)","plainCitation":"(Miller et al., 2021, 2023; Ojeda Valencia et al., 2023)","noteIndex":0},"citationItems":[{"id":4293,"uris":["http://zotero.org/users/7023408/items/DUZJRH6R"],"itemData":{"id":4293,"type":"article-journal","abstract":"Single-pulse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(Miller et al., 2021, 2023; Ojeda Valencia et al., 2023)</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 xml:space="preserve">. Furthermore, understanding effective networks, especially those of the human Cg, has direct clinical relevance as subregions are targeted for interventions to treat a diverse set of neuropsychiatric disorders, including depression, anxiety, and pain </w:t>
      </w:r>
      <w:r w:rsidRPr="00B261AF">
        <w:rPr>
          <w:rFonts w:ascii="Arial" w:hAnsi="Arial" w:cs="Arial"/>
          <w:color w:val="000000" w:themeColor="text1"/>
          <w:sz w:val="24"/>
          <w:szCs w:val="24"/>
          <w:lang w:eastAsia="ko-KR"/>
        </w:rPr>
        <w:fldChar w:fldCharType="begin"/>
      </w:r>
      <w:r w:rsidR="00B261AF">
        <w:rPr>
          <w:rFonts w:ascii="Arial" w:hAnsi="Arial" w:cs="Arial"/>
          <w:color w:val="000000" w:themeColor="text1"/>
          <w:sz w:val="24"/>
          <w:szCs w:val="24"/>
          <w:lang w:eastAsia="ko-KR"/>
        </w:rPr>
        <w:instrText xml:space="preserve"> ADDIN ZOTERO_ITEM CSL_CITATION {"citationID":"0muR8W6X","properties":{"formattedCitation":"(Bijanki et al., n.d.; Boccard et al., 2015; Mayberg et al., 2005)","plainCitation":"(Bijanki et al., n.d.; Boccard et al., 2015; Mayberg et al., 2005)","noteIndex":0},"citationItems":[{"id":4328,"uris":["http://zotero.org/users/7023408/items/XXCFVFI9"],"itemData":{"id":4328,"type":"article-journal","abstract":"Treatment-resistant depression is a severely disabling disorder with no proven treatment options once multiple medications, psychotherapy, and electroconvulsive therapy have failed. Based on our preliminary observation that the subgenual cingulate region (Brodmann area 25) is metabolically overactive in treatment-resistant depression, we studied whether the application of chronic deep brain stimulation to modulate BA25 could reduce this elevated activity and produce clinical benefit in six patients with refractory depression. Chronic stimulation of white matter tracts adjacent to the subgenual cingulate gyrus was associated with a striking and sustained remission of depression in four of six patients. Antidepressant effects were associated with a marked reduction in local cerebral blood flow as well as changes in downstream limbic and cortical sites, measured using positron emission tomography. These results suggest that disrupting focal pathological activity in limbic-cortical circuits using electrical stimulation of the subgenual cingulate white matter can effectively reverse symptoms in otherwise treatment-resistant depression.","container-title":"Neuron","DOI":"10.1016/j.neuron.2005.02.014","ISSN":"0896-6273","issue":"5","journalAbbreviation":"Neuron","language":"eng","note":"PMID: 15748841","page":"651-660","source":"PubMed","title":"Deep brain stimulation for treatment-resistant depression","volume":"45","author":[{"family":"Mayberg","given":"Helen S."},{"family":"Lozano","given":"Andres M."},{"family":"Voon","given":"Valerie"},{"family":"McNeely","given":"Heather E."},{"family":"Seminowicz","given":"David"},{"family":"Hamani","given":"Clement"},{"family":"Schwalb","given":"Jason M."},{"family":"Kennedy","given":"Sidney H."}],"issued":{"date-parts":[["2005",3,3]]},"citation-key":"maybergDeepBrainStimulation2005"}},{"id":4329,"uris":["http://zotero.org/users/7023408/items/3NUHND54"],"itemData":{"id":4329,"type":"article-journal","abstract":"BACKGROUND. Awake neurosurgery requires patients to converse and respond to visual or verbal prompts to identify and protect brain tissue supporting essential functions such as language, primary sensory modalities, and motor function. These procedures can be poorly tolerated because of patient anxiety, yet acute anxiolytic medications typically cause sedation and impair cortical function., METHODS. In this study, direct electrical stimulation of the left dorsal anterior cingulum bundle was discovered to reliably evoke positive affect and anxiolysis without sedation in a patient with epilepsy undergoing research testing during standard inpatient intracranial electrode monitoring. These effects were quantified using subjective and objective behavioral measures, and stimulation was found to evoke robust changes in local and distant neural activity., RESULTS. The index patient ultimately required an awake craniotomy procedure to confirm safe resection margins in the treatment of her epilepsy. During the procedure, cingulum bundle stimulation enhanced positive affect and reduced the patient’s anxiety to the point that intravenous anesthetic/anxiolytic medications were discontinued and cognitive testing was completed. Behavioral responses were subsequently replicated in 2 patients with anatomically similar electrode placements localized to an approximately 1-cm span along the anterior dorsal cingulum bundle above genu of the corpus callosum., CONCLUSIONS. The current study demonstrates a robust anxiolytic response to cingulum bundle stimulation in 3 patients with epilepsy., TRIAL REGISTRATION. The current study was not affiliated with any formal clinical trial., FUNDING. This project was supported by the American Foundation for Suicide Prevention and the NIH.","container-title":"The Journal of Clinical Investigation","DOI":"10.1172/JCI120110","ISSN":"0021-9738","issue":"3","journalAbbreviation":"J Clin Invest","note":"PMID: 30589643\nPMCID: PMC6391096","page":"1152-1166","source":"PubMed Central","title":"Cingulum stimulation enhances positive affect and anxiolysis to facilitate awake craniotomy","volume":"129","author":[{"family":"Bijanki","given":"Kelly R."},{"family":"Manns","given":"Joseph R."},{"family":"Inman","given":"Cory S."},{"family":"Choi","given":"Ki Sueng"},{"family":"Harati","given":"Sahar"},{"family":"Pedersen","given":"Nigel P."},{"family":"Drane","given":"Daniel L."},{"family":"Waters","given":"Allison C."},{"family":"Fasano","given":"Rebecca E."},{"family":"Mayberg","given":"Helen S."},{"family":"Willie","given":"Jon T."}],"citation-key":"bijankiCingulumStimulationEnhances"}},{"id":4246,"uris":["http://zotero.org/users/7023408/items/JFNK72RB"],"itemData":{"id":4246,"type":"article-journal","abstract":"Deep brain stimulation (DBS) is a neurosurgical intervention popularised in movement disorders such as Parkinson’s disease, and also reported to improve symptoms of epilepsy, Tourette’s syndrome, obsessive compulsive disorders and cluster headache. Since the 1950s, DBS has been used as a treatment to relieve intractable pain of several aetiologies including post stroke pain, phantom limb pain, facial pain and brachial plexus avulsion. Several patient series have shown benefits in stimulating various brain areas, including the sensory thalamus (ventral posterior lateral and medial), the periaqueductal and periventricular grey, or, more recently, the anterior cingulate cortex. However, this technique remains “off label” in the USA as it does not have Federal Drug Administration approval. Consequently, only a small number of surgeons report DBS for pain using current technology and techniques and few regions approve it. Randomised, blinded and controlled clinical trials that may use novel trial methodologies are desirable to evaluate the efficacy of DBS in patients who are refractory to other therapies. New imaging techniques, including tractography, may help optimise electrode placement and clinical outcome.","container-title":"Journal of Clinical Neuroscience","DOI":"10.1016/j.jocn.2015.04.005","ISSN":"0967-5868","issue":"10","journalAbbreviation":"Journal of Clinical Neuroscience","page":"1537-1543","source":"ScienceDirect","title":"Deep brain stimulation for chronic pain","volume":"22","author":[{"family":"Boccard","given":"Sandra G. J."},{"family":"Pereira","given":"Erlick A. C."},{"family":"Aziz","given":"Tipu Z."}],"issued":{"date-parts":[["2015",10,1]]},"citation-key":"boccardDeepBrainStimulation2015"}}],"schema":"https://github.com/citation-style-language/schema/raw/master/csl-citation.json"} </w:instrText>
      </w:r>
      <w:r w:rsidRPr="00B261AF">
        <w:rPr>
          <w:rFonts w:ascii="Arial" w:hAnsi="Arial" w:cs="Arial"/>
          <w:color w:val="000000" w:themeColor="text1"/>
          <w:sz w:val="24"/>
          <w:szCs w:val="24"/>
          <w:lang w:eastAsia="ko-KR"/>
        </w:rPr>
        <w:fldChar w:fldCharType="separate"/>
      </w:r>
      <w:r w:rsidR="00B261AF">
        <w:rPr>
          <w:rFonts w:ascii="Arial" w:hAnsi="Arial" w:cs="Arial"/>
          <w:color w:val="000000"/>
          <w:sz w:val="24"/>
          <w:szCs w:val="24"/>
        </w:rPr>
        <w:t>(</w:t>
      </w:r>
      <w:proofErr w:type="spellStart"/>
      <w:r w:rsidR="00B261AF">
        <w:rPr>
          <w:rFonts w:ascii="Arial" w:hAnsi="Arial" w:cs="Arial"/>
          <w:color w:val="000000"/>
          <w:sz w:val="24"/>
          <w:szCs w:val="24"/>
        </w:rPr>
        <w:t>Bijanki</w:t>
      </w:r>
      <w:proofErr w:type="spellEnd"/>
      <w:r w:rsidR="00B261AF">
        <w:rPr>
          <w:rFonts w:ascii="Arial" w:hAnsi="Arial" w:cs="Arial"/>
          <w:color w:val="000000"/>
          <w:sz w:val="24"/>
          <w:szCs w:val="24"/>
        </w:rPr>
        <w:t xml:space="preserve"> et al., n.d.; Boccard et al., 2015; </w:t>
      </w:r>
      <w:proofErr w:type="spellStart"/>
      <w:r w:rsidR="00B261AF">
        <w:rPr>
          <w:rFonts w:ascii="Arial" w:hAnsi="Arial" w:cs="Arial"/>
          <w:color w:val="000000"/>
          <w:sz w:val="24"/>
          <w:szCs w:val="24"/>
        </w:rPr>
        <w:t>Mayberg</w:t>
      </w:r>
      <w:proofErr w:type="spellEnd"/>
      <w:r w:rsidR="00B261AF">
        <w:rPr>
          <w:rFonts w:ascii="Arial" w:hAnsi="Arial" w:cs="Arial"/>
          <w:color w:val="000000"/>
          <w:sz w:val="24"/>
          <w:szCs w:val="24"/>
        </w:rPr>
        <w:t xml:space="preserve"> et al., 2005)</w:t>
      </w:r>
      <w:r w:rsidRPr="00B261AF">
        <w:rPr>
          <w:rFonts w:ascii="Arial" w:hAnsi="Arial" w:cs="Arial"/>
          <w:color w:val="000000" w:themeColor="text1"/>
          <w:sz w:val="24"/>
          <w:szCs w:val="24"/>
          <w:lang w:eastAsia="ko-KR"/>
        </w:rPr>
        <w:fldChar w:fldCharType="end"/>
      </w:r>
      <w:r w:rsidRPr="00B261AF">
        <w:rPr>
          <w:rFonts w:ascii="Arial" w:hAnsi="Arial" w:cs="Arial"/>
          <w:color w:val="000000" w:themeColor="text1"/>
          <w:sz w:val="24"/>
          <w:szCs w:val="24"/>
          <w:lang w:eastAsia="ko-KR"/>
        </w:rPr>
        <w:t>.</w:t>
      </w:r>
    </w:p>
    <w:p w14:paraId="44F7B7EF" w14:textId="7A15E461" w:rsidR="00DC4E45" w:rsidRPr="00B261AF" w:rsidRDefault="00DC4E45" w:rsidP="00B52B3B">
      <w:pPr>
        <w:spacing w:line="276" w:lineRule="auto"/>
        <w:ind w:firstLine="720"/>
        <w:rPr>
          <w:rFonts w:ascii="Arial" w:hAnsi="Arial" w:cs="Arial"/>
          <w:color w:val="000000" w:themeColor="text1"/>
          <w:sz w:val="24"/>
          <w:szCs w:val="24"/>
          <w:lang w:eastAsia="ko-KR"/>
        </w:rPr>
      </w:pPr>
      <w:r w:rsidRPr="00B261AF">
        <w:rPr>
          <w:rFonts w:ascii="Arial" w:hAnsi="Arial" w:cs="Arial"/>
          <w:color w:val="000000" w:themeColor="text1"/>
          <w:sz w:val="24"/>
          <w:szCs w:val="24"/>
          <w:lang w:eastAsia="ko-KR"/>
        </w:rPr>
        <w:t xml:space="preserve">The present study presents a comparison between the divergent profiles of the human ACC, MCC, and PCC (including </w:t>
      </w:r>
      <w:proofErr w:type="spellStart"/>
      <w:r w:rsidRPr="00B261AF">
        <w:rPr>
          <w:rFonts w:ascii="Arial" w:hAnsi="Arial" w:cs="Arial"/>
          <w:color w:val="000000" w:themeColor="text1"/>
          <w:sz w:val="24"/>
          <w:szCs w:val="24"/>
          <w:lang w:eastAsia="ko-KR"/>
        </w:rPr>
        <w:t>retrosplenial</w:t>
      </w:r>
      <w:proofErr w:type="spellEnd"/>
      <w:r w:rsidRPr="00B261AF">
        <w:rPr>
          <w:rFonts w:ascii="Arial" w:hAnsi="Arial" w:cs="Arial"/>
          <w:color w:val="000000" w:themeColor="text1"/>
          <w:sz w:val="24"/>
          <w:szCs w:val="24"/>
          <w:lang w:eastAsia="ko-KR"/>
        </w:rPr>
        <w:t xml:space="preserve"> cortex) effective networks acquired through direct SPES. Data were acquired using constant SPES parameters from patients without any resections. Cg subregion profiles were modeled across a breadth of features extracted from CCEPs, including magnitude, morphology, morphological diversity, inter-regional similarity, spatial patterning, temporal dynamics, broadband gamma content, assumption-free waveform features, and assumption-based waveform features. Our study provides a network-level profile of the characteristics, similarities, and differences between the Cg effective networks modeled across several metrics. Further, through a machine-learning approach, we provide direct, quantitative evidence on the utility of effective connectivity metrics used to model effective networks, specifically by characterizing their predictive strength in classifying Cg networks. In aggregate, this work provides a comprehensive foundation for classifying the complex interactions that the Cg has with the rest of the brain. </w:t>
      </w:r>
    </w:p>
    <w:p w14:paraId="4D482EF1" w14:textId="28C52326" w:rsidR="00F2232E" w:rsidRPr="00B261AF" w:rsidRDefault="00F2232E" w:rsidP="00B52B3B">
      <w:pPr>
        <w:pBdr>
          <w:top w:val="nil"/>
          <w:left w:val="nil"/>
          <w:bottom w:val="nil"/>
          <w:right w:val="nil"/>
          <w:between w:val="nil"/>
        </w:pBdr>
        <w:spacing w:after="0" w:line="276" w:lineRule="auto"/>
        <w:contextualSpacing/>
        <w:rPr>
          <w:rFonts w:ascii="Arial" w:hAnsi="Arial" w:cs="Arial"/>
          <w:color w:val="000000"/>
          <w:sz w:val="24"/>
          <w:szCs w:val="24"/>
        </w:rPr>
      </w:pPr>
      <w:r w:rsidRPr="00B261AF">
        <w:rPr>
          <w:rFonts w:ascii="Arial" w:hAnsi="Arial" w:cs="Arial"/>
          <w:b/>
          <w:color w:val="000000"/>
          <w:sz w:val="24"/>
          <w:szCs w:val="24"/>
        </w:rPr>
        <w:t xml:space="preserve">2 </w:t>
      </w:r>
      <w:r w:rsidRPr="00B261AF">
        <w:rPr>
          <w:rFonts w:ascii="Arial" w:hAnsi="Arial" w:cs="Arial"/>
          <w:b/>
          <w:color w:val="000000"/>
          <w:sz w:val="24"/>
          <w:szCs w:val="24"/>
        </w:rPr>
        <w:t>Materials and Methods</w:t>
      </w:r>
    </w:p>
    <w:p w14:paraId="653DAEBD" w14:textId="77777777" w:rsidR="00F2232E" w:rsidRPr="00B261AF" w:rsidRDefault="00F2232E" w:rsidP="00B52B3B">
      <w:pPr>
        <w:pBdr>
          <w:top w:val="nil"/>
          <w:left w:val="nil"/>
          <w:bottom w:val="nil"/>
          <w:right w:val="nil"/>
          <w:between w:val="nil"/>
        </w:pBdr>
        <w:spacing w:after="0" w:line="276" w:lineRule="auto"/>
        <w:contextualSpacing/>
        <w:rPr>
          <w:rFonts w:ascii="Arial" w:hAnsi="Arial" w:cs="Arial"/>
          <w:b/>
          <w:color w:val="000000"/>
          <w:sz w:val="24"/>
          <w:szCs w:val="24"/>
        </w:rPr>
      </w:pPr>
    </w:p>
    <w:p w14:paraId="37F75FB9" w14:textId="77777777" w:rsidR="00F2232E" w:rsidRPr="00B261AF" w:rsidRDefault="00F2232E" w:rsidP="00B52B3B">
      <w:pPr>
        <w:spacing w:line="276" w:lineRule="auto"/>
        <w:rPr>
          <w:rFonts w:ascii="Arial" w:hAnsi="Arial" w:cs="Arial"/>
          <w:i/>
          <w:iCs/>
          <w:sz w:val="24"/>
          <w:szCs w:val="24"/>
        </w:rPr>
      </w:pPr>
      <w:r w:rsidRPr="00B261AF">
        <w:rPr>
          <w:rFonts w:ascii="Arial" w:hAnsi="Arial" w:cs="Arial"/>
          <w:i/>
          <w:iCs/>
          <w:sz w:val="24"/>
          <w:szCs w:val="24"/>
        </w:rPr>
        <w:t xml:space="preserve">2.1 </w:t>
      </w:r>
      <w:r w:rsidRPr="00B261AF">
        <w:rPr>
          <w:rFonts w:ascii="Arial" w:hAnsi="Arial" w:cs="Arial"/>
          <w:i/>
          <w:iCs/>
          <w:sz w:val="24"/>
          <w:szCs w:val="24"/>
        </w:rPr>
        <w:t>Participants and data collection</w:t>
      </w:r>
    </w:p>
    <w:p w14:paraId="0A6564AD" w14:textId="0607F485"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This study includes 15 patients with intractable epilepsy undergoing invasive SEEG monitoring at the Barnes-Jewish Hospital epilepsy monitoring unit (Saint Louis, MO). Patients underwent intracranial SPES as part of their clinical mapping procedure and were provided with informed consent. Patient electrophysiology was recorded using a 256-channel clinical system at a sampling rate of 2 kHz. Data collection and event logging were managed using BCI2000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{"citationID":"edn4rXbB","properties":{"formattedCitation":"(Schalk et al., 2004)","plainCitation":"(Schalk et al., 2004)","noteIndex":0},"citationItems":[{"id":19,"uris":["http://zotero.org/users/7023408/items/63MKKR2J"],"itemData":{"id":19,"type":"article-journal","abstract":"Many laboratories have begun to develop brain-computer interface (BCI) systems that provide communication and control capabilities to people with severe motor disabilities. Further progress and realization of practical applications depends on systematic evaluations and comparisons of different brain signals, recording methods, processing algorithms, output formats, and operating protocols. However, the typical BCI system is designed specifically for one particular BCI method and is, therefore, not suited to the systematic studies that are essential for continued progress. In response to this problem, we have developed a documented general-purpose BCI research and development platform called BCI2000. BCI2000 can incorporate alone or in combination any brain signals, signal processing methods, output devices, and operating protocols. This report is intended to describe to investigators, biomedical engineers, and computer scientists the concepts that the BCI2000 system is based upon and gives examples of successful BCI implementations using this system. To date, we have used BCI2000 to create BCI systems for a variety of brain signals, processing methods, and applications. The data show that these systems function well in online operation and that BCI2000 satisfies the stringent real-time requirements of BCI systems. By substantially reducing labor and cost, BCI2000 facilitates the implementation of different BCI systems and other psychophysiological experiments. It is available with full documentation and free of charge for research or educational purposes and is currently being used in a variety of studies by many research groups.","container-title":"IEEE Transactions on Biomedical Engineering","DOI":"10.1109/TBME.2004.827072","ISSN":"1558-2531","issue":"6","page":"1034-1043","source":"IEEE Xplore","title":"BCI2000: a general-purpose brain-computer interface (BCI) system","title-short":"BCI2000","volume":"51","author":[{"family":"Schalk","given":"G."},{"family":"McFarland","given":"D.J."},{"family":"Hinterberger","given":"T."},{"family":"Birbaumer","given":"N."},{"family":"Wolpaw","given":"J.R."}],"issued":{"date-parts":[["2004",6]]},"citation-key":"schalkBCI2000GeneralpurposeBraincomputer2004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(Schalk et al., 2004)</w:t>
      </w:r>
      <w:r w:rsidRPr="00B261AF">
        <w:rPr>
          <w:rFonts w:ascii="Arial" w:hAnsi="Arial" w:cs="Arial"/>
          <w:sz w:val="24"/>
          <w:szCs w:val="24"/>
        </w:rPr>
        <w:fldChar w:fldCharType="end"/>
      </w:r>
      <w:r w:rsidRPr="00B261AF">
        <w:rPr>
          <w:rFonts w:ascii="Arial" w:hAnsi="Arial" w:cs="Arial"/>
          <w:sz w:val="24"/>
          <w:szCs w:val="24"/>
        </w:rPr>
        <w:t>. SEEG electrodes were composed of 4-18 contacts with 1.5-mm insulation between them. Patients included in this study had at least one electrode in the PCC, MCC, or ACC. Patients with major lesions or prior resections were not included in this study. Patients unable to provide informed consent or who refused to give informed consent were not recruited for this study.</w:t>
      </w:r>
    </w:p>
    <w:p w14:paraId="2FF4FA48" w14:textId="441F4A81" w:rsidR="00F2232E" w:rsidRPr="00B261AF" w:rsidRDefault="00F2232E" w:rsidP="00B52B3B">
      <w:pPr>
        <w:spacing w:line="276" w:lineRule="auto"/>
        <w:rPr>
          <w:rFonts w:ascii="Arial" w:hAnsi="Arial" w:cs="Arial"/>
          <w:i/>
          <w:iCs/>
          <w:sz w:val="24"/>
          <w:szCs w:val="24"/>
        </w:rPr>
      </w:pPr>
      <w:r w:rsidRPr="00B261AF">
        <w:rPr>
          <w:rFonts w:ascii="Arial" w:hAnsi="Arial" w:cs="Arial"/>
          <w:i/>
          <w:iCs/>
          <w:sz w:val="24"/>
          <w:szCs w:val="24"/>
        </w:rPr>
        <w:t xml:space="preserve">2.2 </w:t>
      </w:r>
      <w:r w:rsidRPr="00B261AF">
        <w:rPr>
          <w:rFonts w:ascii="Arial" w:hAnsi="Arial" w:cs="Arial"/>
          <w:i/>
          <w:iCs/>
          <w:sz w:val="24"/>
          <w:szCs w:val="24"/>
        </w:rPr>
        <w:t xml:space="preserve">Electrode localization and patient brain segmentation </w:t>
      </w:r>
    </w:p>
    <w:p w14:paraId="6ED3F66B" w14:textId="513AA506" w:rsidR="00F2232E" w:rsidRPr="00B261AF" w:rsidRDefault="00F2232E" w:rsidP="00B261AF">
      <w:pPr>
        <w:spacing w:line="276" w:lineRule="auto"/>
        <w:ind w:firstLine="720"/>
        <w:rPr>
          <w:rFonts w:ascii="Arial" w:hAnsi="Arial" w:cs="Arial"/>
          <w:sz w:val="24"/>
          <w:szCs w:val="24"/>
        </w:rPr>
      </w:pPr>
      <w:r w:rsidRPr="00B261AF">
        <w:rPr>
          <w:rFonts w:ascii="Arial" w:hAnsi="Arial" w:cs="Arial"/>
          <w:sz w:val="24"/>
          <w:szCs w:val="24"/>
        </w:rPr>
        <w:t xml:space="preserve">Patient-specific brain models were generated using pre-operative T1-weighted structural MRI, computer tomography scans, </w:t>
      </w:r>
      <w:proofErr w:type="spellStart"/>
      <w:r w:rsidRPr="00B261AF">
        <w:rPr>
          <w:rFonts w:ascii="Arial" w:hAnsi="Arial" w:cs="Arial"/>
          <w:sz w:val="24"/>
          <w:szCs w:val="24"/>
        </w:rPr>
        <w:t>FreeSurfer</w:t>
      </w:r>
      <w:proofErr w:type="spellEnd"/>
      <w:r w:rsidRPr="00B261AF">
        <w:rPr>
          <w:rFonts w:ascii="Arial" w:hAnsi="Arial" w:cs="Arial"/>
          <w:sz w:val="24"/>
          <w:szCs w:val="24"/>
        </w:rPr>
        <w:t xml:space="preserve">, and the VERA colocalization </w:t>
      </w:r>
      <w:r w:rsidRPr="00B261AF">
        <w:rPr>
          <w:rFonts w:ascii="Arial" w:hAnsi="Arial" w:cs="Arial"/>
          <w:sz w:val="24"/>
          <w:szCs w:val="24"/>
        </w:rPr>
        <w:lastRenderedPageBreak/>
        <w:t xml:space="preserve">software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{"citationID":"OMDN3RUP","properties":{"formattedCitation":"(Adamek et al., 2022)","plainCitation":"(Adamek et al., 2022)","noteIndex":0},"citationItems":[{"id":3649,"uris":["http://zotero.org/users/7023408/items/X5B6N2WR"],"itemData":{"id":3649,"type":"software","note":"Citation Key: Adamek_VERA_-_A_2022\nDOI: 10.5281/zenodo.7486842","title":"VERA - a versatile electrode localization framework","URL":"https://github.com/neurotechcenter/VERA","version":"1.0.0","author":[{"family":"Adamek","given":"Markus"},{"family":"Swift, James","given":"Robert"},{"family":"Brunner","given":"Peter"}],"issued":{"date-parts":[["2022",12]]},"citation-key":"Adamek_VERA_-_A_2022"}}],"schema":"https://github.com/citation-style-language/schema/raw/master/csl-citation.json"}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(Adamek et al., 2022)</w:t>
      </w:r>
      <w:r w:rsidRPr="00B261AF">
        <w:rPr>
          <w:rFonts w:ascii="Arial" w:hAnsi="Arial" w:cs="Arial"/>
          <w:sz w:val="24"/>
          <w:szCs w:val="24"/>
        </w:rPr>
        <w:fldChar w:fldCharType="end"/>
      </w:r>
      <w:r w:rsidRPr="00B261AF">
        <w:rPr>
          <w:rFonts w:ascii="Arial" w:hAnsi="Arial" w:cs="Arial"/>
          <w:sz w:val="24"/>
          <w:szCs w:val="24"/>
        </w:rPr>
        <w:t xml:space="preserve">. The </w:t>
      </w:r>
      <w:proofErr w:type="spellStart"/>
      <w:r w:rsidRPr="00B261AF">
        <w:rPr>
          <w:rFonts w:ascii="Arial" w:hAnsi="Arial" w:cs="Arial"/>
          <w:sz w:val="24"/>
          <w:szCs w:val="24"/>
        </w:rPr>
        <w:t>Destrieus</w:t>
      </w:r>
      <w:proofErr w:type="spellEnd"/>
      <w:r w:rsidRPr="00B261AF">
        <w:rPr>
          <w:rFonts w:ascii="Arial" w:hAnsi="Arial" w:cs="Arial"/>
          <w:sz w:val="24"/>
          <w:szCs w:val="24"/>
        </w:rPr>
        <w:t xml:space="preserve"> Atlas (2009), which includes a cytoarchitectonic and functional parcellation of the cingulate sulci and gyri, was used for cortical parcellation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{"citationID":"8lvBAAAc","properties":{"formattedCitation":"(DESTRIEUX et al., 2010)","plainCitation":"(DESTRIEUX et al., 2010)","noteIndex":0},"citationItems":[{"id":4317,"uris":["http://zotero.org/users/7023408/items/CJXAUKB4"],"itemData":{"id":4317,"type":"article-journal","abstract":"Precise localization of sulco-gyral structures of the human cerebral cortex is important for the interpretation of morpho-functional data, but requires anatomical expertise and is time consuming because of the brain s geometric complexity. Software developed to automatically identify sulco-gyral structures has improved substantially as a result of techniques providing topologically-correct reconstructions permitting inflated views of the human brain. Here we describe a complete parcellation of the cortical surface using standard internationally-accepted nomenclature and criteria. This parcellation is available in the FreeSurfer package. First, a computer-assisted hand parcellation classified each vertex as sulcal or gyral, and these were then subparcellated into 74 labels per hemisphere. Twelve datasets were used to develop rules and algorithms (reported here) that produced labels consistent with anatomical rules as well as automated computational parcellation. The final parcellation was used to build an atlas for automatically labeling the whole cerebral cortex. This atlas was used to label an additional 12 datasets, which were found to have good concordance with manual labels. This paper presents a precisely-defined method for automatically labeling the cortical surface in standard terminology.","container-title":"NeuroImage","DOI":"10.1016/j.neuroimage.2010.06.010","ISSN":"1053-8119","issue":"1","journalAbbreviation":"Neuroimage","note":"PMID: 20547229\nPMCID: PMC2937159","page":"1-15","source":"PubMed Central","title":"Automatic parcellation of human cortical gyri and sulci using standard anatomical nomenclature","volume":"53","author":[{"family":"DESTRIEUX","given":"Christophe"},{"family":"FISCHL","given":"Bruce"},{"family":"DALE","given":"Anders"},{"family":"HALGREN","given":"Eric"}],"issued":{"date-parts":[["2010",10,15]]},"citation-key":"destrieuxAutomaticParcellationHuman2010"}}],"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(DESTRIEUX et al., 2010)</w:t>
      </w:r>
      <w:r w:rsidRPr="00B261AF">
        <w:rPr>
          <w:rFonts w:ascii="Arial" w:hAnsi="Arial" w:cs="Arial"/>
          <w:sz w:val="24"/>
          <w:szCs w:val="24"/>
        </w:rPr>
        <w:fldChar w:fldCharType="end"/>
      </w:r>
      <w:r w:rsidRPr="00B261AF">
        <w:rPr>
          <w:rFonts w:ascii="Arial" w:hAnsi="Arial" w:cs="Arial"/>
          <w:sz w:val="24"/>
          <w:szCs w:val="24"/>
        </w:rPr>
        <w:t xml:space="preserve">. Electrode localization was performed using VERA, which performs an automated cluster-based detection of electrodes using post-operative CT scans, with manual post-detection alignments and adjustments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{"citationID":"4afzoGKk","properties":{"formattedCitation":"(Adamek et al., 2022)","plainCitation":"(Adamek et al., 2022)","noteIndex":0},"citationItems":[{"id":3649,"uris":["http://zotero.org/users/7023408/items/X5B6N2WR"],"itemData":{"id":3649,"type":"software","note":"Citation Key: Adamek_VERA_-_A_2022\nDOI: 10.5281/zenodo.7486842","title":"VERA - a versatile electrode localization framework","URL":"https://github.com/neurotechcenter/VERA","version":"1.0.0","author":[{"family":"Adamek","given":"Markus"},{"family":"Swift, James","given":"Robert"},{"family":"Brunner","given":"Peter"}],"issued":{"date-parts":[["2022",12]]},"citation-key":"Adamek_VERA_-_A_2022"}}],"schema":"https://github.com/citation-style-language/schema/raw/master/csl-citation.json"}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(Adamek et al., 2022)</w:t>
      </w:r>
      <w:r w:rsidRPr="00B261AF">
        <w:rPr>
          <w:rFonts w:ascii="Arial" w:hAnsi="Arial" w:cs="Arial"/>
          <w:sz w:val="24"/>
          <w:szCs w:val="24"/>
        </w:rPr>
        <w:fldChar w:fldCharType="end"/>
      </w:r>
      <w:r w:rsidRPr="00B261AF">
        <w:rPr>
          <w:rFonts w:ascii="Arial" w:hAnsi="Arial" w:cs="Arial"/>
          <w:sz w:val="24"/>
          <w:szCs w:val="24"/>
        </w:rPr>
        <w:t xml:space="preserve">. For the standardization of anatomy and electrode locations, brain models and electrodes were projected to MNI space. Electrodes were labeled based on the anatomical label of parcellation nearest to the electrode coordinate center. Electrodes localized in Cg subregions were selected </w:t>
      </w:r>
      <w:r w:rsidRPr="00B261AF">
        <w:rPr>
          <w:rFonts w:ascii="Arial" w:hAnsi="Arial" w:cs="Arial"/>
          <w:i/>
          <w:iCs/>
          <w:sz w:val="24"/>
          <w:szCs w:val="24"/>
        </w:rPr>
        <w:t>a priori</w:t>
      </w:r>
      <w:r w:rsidRPr="00B261AF">
        <w:rPr>
          <w:rFonts w:ascii="Arial" w:hAnsi="Arial" w:cs="Arial"/>
          <w:sz w:val="24"/>
          <w:szCs w:val="24"/>
        </w:rPr>
        <w:t xml:space="preserve"> for SPES. Electrode pairs for SPES were then defined as any pair comprising at least one electrode in a Cg subregion.</w:t>
      </w:r>
    </w:p>
    <w:p w14:paraId="4826E44C" w14:textId="5F46A6DE" w:rsidR="00B261AF" w:rsidRDefault="00B261AF" w:rsidP="00B52B3B">
      <w:pPr>
        <w:spacing w:line="276" w:lineRule="auto"/>
        <w:rPr>
          <w:rFonts w:ascii="Arial" w:hAnsi="Arial" w:cs="Arial"/>
          <w:sz w:val="24"/>
          <w:szCs w:val="24"/>
        </w:rPr>
      </w:pPr>
      <w:r>
        <w:rPr>
          <w:rFonts w:ascii="Arial" w:hAnsi="Arial" w:cs="Arial"/>
          <w:i/>
          <w:iCs/>
          <w:sz w:val="24"/>
          <w:szCs w:val="24"/>
        </w:rPr>
        <w:t xml:space="preserve">2.3 </w:t>
      </w:r>
      <w:r w:rsidR="00F2232E" w:rsidRPr="00B261AF">
        <w:rPr>
          <w:rFonts w:ascii="Arial" w:hAnsi="Arial" w:cs="Arial"/>
          <w:i/>
          <w:iCs/>
          <w:sz w:val="24"/>
          <w:szCs w:val="24"/>
        </w:rPr>
        <w:t>Intracranial SPES</w:t>
      </w:r>
      <w:r w:rsidR="00F2232E" w:rsidRPr="00B261AF">
        <w:rPr>
          <w:rFonts w:ascii="Arial" w:hAnsi="Arial" w:cs="Arial"/>
          <w:sz w:val="24"/>
          <w:szCs w:val="24"/>
        </w:rPr>
        <w:t xml:space="preserve"> </w:t>
      </w:r>
    </w:p>
    <w:p w14:paraId="54A16234" w14:textId="097AD415" w:rsidR="00F2232E" w:rsidRPr="00B261AF" w:rsidRDefault="00F2232E" w:rsidP="00B261AF">
      <w:pPr>
        <w:spacing w:line="276" w:lineRule="auto"/>
        <w:ind w:firstLine="720"/>
        <w:rPr>
          <w:rFonts w:ascii="Arial" w:hAnsi="Arial" w:cs="Arial"/>
          <w:sz w:val="24"/>
          <w:szCs w:val="24"/>
        </w:rPr>
      </w:pPr>
      <w:r w:rsidRPr="00B261AF">
        <w:rPr>
          <w:rFonts w:ascii="Arial" w:hAnsi="Arial" w:cs="Arial"/>
          <w:sz w:val="24"/>
          <w:szCs w:val="24"/>
        </w:rPr>
        <w:t xml:space="preserve">To evoke cortical responses to stimulation of the Cg subregions across the cortex, bipolar SPES was delivered to each Cg subregion. The current work defines three stimulation conditions: stimulation of the ACC, MCC, or PCC. SPES was delivered at 6 mA at 0.5 Hz, using a 0.2-ms biphasic square pulse. These parameters have previously been validated in both clinical mapping procedures and studies of effective connectivity in humans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{"citationID":"qm5goBH7","properties":{"formattedCitation":"(Hays et al., 2021; Keller et al., 2014; Matsumoto et al., 2017)","plainCitation":"(Hays et al., 2021; Keller et al., 2014; Matsumoto et al., 2017)","noteIndex":0},"citationItems":[{"id":3516,"uris":["http://zotero.org/users/7023408/items/PIPUQARN"],"itemData":{"id":3516,"type":"article-journal","abstract":"The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D."}],"issued":{"date-parts":[["2014",10,5]]},"citation-key":"kellerMappingHumanBrain2014"}},{"id":2437,"uris":["http://zotero.org/users/7023408/items/DKI6SEKJ"],"itemData":{"id":2437,"type":"article-journal","abstract":"In the last decade, single pulse electrical stimulation (SPES) has been used as an investigational tool in the field of epilepsy surgery. Direct cortical stimulation applied at a frequency of </w:instrText>
      </w:r>
      <w:r w:rsidR="00B261AF">
        <w:rPr>
          <w:rFonts w:ascii="Cambria Math" w:hAnsi="Cambria Math" w:cs="Cambria Math"/>
          <w:sz w:val="24"/>
          <w:szCs w:val="24"/>
        </w:rPr>
        <w:instrText>∼</w:instrText>
      </w:r>
      <w:r w:rsidR="00B261AF">
        <w:rPr>
          <w:rFonts w:ascii="Arial" w:hAnsi="Arial" w:cs="Arial"/>
          <w:sz w:val="24"/>
          <w:szCs w:val="24"/>
        </w:rPr>
        <w:instrText xml:space="preserve">1Hz can probe cortico-cortical connections by averaging electrocorticogram time-lock to the stimuli (2×20-30 trials). These evoked potentials that emanate from adjacent and remote cortices have been termed cortico-cortical evoked potentials (CCEPs). Although limited to patients undergoing invasive presurgical evaluations with intracranial electrodes, CCEP provides a novel way to explore inter-areal connectivity in vivo in the living human brain to probe functional brain networks such as language and cognitive motor networks. In addition to its impact on systems neuroscience, this method, in combination with 50Hz electrical cortical stimulation, could contribute clinically to map the functional brain systems by tracking the cortico-cortical connections among the functional cortical regions in each individual patient. This approach may help identify the normal cortico-cortical network within pathology as well as reveal connections that might arise from neural plasticity. Because of its high practicality, it has been recently applied for intraoperative monitoring of the functional brain networks for patients with brain tumor. With regard to epilepsy, SPES has been used for the two major purposes, one to probe cortical excitability of the focus, namely, epileptogenicity, and the other to probe seizure networks. Both early (i.e., CCEP) and delayed responses, and probably their high frequency oscillation counterparts, are regarded as a surrogate marker of epileptogenicity. With regards to its impact on the human brain connectivity map, worldwide collaboration is warranted to establish the standardized CCEP connectivity map as a solid reference for non-invasive connectome researches.","container-title":"Seizure","DOI":"10.1016/j.seizure.2016.11.003","ISSN":"1532-2688","journalAbbreviation":"Seizure","language":"eng","note":"PMID: 27939100\nPMCID: PMC5291825","page":"27-36","source":"PubMed","title":"Single pulse electrical stimulation to probe functional and pathological connectivity in epilepsy","volume":"44","author":[{"family":"Matsumoto","given":"Riki"},{"family":"Kunieda","given":"Takeharu"},{"family":"Nair","given":"Dileep"}],"issued":{"date-parts":[["2017",1]]},"citation-key":"matsumotoSinglePulseElectrical2017"}},{"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(Hays et al., 2021; Keller et al., 2014; Matsumoto et al., 2017)</w:t>
      </w:r>
      <w:r w:rsidRPr="00B261AF">
        <w:rPr>
          <w:rFonts w:ascii="Arial" w:hAnsi="Arial" w:cs="Arial"/>
          <w:sz w:val="24"/>
          <w:szCs w:val="24"/>
        </w:rPr>
        <w:fldChar w:fldCharType="end"/>
      </w:r>
      <w:r w:rsidRPr="00B261AF">
        <w:rPr>
          <w:rFonts w:ascii="Arial" w:hAnsi="Arial" w:cs="Arial"/>
          <w:sz w:val="24"/>
          <w:szCs w:val="24"/>
        </w:rPr>
        <w:t xml:space="preserve">. Stimulation was delivered using a Nihon </w:t>
      </w:r>
      <w:proofErr w:type="spellStart"/>
      <w:r w:rsidRPr="00B261AF">
        <w:rPr>
          <w:rFonts w:ascii="Arial" w:hAnsi="Arial" w:cs="Arial"/>
          <w:sz w:val="24"/>
          <w:szCs w:val="24"/>
        </w:rPr>
        <w:t>Kohden</w:t>
      </w:r>
      <w:proofErr w:type="spellEnd"/>
      <w:r w:rsidRPr="00B261AF">
        <w:rPr>
          <w:rFonts w:ascii="Arial" w:hAnsi="Arial" w:cs="Arial"/>
          <w:sz w:val="24"/>
          <w:szCs w:val="24"/>
        </w:rPr>
        <w:t xml:space="preserve"> MS-120B-K-EEG cortical stimulator in conjunction with Nihon </w:t>
      </w:r>
      <w:proofErr w:type="spellStart"/>
      <w:r w:rsidRPr="00B261AF">
        <w:rPr>
          <w:rFonts w:ascii="Arial" w:hAnsi="Arial" w:cs="Arial"/>
          <w:sz w:val="24"/>
          <w:szCs w:val="24"/>
        </w:rPr>
        <w:t>Kohden</w:t>
      </w:r>
      <w:proofErr w:type="spellEnd"/>
      <w:r w:rsidRPr="00B261AF">
        <w:rPr>
          <w:rFonts w:ascii="Arial" w:hAnsi="Arial" w:cs="Arial"/>
          <w:sz w:val="24"/>
          <w:szCs w:val="24"/>
        </w:rPr>
        <w:t xml:space="preserve"> PE-210AK software (Nihon </w:t>
      </w:r>
      <w:proofErr w:type="spellStart"/>
      <w:r w:rsidRPr="00B261AF">
        <w:rPr>
          <w:rFonts w:ascii="Arial" w:hAnsi="Arial" w:cs="Arial"/>
          <w:sz w:val="24"/>
          <w:szCs w:val="24"/>
        </w:rPr>
        <w:t>Kohden</w:t>
      </w:r>
      <w:proofErr w:type="spellEnd"/>
      <w:r w:rsidRPr="00B261AF">
        <w:rPr>
          <w:rFonts w:ascii="Arial" w:hAnsi="Arial" w:cs="Arial"/>
          <w:sz w:val="24"/>
          <w:szCs w:val="24"/>
        </w:rPr>
        <w:t xml:space="preserve">, Japan). Single pulses were delivered across each preselected electrode pair (dipole) localized within the Cg for each patient. SPES was delivered for approximately two minutes for 60 stimulation events (trials). Stimulation events were logged using </w:t>
      </w:r>
      <w:proofErr w:type="spellStart"/>
      <w:proofErr w:type="gramStart"/>
      <w:r w:rsidRPr="00B261AF">
        <w:rPr>
          <w:rFonts w:ascii="Arial" w:hAnsi="Arial" w:cs="Arial"/>
          <w:sz w:val="24"/>
          <w:szCs w:val="24"/>
        </w:rPr>
        <w:t>g.TRIGBOX</w:t>
      </w:r>
      <w:proofErr w:type="spellEnd"/>
      <w:proofErr w:type="gramEnd"/>
      <w:r w:rsidRPr="00B261AF">
        <w:rPr>
          <w:rFonts w:ascii="Arial" w:hAnsi="Arial" w:cs="Arial"/>
          <w:sz w:val="24"/>
          <w:szCs w:val="24"/>
        </w:rPr>
        <w:t xml:space="preserve"> (</w:t>
      </w:r>
      <w:proofErr w:type="spellStart"/>
      <w:r w:rsidRPr="00B261AF">
        <w:rPr>
          <w:rFonts w:ascii="Arial" w:hAnsi="Arial" w:cs="Arial"/>
          <w:sz w:val="24"/>
          <w:szCs w:val="24"/>
        </w:rPr>
        <w:t>g.tec</w:t>
      </w:r>
      <w:proofErr w:type="spellEnd"/>
      <w:r w:rsidRPr="00B261AF">
        <w:rPr>
          <w:rFonts w:ascii="Arial" w:hAnsi="Arial" w:cs="Arial"/>
          <w:sz w:val="24"/>
          <w:szCs w:val="24"/>
        </w:rPr>
        <w:t xml:space="preserve"> medical engineering, Austria) connected via a 3.5 mm tip-sleeve cable connected to the cortical stimulator.</w:t>
      </w:r>
    </w:p>
    <w:p w14:paraId="47FF87DD" w14:textId="240A4CB5" w:rsidR="00F2232E" w:rsidRPr="00B261AF" w:rsidRDefault="00F2232E" w:rsidP="00B52B3B">
      <w:pPr>
        <w:spacing w:line="276" w:lineRule="auto"/>
        <w:rPr>
          <w:rFonts w:ascii="Arial" w:hAnsi="Arial" w:cs="Arial"/>
          <w:sz w:val="24"/>
          <w:szCs w:val="24"/>
        </w:rPr>
      </w:pPr>
      <w:r w:rsidRPr="00B261AF">
        <w:rPr>
          <w:rFonts w:ascii="Arial" w:hAnsi="Arial" w:cs="Arial"/>
          <w:i/>
          <w:iCs/>
          <w:sz w:val="24"/>
          <w:szCs w:val="24"/>
        </w:rPr>
        <w:t>2.</w:t>
      </w:r>
      <w:r w:rsidR="00B261AF">
        <w:rPr>
          <w:rFonts w:ascii="Arial" w:hAnsi="Arial" w:cs="Arial"/>
          <w:i/>
          <w:iCs/>
          <w:sz w:val="24"/>
          <w:szCs w:val="24"/>
        </w:rPr>
        <w:t>4</w:t>
      </w:r>
      <w:r w:rsidRPr="00B261AF">
        <w:rPr>
          <w:rFonts w:ascii="Arial" w:hAnsi="Arial" w:cs="Arial"/>
          <w:i/>
          <w:iCs/>
          <w:sz w:val="24"/>
          <w:szCs w:val="24"/>
        </w:rPr>
        <w:t xml:space="preserve"> </w:t>
      </w:r>
      <w:r w:rsidRPr="00B261AF">
        <w:rPr>
          <w:rFonts w:ascii="Arial" w:hAnsi="Arial" w:cs="Arial"/>
          <w:i/>
          <w:iCs/>
          <w:sz w:val="24"/>
          <w:szCs w:val="24"/>
        </w:rPr>
        <w:t>Data Preprocessing</w:t>
      </w:r>
      <w:r w:rsidRPr="00B261AF">
        <w:rPr>
          <w:rFonts w:ascii="Arial" w:hAnsi="Arial" w:cs="Arial"/>
          <w:sz w:val="24"/>
          <w:szCs w:val="24"/>
        </w:rPr>
        <w:t xml:space="preserve"> </w:t>
      </w:r>
    </w:p>
    <w:p w14:paraId="4E413DFB" w14:textId="70B185AE"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Processing of electrophysiological data and statistical analysis was conducted in MATLAB environment (</w:t>
      </w:r>
      <w:proofErr w:type="spellStart"/>
      <w:r w:rsidRPr="00B261AF">
        <w:rPr>
          <w:rFonts w:ascii="Arial" w:hAnsi="Arial" w:cs="Arial"/>
          <w:sz w:val="24"/>
          <w:szCs w:val="24"/>
        </w:rPr>
        <w:t>Mathworks</w:t>
      </w:r>
      <w:proofErr w:type="spellEnd"/>
      <w:r w:rsidRPr="00B261AF">
        <w:rPr>
          <w:rFonts w:ascii="Arial" w:hAnsi="Arial" w:cs="Arial"/>
          <w:sz w:val="24"/>
          <w:szCs w:val="24"/>
        </w:rPr>
        <w:t xml:space="preserve">, </w:t>
      </w:r>
      <w:proofErr w:type="spellStart"/>
      <w:r w:rsidRPr="00B261AF">
        <w:rPr>
          <w:rFonts w:ascii="Arial" w:hAnsi="Arial" w:cs="Arial"/>
          <w:sz w:val="24"/>
          <w:szCs w:val="24"/>
        </w:rPr>
        <w:t>Nattick</w:t>
      </w:r>
      <w:proofErr w:type="spellEnd"/>
      <w:r w:rsidRPr="00B261AF">
        <w:rPr>
          <w:rFonts w:ascii="Arial" w:hAnsi="Arial" w:cs="Arial"/>
          <w:sz w:val="24"/>
          <w:szCs w:val="24"/>
        </w:rPr>
        <w:t xml:space="preserve">, MA, USA). SEEG data were preprocessed by first removing the stimulation artifact across all trials. The onset of stimulation was determined using the logged stimulation events recorded through the </w:t>
      </w:r>
      <w:proofErr w:type="spellStart"/>
      <w:proofErr w:type="gramStart"/>
      <w:r w:rsidRPr="00B261AF">
        <w:rPr>
          <w:rFonts w:ascii="Arial" w:hAnsi="Arial" w:cs="Arial"/>
          <w:sz w:val="24"/>
          <w:szCs w:val="24"/>
        </w:rPr>
        <w:t>g.TRIGBOX</w:t>
      </w:r>
      <w:proofErr w:type="spellEnd"/>
      <w:proofErr w:type="gramEnd"/>
      <w:r w:rsidRPr="00B261AF">
        <w:rPr>
          <w:rFonts w:ascii="Arial" w:hAnsi="Arial" w:cs="Arial"/>
          <w:sz w:val="24"/>
          <w:szCs w:val="24"/>
        </w:rPr>
        <w:t xml:space="preserve">. Stimulation artifacts were removed from the SEEG recordings using two-way interpolation. Channels containing excessive epileptogenic activity were excluded from analysis. For each channel and stimulation event, we replaced the signal within a 15-sample window around stimulation onset with an interpolated signal derived from time-reversed pre- and post-stimulation segments, weighted by complementary ramp functions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{"citationID":"uXOXUtO0","properties":{"formattedCitation":"(Crowther et al., 2019)","plainCitation":"(Crowther et al., 2019)","noteIndex":0},"citationItems":[{"id":3828,"uris":["http://zotero.org/users/7023408/items/8QZ9QMXH"],"itemData":{"id":3828,"type":"article-journal","abstract":"Background\nElectrical stimulation of the cortex using subdurally implanted electrodes can causally reveal structural connectivity by eliciting cortico-cortical evoked potentials (CCEPs). While many studies have demonstrated the potential value of CCEPs, the methods to evaluate them were often relatively subjective, did not consider potential artifacts, and did not lend themselves to systematic scientific investigations.\nNew method\nWe developed an automated and quantitative method called SIGNI (Stimulation-Induced Gamma-based Network Identification) to evaluate cortical population-level responses to electrical stimulation that minimizes the impact of electrical artifacts. We applied SIGNI to electrocorticographic (ECoG) data from eight human subjects who were implanted with a total of 978 subdural electrodes. Across the eight subjects, we delivered 92 trains of approximately 200 discrete electrical stimuli each (amplitude 4–15 mA) to a total of 64 electrode pairs.\nResults\nWe verified SIGNI's efficacy by demonstrating a relationship between the magnitude of evoked cortical activity and stimulation amplitude, as well as between the latency of evoked cortical activity and the distance from the stimulated locations.\nConclusions\nSIGNI reveals the timing and amplitude of cortical responses to electrical stimulation as well as the structural connectivity supporting these responses. With these properties, it enables exploration of new and important questions about the neurophysiology of cortical communication and may also be useful for pre-surgical planning.","container-title":"Journal of Neuroscience Methods","DOI":"10.1016/j.jneumeth.2018.09.034","ISSN":"0165-0270","journalAbbreviation":"Journal of Neuroscience Methods","page":"67-75","source":"ScienceDirect","title":"A quantitative method for evaluating cortical responses to electrical stimulation","volume":"311","author":[{"family":"Crowther","given":"Lawrence J."},{"family":"Brunner","given":"Peter"},{"family":"Kapeller","given":"Christoph"},{"family":"Guger","given":"Christoph"},{"family":"Kamada","given":"Kyousuke"},{"family":"Bunch","given":"Marjorie E."},{"family":"Frawley","given":"Bridget K."},{"family":"Lynch","given":"Timothy M."},{"family":"Ritaccio","given":"Anthony L."},{"family":"Schalk","given":"Gerwin"}],"issued":{"date-parts":[["2019",1,1]]},"citation-key":"crowtherQuantitativeMethodEvaluating2019"}}],"schema":"https://github.com/citation-style-language/schema/raw/master/csl-citation.json"}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(Crowther et al., 2019)</w:t>
      </w:r>
      <w:r w:rsidRPr="00B261AF">
        <w:rPr>
          <w:rFonts w:ascii="Arial" w:hAnsi="Arial" w:cs="Arial"/>
          <w:sz w:val="24"/>
          <w:szCs w:val="24"/>
        </w:rPr>
        <w:fldChar w:fldCharType="end"/>
      </w:r>
      <w:r w:rsidRPr="00B261AF">
        <w:rPr>
          <w:rFonts w:ascii="Arial" w:hAnsi="Arial" w:cs="Arial"/>
          <w:sz w:val="24"/>
          <w:szCs w:val="24"/>
        </w:rPr>
        <w:t>. Next, a 5</w:t>
      </w:r>
      <w:r w:rsidRPr="00B261AF">
        <w:rPr>
          <w:rFonts w:ascii="Arial" w:hAnsi="Arial" w:cs="Arial"/>
          <w:sz w:val="24"/>
          <w:szCs w:val="24"/>
          <w:vertAlign w:val="superscript"/>
        </w:rPr>
        <w:t>th</w:t>
      </w:r>
      <w:r w:rsidRPr="00B261AF">
        <w:rPr>
          <w:rFonts w:ascii="Arial" w:hAnsi="Arial" w:cs="Arial"/>
          <w:sz w:val="24"/>
          <w:szCs w:val="24"/>
        </w:rPr>
        <w:t xml:space="preserve">-order Butterworth high-pass filter with a 0.5 Hz cutoff frequency was applied to remove slow drift. A 60 Hz line noise and its </w:t>
      </w:r>
      <w:r w:rsidRPr="00B261AF">
        <w:rPr>
          <w:rFonts w:ascii="Arial" w:hAnsi="Arial" w:cs="Arial"/>
          <w:sz w:val="24"/>
          <w:szCs w:val="24"/>
        </w:rPr>
        <w:lastRenderedPageBreak/>
        <w:t>harmonics at 120 Hz and 180 Hz were removed using a 2</w:t>
      </w:r>
      <w:r w:rsidRPr="00B261AF">
        <w:rPr>
          <w:rFonts w:ascii="Arial" w:hAnsi="Arial" w:cs="Arial"/>
          <w:sz w:val="24"/>
          <w:szCs w:val="24"/>
          <w:vertAlign w:val="superscript"/>
        </w:rPr>
        <w:t>nd</w:t>
      </w:r>
      <w:r w:rsidRPr="00B261AF">
        <w:rPr>
          <w:rFonts w:ascii="Arial" w:hAnsi="Arial" w:cs="Arial"/>
          <w:sz w:val="24"/>
          <w:szCs w:val="24"/>
        </w:rPr>
        <w:t>-order infinite impulse response notch filter.</w:t>
      </w:r>
    </w:p>
    <w:p w14:paraId="37F39EE6"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To improve the spatial specificity of recordings, a small Laplacian re-referencing method was used. The signal at each contact was re-referenced by subtracting the average signal recorded from all contacts within a 5-mm radius. The data were then </w:t>
      </w:r>
      <w:proofErr w:type="spellStart"/>
      <w:r w:rsidRPr="00B261AF">
        <w:rPr>
          <w:rFonts w:ascii="Arial" w:hAnsi="Arial" w:cs="Arial"/>
          <w:sz w:val="24"/>
          <w:szCs w:val="24"/>
        </w:rPr>
        <w:t>epoched</w:t>
      </w:r>
      <w:proofErr w:type="spellEnd"/>
      <w:r w:rsidRPr="00B261AF">
        <w:rPr>
          <w:rFonts w:ascii="Arial" w:hAnsi="Arial" w:cs="Arial"/>
          <w:sz w:val="24"/>
          <w:szCs w:val="24"/>
        </w:rPr>
        <w:t xml:space="preserve"> into 1900-ms trials centered about each stimulation event. Finally, the data were normalized by z-scoring to a 900-ms pre-stimulation window taken from the start of the trial to 50-ms before the stimulation event (to avoid any potential contamination from stimulation events).</w:t>
      </w:r>
    </w:p>
    <w:p w14:paraId="1823B9CB"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For downstream analysis of CCEP temporal dynamics and evoked gamma responses, we extracted spectral features from the re-referenced data, creating spectral time series that were then </w:t>
      </w:r>
      <w:proofErr w:type="spellStart"/>
      <w:r w:rsidRPr="00B261AF">
        <w:rPr>
          <w:rFonts w:ascii="Arial" w:hAnsi="Arial" w:cs="Arial"/>
          <w:sz w:val="24"/>
          <w:szCs w:val="24"/>
        </w:rPr>
        <w:t>epoched</w:t>
      </w:r>
      <w:proofErr w:type="spellEnd"/>
      <w:r w:rsidRPr="00B261AF">
        <w:rPr>
          <w:rFonts w:ascii="Arial" w:hAnsi="Arial" w:cs="Arial"/>
          <w:sz w:val="24"/>
          <w:szCs w:val="24"/>
        </w:rPr>
        <w:t xml:space="preserve"> as described above. For temporal dynamics analysis, we isolated the predominant broadband spectral content of the CCEPs (broadband CCEP) by applying a 3</w:t>
      </w:r>
      <w:r w:rsidRPr="00B261AF">
        <w:rPr>
          <w:rFonts w:ascii="Arial" w:hAnsi="Arial" w:cs="Arial"/>
          <w:sz w:val="24"/>
          <w:szCs w:val="24"/>
          <w:vertAlign w:val="superscript"/>
        </w:rPr>
        <w:t>rd</w:t>
      </w:r>
      <w:r w:rsidRPr="00B261AF">
        <w:rPr>
          <w:rFonts w:ascii="Arial" w:hAnsi="Arial" w:cs="Arial"/>
          <w:sz w:val="24"/>
          <w:szCs w:val="24"/>
        </w:rPr>
        <w:t>-order Butterworth bandpass filter with cutoff frequencies of 5-40 Hz. For evoked gamma responses, we extracted broadband gamma activity using a 4</w:t>
      </w:r>
      <w:r w:rsidRPr="00B261AF">
        <w:rPr>
          <w:rFonts w:ascii="Arial" w:hAnsi="Arial" w:cs="Arial"/>
          <w:sz w:val="24"/>
          <w:szCs w:val="24"/>
          <w:vertAlign w:val="superscript"/>
        </w:rPr>
        <w:t>th</w:t>
      </w:r>
      <w:r w:rsidRPr="00B261AF">
        <w:rPr>
          <w:rFonts w:ascii="Arial" w:hAnsi="Arial" w:cs="Arial"/>
          <w:sz w:val="24"/>
          <w:szCs w:val="24"/>
        </w:rPr>
        <w:t xml:space="preserve">-order Butterworth bandpass filter with cutoff frequencies of 70-170. Both filtering operations used transfer functions to second-order sections (SOS, via the tf2sos MATLAB function) to improve the numerical stability and reduce quantization errors inherent in higher-order digital filters. Data were then filtered using zero-phase filtering (using the </w:t>
      </w:r>
      <w:proofErr w:type="spellStart"/>
      <w:r w:rsidRPr="00B261AF">
        <w:rPr>
          <w:rFonts w:ascii="Arial" w:hAnsi="Arial" w:cs="Arial"/>
          <w:sz w:val="24"/>
          <w:szCs w:val="24"/>
        </w:rPr>
        <w:t>filtfilt</w:t>
      </w:r>
      <w:proofErr w:type="spellEnd"/>
      <w:r w:rsidRPr="00B261AF">
        <w:rPr>
          <w:rFonts w:ascii="Arial" w:hAnsi="Arial" w:cs="Arial"/>
          <w:sz w:val="24"/>
          <w:szCs w:val="24"/>
        </w:rPr>
        <w:t xml:space="preserve"> MATLAB function), which applies the filter in both forward and reverse directions to minimize phase distortion while effectively doubling the filter order.</w:t>
      </w:r>
    </w:p>
    <w:p w14:paraId="020B8E61" w14:textId="7C0B3C5C" w:rsidR="00F2232E" w:rsidRPr="00B261AF" w:rsidRDefault="00F2232E" w:rsidP="00B52B3B">
      <w:pPr>
        <w:spacing w:line="276" w:lineRule="auto"/>
        <w:rPr>
          <w:rFonts w:ascii="Arial" w:hAnsi="Arial" w:cs="Arial"/>
          <w:i/>
          <w:iCs/>
          <w:sz w:val="24"/>
          <w:szCs w:val="24"/>
        </w:rPr>
      </w:pPr>
      <w:r w:rsidRPr="00B261AF">
        <w:rPr>
          <w:rFonts w:ascii="Arial" w:hAnsi="Arial" w:cs="Arial"/>
          <w:i/>
          <w:iCs/>
          <w:sz w:val="24"/>
          <w:szCs w:val="24"/>
        </w:rPr>
        <w:t>2.</w:t>
      </w:r>
      <w:r w:rsidR="00B261AF">
        <w:rPr>
          <w:rFonts w:ascii="Arial" w:hAnsi="Arial" w:cs="Arial"/>
          <w:i/>
          <w:iCs/>
          <w:sz w:val="24"/>
          <w:szCs w:val="24"/>
        </w:rPr>
        <w:t>5</w:t>
      </w:r>
      <w:r w:rsidRPr="00B261AF">
        <w:rPr>
          <w:rFonts w:ascii="Arial" w:hAnsi="Arial" w:cs="Arial"/>
          <w:i/>
          <w:iCs/>
          <w:sz w:val="24"/>
          <w:szCs w:val="24"/>
        </w:rPr>
        <w:t xml:space="preserve"> </w:t>
      </w:r>
      <w:r w:rsidRPr="00B261AF">
        <w:rPr>
          <w:rFonts w:ascii="Arial" w:hAnsi="Arial" w:cs="Arial"/>
          <w:i/>
          <w:iCs/>
          <w:sz w:val="24"/>
          <w:szCs w:val="24"/>
        </w:rPr>
        <w:t>Data Processing and Statistical Analysis</w:t>
      </w:r>
    </w:p>
    <w:p w14:paraId="2D9B6B3A" w14:textId="3525B132"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 For statistical analysis, we used non-parametric tests.  To account for multiple comparisons for significance tests conducted on data at the level of individual contacts, we used the Benjamini-Hochberg false discovery rate (FDR) procedure to calculate an Alpha value such that the FDR was &lt; 0.0001. </w:t>
      </w:r>
    </w:p>
    <w:p w14:paraId="2CB44CFE" w14:textId="62FEDF6C" w:rsidR="00F2232E" w:rsidRPr="00B261AF" w:rsidRDefault="00F2232E" w:rsidP="00B52B3B">
      <w:pPr>
        <w:spacing w:line="276" w:lineRule="auto"/>
        <w:rPr>
          <w:rFonts w:ascii="Arial" w:hAnsi="Arial" w:cs="Arial"/>
          <w:sz w:val="24"/>
          <w:szCs w:val="24"/>
        </w:rPr>
      </w:pPr>
      <w:r w:rsidRPr="00B261AF">
        <w:rPr>
          <w:rFonts w:ascii="Arial" w:hAnsi="Arial" w:cs="Arial"/>
          <w:i/>
          <w:iCs/>
          <w:sz w:val="24"/>
          <w:szCs w:val="24"/>
        </w:rPr>
        <w:t>2.</w:t>
      </w:r>
      <w:r w:rsidR="00B261AF">
        <w:rPr>
          <w:rFonts w:ascii="Arial" w:hAnsi="Arial" w:cs="Arial"/>
          <w:i/>
          <w:iCs/>
          <w:sz w:val="24"/>
          <w:szCs w:val="24"/>
        </w:rPr>
        <w:t>6</w:t>
      </w:r>
      <w:r w:rsidRPr="00B261AF">
        <w:rPr>
          <w:rFonts w:ascii="Arial" w:hAnsi="Arial" w:cs="Arial"/>
          <w:i/>
          <w:iCs/>
          <w:sz w:val="24"/>
          <w:szCs w:val="24"/>
        </w:rPr>
        <w:t xml:space="preserve"> </w:t>
      </w:r>
      <w:r w:rsidRPr="00B261AF">
        <w:rPr>
          <w:rFonts w:ascii="Arial" w:hAnsi="Arial" w:cs="Arial"/>
          <w:i/>
          <w:iCs/>
          <w:sz w:val="24"/>
          <w:szCs w:val="24"/>
        </w:rPr>
        <w:t>Measures of Effective Connectivity</w:t>
      </w:r>
      <w:r w:rsidRPr="00B261AF">
        <w:rPr>
          <w:rFonts w:ascii="Arial" w:hAnsi="Arial" w:cs="Arial"/>
          <w:sz w:val="24"/>
          <w:szCs w:val="24"/>
        </w:rPr>
        <w:t xml:space="preserve"> </w:t>
      </w:r>
    </w:p>
    <w:p w14:paraId="3E6D58AD" w14:textId="1C9574F3"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We defined two measures of effective connectivity: response coherence and response magnitude. Response coherence was used as a metric to quantify SPES-evoked changes in LFP morphology at each contact relative to pre-stimulation (Figure 2a-2b). This was done by comparing the distributions of inter-trial pairwise Spearman Correlations between pre- and post-stimulation time windows. The pre-stimulation (henceforth referred to as baseline) window was defined by an 850-ms window from the start of each trial, and the post-stimulation (henceforth referred to as CCEP) window was defined as a 700-ms window following stimulation onset. The Cohen’s d between these distributions defined the effect size of effective connectivity as measured by </w:t>
      </w:r>
      <w:r w:rsidRPr="00B261AF">
        <w:rPr>
          <w:rFonts w:ascii="Arial" w:hAnsi="Arial" w:cs="Arial"/>
          <w:sz w:val="24"/>
          <w:szCs w:val="24"/>
        </w:rPr>
        <w:lastRenderedPageBreak/>
        <w:t xml:space="preserve">response coherence. A Wilcoxon rank sum test was used to determine which contacts were significantly effectively connected to the stimulated region between these distributions. </w:t>
      </w:r>
    </w:p>
    <w:p w14:paraId="03EFBF11"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Response magnitude was calculated by taking the root mean square (RMS) of the CCEP window for each trial. The response magnitude at each contact was defined as the average RMS across trials. A Wilcoxon signed-rank test was used to compare the trial distributions of CCEP RMS and baseline RMS at each contact and determine which contacts had significant changes in LFP magnitude in response to SPES. For each Cg subregion stimulation condition, effective connectivity to a given brain region (measured by both coherence and magnitude) was computed as the mean value across all contacts in that region that showed a statistical significance (FDR &lt; 0.0001). The effective connectivity of each brain region to the Cg subregions was then calculated for both coherence and magnitude by taking the average of all significant contacts within each region.</w:t>
      </w:r>
    </w:p>
    <w:p w14:paraId="69B373B3" w14:textId="09AF26B5" w:rsidR="00F2232E" w:rsidRPr="00B261AF" w:rsidRDefault="00F2232E" w:rsidP="00B52B3B">
      <w:pPr>
        <w:spacing w:line="276" w:lineRule="auto"/>
        <w:rPr>
          <w:rFonts w:ascii="Arial" w:hAnsi="Arial" w:cs="Arial"/>
          <w:sz w:val="24"/>
          <w:szCs w:val="24"/>
        </w:rPr>
      </w:pPr>
      <w:r w:rsidRPr="00B261AF">
        <w:rPr>
          <w:rFonts w:ascii="Arial" w:hAnsi="Arial" w:cs="Arial"/>
          <w:i/>
          <w:iCs/>
          <w:sz w:val="24"/>
          <w:szCs w:val="24"/>
        </w:rPr>
        <w:t>2.</w:t>
      </w:r>
      <w:r w:rsidR="00B261AF">
        <w:rPr>
          <w:rFonts w:ascii="Arial" w:hAnsi="Arial" w:cs="Arial"/>
          <w:i/>
          <w:iCs/>
          <w:sz w:val="24"/>
          <w:szCs w:val="24"/>
        </w:rPr>
        <w:t>7</w:t>
      </w:r>
      <w:r w:rsidRPr="00B261AF">
        <w:rPr>
          <w:rFonts w:ascii="Arial" w:hAnsi="Arial" w:cs="Arial"/>
          <w:i/>
          <w:iCs/>
          <w:sz w:val="24"/>
          <w:szCs w:val="24"/>
        </w:rPr>
        <w:t xml:space="preserve"> </w:t>
      </w:r>
      <w:r w:rsidRPr="00B261AF">
        <w:rPr>
          <w:rFonts w:ascii="Arial" w:hAnsi="Arial" w:cs="Arial"/>
          <w:i/>
          <w:iCs/>
          <w:sz w:val="24"/>
          <w:szCs w:val="24"/>
        </w:rPr>
        <w:t>Relative Cingulate Cortex Connectivity</w:t>
      </w:r>
      <w:r w:rsidRPr="00B261AF">
        <w:rPr>
          <w:rFonts w:ascii="Arial" w:hAnsi="Arial" w:cs="Arial"/>
          <w:sz w:val="24"/>
          <w:szCs w:val="24"/>
        </w:rPr>
        <w:t xml:space="preserve"> </w:t>
      </w:r>
    </w:p>
    <w:p w14:paraId="1F8196F7" w14:textId="1247DB44"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To characterize the relative connectivity of brain regions to the three Cg subregions, we implemented a triangular geometric mean mapping approach. The connectivity values at each region to each of the three subregions were normalized to create barycentric coordinates, which were then mapped onto an equilateral triangle with vertices representing exclusive connectivity to each subregion. Brain regions were included in this relative connectivity analysis if they had valid connectivity values for all three subregion stimulation conditions. For any region-subregion pairing in which no contacts were significant, we assigned a connectivity value of zero for this analysis. For visualization, RGB color values were derived using trilinear interpolation across the triangular space, thus assigning each region a color corresponding to its relative connectivity to each of the cingulate cortex subregions. When assigning relative connectivity coordinates to cingulate subregions themselves, self-connectivity was set to zero to visualize the relative connectivity to the other two subregions. Any regions with barycentric coordinates within a central circle whose area was 5% of the equilateral triangle’s total area were classified as equally connected to all three subregions.</w:t>
      </w:r>
    </w:p>
    <w:p w14:paraId="68A18CA4" w14:textId="25FEFFC5" w:rsidR="00F2232E" w:rsidRPr="00B261AF" w:rsidRDefault="00F2232E" w:rsidP="00B52B3B">
      <w:pPr>
        <w:spacing w:line="276" w:lineRule="auto"/>
        <w:rPr>
          <w:rFonts w:ascii="Arial" w:hAnsi="Arial" w:cs="Arial"/>
          <w:sz w:val="24"/>
          <w:szCs w:val="24"/>
        </w:rPr>
      </w:pPr>
      <w:r w:rsidRPr="00B261AF">
        <w:rPr>
          <w:rFonts w:ascii="Arial" w:hAnsi="Arial" w:cs="Arial"/>
          <w:i/>
          <w:iCs/>
          <w:sz w:val="24"/>
          <w:szCs w:val="24"/>
        </w:rPr>
        <w:t>2.</w:t>
      </w:r>
      <w:r w:rsidR="00B261AF">
        <w:rPr>
          <w:rFonts w:ascii="Arial" w:hAnsi="Arial" w:cs="Arial"/>
          <w:i/>
          <w:iCs/>
          <w:sz w:val="24"/>
          <w:szCs w:val="24"/>
        </w:rPr>
        <w:t>8</w:t>
      </w:r>
      <w:r w:rsidRPr="00B261AF">
        <w:rPr>
          <w:rFonts w:ascii="Arial" w:hAnsi="Arial" w:cs="Arial"/>
          <w:i/>
          <w:iCs/>
          <w:sz w:val="24"/>
          <w:szCs w:val="24"/>
        </w:rPr>
        <w:t xml:space="preserve"> </w:t>
      </w:r>
      <w:r w:rsidRPr="00B261AF">
        <w:rPr>
          <w:rFonts w:ascii="Arial" w:hAnsi="Arial" w:cs="Arial"/>
          <w:i/>
          <w:iCs/>
          <w:sz w:val="24"/>
          <w:szCs w:val="24"/>
        </w:rPr>
        <w:t>Spatial Organization of Cg Connectivity</w:t>
      </w:r>
      <w:r w:rsidRPr="00B261AF">
        <w:rPr>
          <w:rFonts w:ascii="Arial" w:hAnsi="Arial" w:cs="Arial"/>
          <w:sz w:val="24"/>
          <w:szCs w:val="24"/>
        </w:rPr>
        <w:t xml:space="preserve"> </w:t>
      </w:r>
    </w:p>
    <w:p w14:paraId="49894684" w14:textId="2865E8D2"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To characterize the spatial organization of effective connectivity across the three Cg subregions, we performed a spatial distribution analysis along three orthogonal anatomical axes: anterior-posterior, superior-inferior, and left-right. For each axis, the respective coordinates from significantly responsive contacts were divided into 50 equally spaced bins. The coherence effect sizes were min-max normalized to compare across stimulation conditions. Mean normalized effect sizes were computed for each </w:t>
      </w:r>
      <w:r w:rsidRPr="00B261AF">
        <w:rPr>
          <w:rFonts w:ascii="Arial" w:hAnsi="Arial" w:cs="Arial"/>
          <w:sz w:val="24"/>
          <w:szCs w:val="24"/>
        </w:rPr>
        <w:lastRenderedPageBreak/>
        <w:t>bin, creating a spatial profile of connectivity strength along each anatomical axis. To capture smoothed spatial variation in connectivity strength while reducing noise from sparse electrode coverage, a 4</w:t>
      </w:r>
      <w:r w:rsidRPr="00B261AF">
        <w:rPr>
          <w:rFonts w:ascii="Arial" w:hAnsi="Arial" w:cs="Arial"/>
          <w:sz w:val="24"/>
          <w:szCs w:val="24"/>
          <w:vertAlign w:val="superscript"/>
        </w:rPr>
        <w:t>th</w:t>
      </w:r>
      <w:r w:rsidRPr="00B261AF">
        <w:rPr>
          <w:rFonts w:ascii="Arial" w:hAnsi="Arial" w:cs="Arial"/>
          <w:sz w:val="24"/>
          <w:szCs w:val="24"/>
        </w:rPr>
        <w:t>-order polynomial trend line was fitted to the binned mean effect sizes for each condition. The spatial centroid of each connectivity distribution was calculated as the weighted center of mass using the following equation:</w:t>
      </w:r>
    </w:p>
    <w:p w14:paraId="3263060D" w14:textId="77777777" w:rsidR="00F2232E" w:rsidRPr="00B261AF" w:rsidRDefault="00F2232E" w:rsidP="00B52B3B">
      <w:pPr>
        <w:spacing w:line="276" w:lineRule="auto"/>
        <w:rPr>
          <w:rFonts w:ascii="Arial" w:eastAsiaTheme="minorEastAsia" w:hAnsi="Arial" w:cs="Arial"/>
          <w:sz w:val="24"/>
          <w:szCs w:val="24"/>
        </w:rPr>
      </w:pPr>
      <m:oMathPara>
        <m:oMath>
          <m:r>
            <w:rPr>
              <w:rFonts w:ascii="Cambria Math" w:hAnsi="Cambria Math" w:cs="Arial"/>
              <w:sz w:val="24"/>
              <w:szCs w:val="24"/>
            </w:rPr>
            <m:t>c</m:t>
          </m:r>
          <m:r>
            <m:rPr>
              <m:sty m:val="p"/>
            </m:rPr>
            <w:rPr>
              <w:rFonts w:ascii="Cambria Math" w:hAnsi="Cambria Math" w:cs="Arial"/>
              <w:sz w:val="24"/>
              <w:szCs w:val="24"/>
            </w:rPr>
            <m:t>=</m:t>
          </m:r>
          <m:f>
            <m:fPr>
              <m:ctrlPr>
                <w:rPr>
                  <w:rFonts w:ascii="Cambria Math" w:hAnsi="Cambria Math" w:cs="Arial"/>
                  <w:sz w:val="24"/>
                  <w:szCs w:val="24"/>
                </w:rPr>
              </m:ctrlPr>
            </m:fPr>
            <m:num>
              <m:nary>
                <m:naryPr>
                  <m:chr m:val="∑"/>
                  <m:ctrlPr>
                    <w:rPr>
                      <w:rFonts w:ascii="Cambria Math" w:hAnsi="Cambria Math" w:cs="Arial"/>
                      <w:sz w:val="24"/>
                      <w:szCs w:val="24"/>
                    </w:rPr>
                  </m:ctrlPr>
                </m:naryPr>
                <m:sub>
                  <m:r>
                    <w:rPr>
                      <w:rFonts w:ascii="Cambria Math" w:hAnsi="Cambria Math" w:cs="Arial"/>
                      <w:sz w:val="24"/>
                      <w:szCs w:val="24"/>
                    </w:rPr>
                    <m:t>i</m:t>
                  </m:r>
                  <m:r>
                    <m:rPr>
                      <m:sty m:val="p"/>
                    </m:rPr>
                    <w:rPr>
                      <w:rFonts w:ascii="Cambria Math" w:hAnsi="Cambria Math" w:cs="Arial"/>
                      <w:sz w:val="24"/>
                      <w:szCs w:val="24"/>
                    </w:rPr>
                    <m:t>=1</m:t>
                  </m:r>
                </m:sub>
                <m:sup>
                  <m:r>
                    <w:rPr>
                      <w:rFonts w:ascii="Cambria Math" w:hAnsi="Cambria Math" w:cs="Arial"/>
                      <w:sz w:val="24"/>
                      <w:szCs w:val="24"/>
                    </w:rPr>
                    <m:t>n</m:t>
                  </m:r>
                </m:sup>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i</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i</m:t>
                          </m:r>
                        </m:sub>
                      </m:sSub>
                    </m:e>
                  </m:d>
                </m:e>
              </m:nary>
            </m:num>
            <m:den>
              <m:nary>
                <m:naryPr>
                  <m:chr m:val="∑"/>
                  <m:ctrlPr>
                    <w:rPr>
                      <w:rFonts w:ascii="Cambria Math" w:hAnsi="Cambria Math" w:cs="Arial"/>
                      <w:sz w:val="24"/>
                      <w:szCs w:val="24"/>
                    </w:rPr>
                  </m:ctrlPr>
                </m:naryPr>
                <m:sub>
                  <m:r>
                    <w:rPr>
                      <w:rFonts w:ascii="Cambria Math" w:hAnsi="Cambria Math" w:cs="Arial"/>
                      <w:sz w:val="24"/>
                      <w:szCs w:val="24"/>
                    </w:rPr>
                    <m:t>i</m:t>
                  </m:r>
                  <m:r>
                    <m:rPr>
                      <m:sty m:val="p"/>
                    </m:rPr>
                    <w:rPr>
                      <w:rFonts w:ascii="Cambria Math" w:hAnsi="Cambria Math" w:cs="Arial"/>
                      <w:sz w:val="24"/>
                      <w:szCs w:val="24"/>
                    </w:rPr>
                    <m:t>=1</m:t>
                  </m:r>
                </m:sub>
                <m:sup>
                  <m:r>
                    <w:rPr>
                      <w:rFonts w:ascii="Cambria Math" w:hAnsi="Cambria Math" w:cs="Arial"/>
                      <w:sz w:val="24"/>
                      <w:szCs w:val="24"/>
                    </w:rPr>
                    <m:t>n</m:t>
                  </m:r>
                </m:sup>
                <m:e>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i</m:t>
                      </m:r>
                    </m:sub>
                  </m:sSub>
                </m:e>
              </m:nary>
            </m:den>
          </m:f>
        </m:oMath>
      </m:oMathPara>
    </w:p>
    <w:p w14:paraId="1BEC013C" w14:textId="77777777" w:rsidR="00F2232E" w:rsidRPr="00B261AF" w:rsidRDefault="00F2232E" w:rsidP="00B52B3B">
      <w:pPr>
        <w:spacing w:line="276" w:lineRule="auto"/>
        <w:rPr>
          <w:rFonts w:ascii="Arial" w:eastAsiaTheme="minorEastAsia" w:hAnsi="Arial" w:cs="Arial"/>
          <w:sz w:val="24"/>
          <w:szCs w:val="24"/>
        </w:rPr>
      </w:pPr>
      <w:r w:rsidRPr="00B261AF">
        <w:rPr>
          <w:rFonts w:ascii="Arial" w:eastAsiaTheme="minorEastAsia" w:hAnsi="Arial" w:cs="Arial"/>
          <w:b/>
          <w:bCs/>
          <w:sz w:val="24"/>
          <w:szCs w:val="24"/>
        </w:rPr>
        <w:t>Equation 1.</w:t>
      </w:r>
      <w:r w:rsidRPr="00B261AF">
        <w:rPr>
          <w:rFonts w:ascii="Arial" w:eastAsiaTheme="minorEastAsia" w:hAnsi="Arial" w:cs="Arial"/>
          <w:sz w:val="24"/>
          <w:szCs w:val="24"/>
        </w:rPr>
        <w:t xml:space="preserve"> Calculation for centroids of connectivity spatial distributions.</w:t>
      </w:r>
    </w:p>
    <w:p w14:paraId="47F80C79" w14:textId="77777777" w:rsidR="00F2232E" w:rsidRPr="00B261AF" w:rsidRDefault="00F2232E" w:rsidP="00B52B3B">
      <w:pPr>
        <w:spacing w:line="276" w:lineRule="auto"/>
        <w:rPr>
          <w:rFonts w:ascii="Arial" w:hAnsi="Arial" w:cs="Arial"/>
          <w:sz w:val="24"/>
          <w:szCs w:val="24"/>
        </w:rPr>
      </w:pPr>
      <w:r w:rsidRPr="00B261AF">
        <w:rPr>
          <w:rFonts w:ascii="Arial" w:hAnsi="Arial" w:cs="Arial"/>
          <w:sz w:val="24"/>
          <w:szCs w:val="24"/>
        </w:rPr>
        <w:t xml:space="preserve">Where </w:t>
      </w:r>
      <w:r w:rsidRPr="00B261AF">
        <w:rPr>
          <w:rFonts w:ascii="Arial" w:hAnsi="Arial" w:cs="Arial"/>
          <w:i/>
          <w:iCs/>
          <w:sz w:val="24"/>
          <w:szCs w:val="24"/>
        </w:rPr>
        <w:t>c</w:t>
      </w:r>
      <w:r w:rsidRPr="00B261AF">
        <w:rPr>
          <w:rFonts w:ascii="Arial" w:hAnsi="Arial" w:cs="Arial"/>
          <w:sz w:val="24"/>
          <w:szCs w:val="24"/>
        </w:rPr>
        <w:t xml:space="preserve"> is the centroid’s position, </w:t>
      </w:r>
      <w:r w:rsidRPr="00B261AF">
        <w:rPr>
          <w:rFonts w:ascii="Arial" w:hAnsi="Arial" w:cs="Arial"/>
          <w:i/>
          <w:iCs/>
          <w:sz w:val="24"/>
          <w:szCs w:val="24"/>
        </w:rPr>
        <w:t>x</w:t>
      </w:r>
      <w:r w:rsidRPr="00B261AF">
        <w:rPr>
          <w:rFonts w:ascii="Arial" w:hAnsi="Arial" w:cs="Arial"/>
          <w:sz w:val="24"/>
          <w:szCs w:val="24"/>
          <w:vertAlign w:val="subscript"/>
        </w:rPr>
        <w:t>i</w:t>
      </w:r>
      <w:r w:rsidRPr="00B261AF">
        <w:rPr>
          <w:rFonts w:ascii="Arial" w:hAnsi="Arial" w:cs="Arial"/>
          <w:sz w:val="24"/>
          <w:szCs w:val="24"/>
        </w:rPr>
        <w:t xml:space="preserve"> is the position along the spatial axis, and </w:t>
      </w:r>
      <w:proofErr w:type="spellStart"/>
      <w:r w:rsidRPr="00B261AF">
        <w:rPr>
          <w:rFonts w:ascii="Arial" w:hAnsi="Arial" w:cs="Arial"/>
          <w:i/>
          <w:iCs/>
          <w:sz w:val="24"/>
          <w:szCs w:val="24"/>
        </w:rPr>
        <w:t>w</w:t>
      </w:r>
      <w:r w:rsidRPr="00B261AF">
        <w:rPr>
          <w:rFonts w:ascii="Arial" w:hAnsi="Arial" w:cs="Arial"/>
          <w:sz w:val="24"/>
          <w:szCs w:val="24"/>
          <w:vertAlign w:val="subscript"/>
        </w:rPr>
        <w:t>i</w:t>
      </w:r>
      <w:proofErr w:type="spellEnd"/>
      <w:r w:rsidRPr="00B261AF">
        <w:rPr>
          <w:rFonts w:ascii="Arial" w:hAnsi="Arial" w:cs="Arial"/>
          <w:sz w:val="24"/>
          <w:szCs w:val="24"/>
        </w:rPr>
        <w:t xml:space="preserve"> is the mean effect size at each bin. </w:t>
      </w:r>
    </w:p>
    <w:p w14:paraId="12036835" w14:textId="2A102F12"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To assess whether the spatial distribution of connectivity effects exhibited spatial clustering, we performed Moran’s I spatial autocorrelation analysis on the polynomial-fitted connectivity profiles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{"citationID":"16oZKLhT","properties":{"formattedCitation":"(Chen, 2013)","plainCitation":"(Chen, 2013)","noteIndex":0},"citationItems":[{"id":4318,"uris":["http://zotero.org/users/7023408/items/I6PH5H3H"],"itemData":{"id":4318,"type":"article-journal","abstract":"Spatial autocorrelation plays an important role in geographical analysis; however, there is still room for improvement of this method. The formula for Moran’s index is complicated, and several basic problems remain to be solved. Therefore, I will reconstruct its mathematical framework using mathematical derivation based on linear algebra and present four simple approaches to calculating Moran’s index. Moran’s scatterplot will be ameliorated, and new test methods will be proposed. The relationship between the global Moran’s index and Geary’s coefficient will be discussed from two different vantage points: spatial population and spatial sample. The sphere of applications for both Moran’s index and Geary’s coefficient will be clarified and defined. One of theoretical findings is that Moran’s index is a characteristic parameter of spatial weight matrices, so the selection of weight functions is very significant for autocorrelation analysis of geographical systems. A case study of 29 Chinese cities in 2000 will be employed to validate the innovatory models and methods. This work is a methodological study, which will simplify the process of autocorrelation analysis. The results of this study will lay the foundation for the scaling analysis of spatial autocorrelation.","container-title":"PLoS ONE","DOI":"10.1371/journal.pone.0068336","ISSN":"1932-6203","issue":"7","journalAbbreviation":"PLoS One","note":"PMID: 23874592\nPMCID: PMC3709922","page":"e68336","source":"PubMed Central","title":"New Approaches for Calculating Moran’s Index of Spatial Autocorrelation","volume":"8","author":[{"family":"Chen","given":"Yanguang"}],"issued":{"date-parts":[["2013",7,12]]},"citation-key":"chenNewApproachesCalculating2013"}}],"schema":"https://github.com/citation-style-language/schema/raw/master/csl-citation.json"}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(Chen, 2013)</w:t>
      </w:r>
      <w:r w:rsidRPr="00B261AF">
        <w:rPr>
          <w:rFonts w:ascii="Arial" w:hAnsi="Arial" w:cs="Arial"/>
          <w:sz w:val="24"/>
          <w:szCs w:val="24"/>
        </w:rPr>
        <w:fldChar w:fldCharType="end"/>
      </w:r>
      <w:r w:rsidRPr="00B261AF">
        <w:rPr>
          <w:rFonts w:ascii="Arial" w:hAnsi="Arial" w:cs="Arial"/>
          <w:sz w:val="24"/>
          <w:szCs w:val="24"/>
        </w:rPr>
        <w:t>. A spatial weight matrix was constructed with an epsilon of 1</w:t>
      </w:r>
      <w:r w:rsidRPr="00B261AF">
        <w:rPr>
          <w:rFonts w:ascii="Arial" w:hAnsi="Arial" w:cs="Arial"/>
          <w:sz w:val="24"/>
          <w:szCs w:val="24"/>
          <w:vertAlign w:val="subscript"/>
        </w:rPr>
        <w:t>E</w:t>
      </w:r>
      <w:r w:rsidRPr="00B261AF">
        <w:rPr>
          <w:rFonts w:ascii="Arial" w:hAnsi="Arial" w:cs="Arial"/>
          <w:sz w:val="24"/>
          <w:szCs w:val="24"/>
        </w:rPr>
        <w:t>-5 to define spatial adjacency relationships between bins based on their proximity along each anatomical axis. For each stimulation condition and anatomical axis, we computed the observed Moran’s I statistic and compared it to a distribution of Moran’s I statistics generated from 1,000 random spatial permutations to calculate a p-value for each spatial distribution. A p-value &lt; 0.01 was considered significant for this analysis.</w:t>
      </w:r>
    </w:p>
    <w:p w14:paraId="27C18276"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Statistical comparisons of spatial centroids between stimulation conditions were performed using a permutation-based pairwise comparison of observed centroid differences between conditions. For each pairwise comparison between stimulation conditions, we computed the observed difference in spatial centroids and compared this to a null distribution generated by 1,000 random permutations of condition labels. A p-value &lt; 0.01 was considered significant for this analysis.</w:t>
      </w:r>
    </w:p>
    <w:p w14:paraId="45B6AE1A"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To examine hemispheric differences in effective connectivity, contacts were grouped into major class regions and tested for significant hemispheric asymmetries in connectivity using a Wilcoxon rank sum test. This was done for major regions, both contralateral and ipsilateral to the stimulation sites within each stimulation condition.</w:t>
      </w:r>
    </w:p>
    <w:p w14:paraId="08DFF793" w14:textId="1A7ED3B1" w:rsidR="00F2232E" w:rsidRPr="00B261AF" w:rsidRDefault="00F2232E" w:rsidP="00B52B3B">
      <w:pPr>
        <w:spacing w:line="276" w:lineRule="auto"/>
        <w:rPr>
          <w:rFonts w:ascii="Arial" w:hAnsi="Arial" w:cs="Arial"/>
          <w:i/>
          <w:iCs/>
          <w:sz w:val="24"/>
          <w:szCs w:val="24"/>
        </w:rPr>
      </w:pPr>
      <w:r w:rsidRPr="00B261AF">
        <w:rPr>
          <w:rFonts w:ascii="Arial" w:hAnsi="Arial" w:cs="Arial"/>
          <w:i/>
          <w:iCs/>
          <w:sz w:val="24"/>
          <w:szCs w:val="24"/>
        </w:rPr>
        <w:t>2.</w:t>
      </w:r>
      <w:r w:rsidR="00B261AF">
        <w:rPr>
          <w:rFonts w:ascii="Arial" w:hAnsi="Arial" w:cs="Arial"/>
          <w:i/>
          <w:iCs/>
          <w:sz w:val="24"/>
          <w:szCs w:val="24"/>
        </w:rPr>
        <w:t>9</w:t>
      </w:r>
      <w:r w:rsidRPr="00B261AF">
        <w:rPr>
          <w:rFonts w:ascii="Arial" w:hAnsi="Arial" w:cs="Arial"/>
          <w:i/>
          <w:iCs/>
          <w:sz w:val="24"/>
          <w:szCs w:val="24"/>
        </w:rPr>
        <w:t xml:space="preserve"> </w:t>
      </w:r>
      <w:r w:rsidRPr="00B261AF">
        <w:rPr>
          <w:rFonts w:ascii="Arial" w:hAnsi="Arial" w:cs="Arial"/>
          <w:i/>
          <w:iCs/>
          <w:sz w:val="24"/>
          <w:szCs w:val="24"/>
        </w:rPr>
        <w:t>Hierarchical Clustering of Cg Effective Connectivity Networks</w:t>
      </w:r>
    </w:p>
    <w:p w14:paraId="0C41EEFE" w14:textId="13296938"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To characterize the morphological relationships of CCEPs across the cortex, and organize these regions into clustered Cg subnetworks, we performed a maximum correlation-aligned inter-channel pairwise coherence analysis, followed by a hierarchical clustering analysis. To reduce computational load, we </w:t>
      </w:r>
      <w:proofErr w:type="spellStart"/>
      <w:r w:rsidRPr="00B261AF">
        <w:rPr>
          <w:rFonts w:ascii="Arial" w:hAnsi="Arial" w:cs="Arial"/>
          <w:sz w:val="24"/>
          <w:szCs w:val="24"/>
        </w:rPr>
        <w:t>downsampled</w:t>
      </w:r>
      <w:proofErr w:type="spellEnd"/>
      <w:r w:rsidRPr="00B261AF">
        <w:rPr>
          <w:rFonts w:ascii="Arial" w:hAnsi="Arial" w:cs="Arial"/>
          <w:sz w:val="24"/>
          <w:szCs w:val="24"/>
        </w:rPr>
        <w:t xml:space="preserve"> each average CCEP waveform by a factor of 3. </w:t>
      </w:r>
    </w:p>
    <w:p w14:paraId="587A4E0E"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lastRenderedPageBreak/>
        <w:t xml:space="preserve">To compute inter/intra-regional coherence for each stimulation condition, we performed pairwise lag-corrected Spearman’s correlations of trial-averaged CCEP waveforms between all significantly coherent contacts both within and between all regions. To account for differences in onset latency of CCEPs between regions or contacts, and better isolate the morphological similarity between CCEPs, we performed a Spearman’s cross-correlation between each time series for both baseline and CCEP windows (note that window indices were also adjusted for the </w:t>
      </w:r>
      <w:proofErr w:type="spellStart"/>
      <w:r w:rsidRPr="00B261AF">
        <w:rPr>
          <w:rFonts w:ascii="Arial" w:hAnsi="Arial" w:cs="Arial"/>
          <w:sz w:val="24"/>
          <w:szCs w:val="24"/>
        </w:rPr>
        <w:t>downsampled</w:t>
      </w:r>
      <w:proofErr w:type="spellEnd"/>
      <w:r w:rsidRPr="00B261AF">
        <w:rPr>
          <w:rFonts w:ascii="Arial" w:hAnsi="Arial" w:cs="Arial"/>
          <w:sz w:val="24"/>
          <w:szCs w:val="24"/>
        </w:rPr>
        <w:t xml:space="preserve"> time series). The maximum Spearman’s Rho for each pairwise correlation was used to generate distributions of CCEP morphological coherence between brain regions for both baseline and CCEP windows. A Wilcoxon rank sum test between these distributions was used to determine which regions had significant CCEP morphological similarities.</w:t>
      </w:r>
    </w:p>
    <w:p w14:paraId="6711495F"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The resulting data structure from this analysis was a correlation matrix for each stimulation condition, representing the average lag-corrected Spearman’s correlation between regions. We next applied a mask to this matrix to remove any non-significant indices or indices where we did not have sufficient data to make inter-regional comparisons. To compare the overall morphological similarity of CCEPs between stimulation conditions, we performed a Wilcoxon rank sum test between the correlation values of each correlation matrix. </w:t>
      </w:r>
    </w:p>
    <w:p w14:paraId="1D38BCFF" w14:textId="77777777"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We then applied agglomerative hierarchical clustering to these matrices to identify subnetworks with shared CCEP morphology for each stimulation condition. For this analysis, we calculated the distance matrix of each correlation matrix by subtracting each index from one. We then computed a linkage matrix encoding relationships between regions as a dendrogram, which was used for defining clusters of regions.  </w:t>
      </w:r>
    </w:p>
    <w:p w14:paraId="24B7434D" w14:textId="77777777" w:rsidR="00F2232E" w:rsidRPr="00B261AF" w:rsidRDefault="00F2232E" w:rsidP="00B52B3B">
      <w:pPr>
        <w:spacing w:line="276" w:lineRule="auto"/>
        <w:ind w:firstLine="720"/>
        <w:rPr>
          <w:rFonts w:ascii="Arial" w:eastAsiaTheme="minorEastAsia" w:hAnsi="Arial" w:cs="Arial"/>
          <w:iCs/>
          <w:sz w:val="24"/>
          <w:szCs w:val="24"/>
        </w:rPr>
      </w:pPr>
      <w:r w:rsidRPr="00B261AF">
        <w:rPr>
          <w:rFonts w:ascii="Arial" w:hAnsi="Arial" w:cs="Arial"/>
          <w:sz w:val="24"/>
          <w:szCs w:val="24"/>
        </w:rPr>
        <w:t xml:space="preserve">To select a distance threshold to cluster regions, we implemented an automated selection algorithm (see </w:t>
      </w:r>
      <w:r w:rsidRPr="00B261AF">
        <w:rPr>
          <w:rFonts w:ascii="Arial" w:hAnsi="Arial" w:cs="Arial"/>
          <w:i/>
          <w:iCs/>
          <w:sz w:val="24"/>
          <w:szCs w:val="24"/>
        </w:rPr>
        <w:t>Automated Dendrogram Distance Threshold Selection</w:t>
      </w:r>
      <w:r w:rsidRPr="00B261AF">
        <w:rPr>
          <w:rFonts w:ascii="Arial" w:hAnsi="Arial" w:cs="Arial"/>
          <w:sz w:val="24"/>
          <w:szCs w:val="24"/>
        </w:rPr>
        <w:t xml:space="preserve"> in Supplemental Methods). </w:t>
      </w:r>
      <w:r w:rsidRPr="00B261AF">
        <w:rPr>
          <w:rFonts w:ascii="Arial" w:eastAsiaTheme="minorEastAsia" w:hAnsi="Arial" w:cs="Arial"/>
          <w:iCs/>
          <w:sz w:val="24"/>
          <w:szCs w:val="24"/>
        </w:rPr>
        <w:t>To characterize the overall differences in dendrogram diversity, we calculated distributions of cophenetic distance (i.e., pairwise differences in branch length across the entire tree) for each stimulation condition and compared these distributions using a Wilcoxon rank sum test. The dendrogram diversity was evaluated by calculating the cophenetic entropy of these distributions.</w:t>
      </w:r>
    </w:p>
    <w:p w14:paraId="23DE1FDD" w14:textId="570E7E93" w:rsidR="00F2232E" w:rsidRPr="00B261AF" w:rsidRDefault="00F2232E" w:rsidP="00B52B3B">
      <w:pPr>
        <w:spacing w:line="276" w:lineRule="auto"/>
        <w:rPr>
          <w:rFonts w:ascii="Arial" w:hAnsi="Arial" w:cs="Arial"/>
          <w:sz w:val="24"/>
          <w:szCs w:val="24"/>
        </w:rPr>
      </w:pPr>
      <w:r w:rsidRPr="00B261AF">
        <w:rPr>
          <w:rFonts w:ascii="Arial" w:hAnsi="Arial" w:cs="Arial"/>
          <w:i/>
          <w:iCs/>
          <w:sz w:val="24"/>
          <w:szCs w:val="24"/>
        </w:rPr>
        <w:t>2.</w:t>
      </w:r>
      <w:r w:rsidR="00B261AF">
        <w:rPr>
          <w:rFonts w:ascii="Arial" w:hAnsi="Arial" w:cs="Arial"/>
          <w:i/>
          <w:iCs/>
          <w:sz w:val="24"/>
          <w:szCs w:val="24"/>
        </w:rPr>
        <w:t>10</w:t>
      </w:r>
      <w:r w:rsidRPr="00B261AF">
        <w:rPr>
          <w:rFonts w:ascii="Arial" w:hAnsi="Arial" w:cs="Arial"/>
          <w:i/>
          <w:iCs/>
          <w:sz w:val="24"/>
          <w:szCs w:val="24"/>
        </w:rPr>
        <w:t xml:space="preserve"> </w:t>
      </w:r>
      <w:r w:rsidRPr="00B261AF">
        <w:rPr>
          <w:rFonts w:ascii="Arial" w:hAnsi="Arial" w:cs="Arial"/>
          <w:i/>
          <w:iCs/>
          <w:sz w:val="24"/>
          <w:szCs w:val="24"/>
        </w:rPr>
        <w:t>Assessing Feature Importance for Classifying Cg Effective Connectivity Networks</w:t>
      </w:r>
      <w:r w:rsidRPr="00B261AF">
        <w:rPr>
          <w:rFonts w:ascii="Arial" w:hAnsi="Arial" w:cs="Arial"/>
          <w:sz w:val="24"/>
          <w:szCs w:val="24"/>
        </w:rPr>
        <w:t xml:space="preserve"> </w:t>
      </w:r>
    </w:p>
    <w:p w14:paraId="259DB173" w14:textId="41E1738E" w:rsidR="00F2232E" w:rsidRPr="00B261AF" w:rsidRDefault="00F2232E" w:rsidP="00B52B3B">
      <w:pPr>
        <w:spacing w:line="276" w:lineRule="auto"/>
        <w:ind w:firstLine="720"/>
        <w:rPr>
          <w:rFonts w:ascii="Arial" w:hAnsi="Arial" w:cs="Arial"/>
          <w:sz w:val="24"/>
          <w:szCs w:val="24"/>
        </w:rPr>
      </w:pPr>
      <w:r w:rsidRPr="00B261AF">
        <w:rPr>
          <w:rFonts w:ascii="Arial" w:hAnsi="Arial" w:cs="Arial"/>
          <w:sz w:val="24"/>
          <w:szCs w:val="24"/>
        </w:rPr>
        <w:t xml:space="preserve">To assess the importance of the effective connectivity metrics extracted in this study to classify which Cg subregion was stimulated, we used Random Forest Models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{"citationID":"el1IuYjf","properties":{"formattedCitation":"(Breiman, 2001)","plainCitation":"(Breiman, 2001)","noteIndex":0},"citationItems":[{"id":4319,"uris":["http://zotero.org/users/7023408/items/E39W39BP"],"itemData":{"id":4319,"type":"article-journal","abstract":"Random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Forests","volume":"45","author":[{"family":"Breiman","given":"Leo"}],"issued":{"date-parts":[["2001",10,1]]},"citation-key":"breimanRandomForests2001"}}],"schema":"https://github.com/citation-style-language/schema/raw/master/csl-citation.json"}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Breiman</w:t>
      </w:r>
      <w:proofErr w:type="spellEnd"/>
      <w:r w:rsidR="00B261AF">
        <w:rPr>
          <w:rFonts w:ascii="Arial" w:hAnsi="Arial" w:cs="Arial"/>
          <w:sz w:val="24"/>
          <w:szCs w:val="24"/>
        </w:rPr>
        <w:t>, 2001)</w:t>
      </w:r>
      <w:r w:rsidRPr="00B261AF">
        <w:rPr>
          <w:rFonts w:ascii="Arial" w:hAnsi="Arial" w:cs="Arial"/>
          <w:sz w:val="24"/>
          <w:szCs w:val="24"/>
        </w:rPr>
        <w:fldChar w:fldCharType="end"/>
      </w:r>
      <w:r w:rsidRPr="00B261AF">
        <w:rPr>
          <w:rFonts w:ascii="Arial" w:hAnsi="Arial" w:cs="Arial"/>
          <w:sz w:val="24"/>
          <w:szCs w:val="24"/>
        </w:rPr>
        <w:t xml:space="preserve">.  The model inputs included features aggregated across subjects at each contact, and the model was trained to classify contacts into three groups, specifically corresponding to which Cg subregion was stimulated (ACC, MCC, PCC). The input features for each contact (see Supplemental Methods for description and </w:t>
      </w:r>
      <w:r w:rsidRPr="00B261AF">
        <w:rPr>
          <w:rFonts w:ascii="Arial" w:hAnsi="Arial" w:cs="Arial"/>
          <w:sz w:val="24"/>
          <w:szCs w:val="24"/>
        </w:rPr>
        <w:lastRenderedPageBreak/>
        <w:t>methods for all features not outlined above) included response coherence, baseline coherence, Cohen’s d of response coherence, response coherence variance, response magnitude, contact position (X, Y, and Z- each a separate feature), response latency, response duration, peak response magnitude, peak response latency, response offset,  peak broadband gamma magnitude, evoked gamma response, gamma response latency, gamma response duration, response onset angle, response offset angle, each of the (up to) three dominant CCEP angles (each a separate feature), onset of each of the three dominant CCEP angles (each a separate feature), N1 peak amplitude, N1 peak prominence, N1 peak width, N2 peak amplitude, N2 peak prominence, N2 peak width, N2 Peak latency. The details for the methodology used to extract temporal features, gamma features, response angles, and N1/N2 features are described in Supplemental Methods.</w:t>
      </w:r>
    </w:p>
    <w:p w14:paraId="2DAD3F67" w14:textId="4BF4780C" w:rsidR="00F2232E" w:rsidRPr="00B261AF" w:rsidRDefault="00F2232E" w:rsidP="00B52B3B">
      <w:pPr>
        <w:spacing w:line="276" w:lineRule="auto"/>
        <w:ind w:firstLine="720"/>
        <w:rPr>
          <w:rFonts w:ascii="Arial" w:eastAsiaTheme="minorEastAsia" w:hAnsi="Arial" w:cs="Arial"/>
          <w:iCs/>
          <w:sz w:val="24"/>
          <w:szCs w:val="24"/>
        </w:rPr>
      </w:pPr>
      <w:r w:rsidRPr="00B261AF">
        <w:rPr>
          <w:rFonts w:ascii="Arial" w:eastAsiaTheme="minorEastAsia" w:hAnsi="Arial" w:cs="Arial"/>
          <w:iCs/>
          <w:sz w:val="24"/>
          <w:szCs w:val="24"/>
        </w:rPr>
        <w:t xml:space="preserve">All models were trained with a 5/10-fold nested cross-validation in aggregate across all subjects (5-fold for inner folds, 10-fold for outer folds). Within each fold, models were optimized using 200 iterations of Bayesian optimization, and weighted classification was employed during training to address class imbalance (i.e., differences in sample number for each condition). Permutation feature importance was used to identify the strongest predictive features of the output based on the trained models </w:t>
      </w:r>
      <w:r w:rsidRPr="00B261AF">
        <w:rPr>
          <w:rFonts w:ascii="Arial" w:eastAsiaTheme="minorEastAsia" w:hAnsi="Arial" w:cs="Arial"/>
          <w:iCs/>
          <w:sz w:val="24"/>
          <w:szCs w:val="24"/>
        </w:rPr>
        <w:fldChar w:fldCharType="begin"/>
      </w:r>
      <w:r w:rsidR="00B261AF">
        <w:rPr>
          <w:rFonts w:ascii="Arial" w:eastAsiaTheme="minorEastAsia" w:hAnsi="Arial" w:cs="Arial"/>
          <w:iCs/>
          <w:sz w:val="24"/>
          <w:szCs w:val="24"/>
        </w:rPr>
        <w:instrText xml:space="preserve"> ADDIN ZOTERO_ITEM CSL_CITATION {"citationID":"89jvjkpD","properties":{"formattedCitation":"(Fisher et al., 2019)","plainCitation":"(Fisher et al., 2019)","noteIndex":0},"citationItems":[{"id":4320,"uris":["http://zotero.org/users/7023408/items/W3GFAZGN"],"itemData":{"id":4320,"type":"article-journal","abstract":"Variable importance (VI) tools describe how much covariates contribute to a prediction model’s accuracy. However, important variables for one well-performing model (for example, a linear model f (x) = xT\nβ with a fixed coefficient vector β) may be unimportant for another model. In this paper, we propose model class reliance (MCR) as the range of VI values across all well-performing model in a prespecified class. Thus, MCR gives a more comprehensive description of importance by accounting for the fact that many prediction models, possibly of different parametric forms, may fit the data well. In the process of deriving MCR, we show several informative results for permutation-based VI estimates, based on the VI measures used in Random Forests. Specifically, we derive connections between permutation importance estimates for a single prediction model, U-statistics, conditional variable importance, conditional causal effects, and linear model coefficients. We then give probabilistic bounds for MCR, using a novel, generalizable technique. We apply MCR to a public data set of Broward County criminal records to study the reliance of recidivism prediction models on sex and race. In this application, MCR can be used to help inform VI for unknown, proprietary models.","container-title":"Journal of machine learning research : JMLR","ISSN":"1532-4435","journalAbbreviation":"J Mach Learn Res","note":"PMID: 34335110\nPMCID: PMC8323609","page":"177","source":"PubMed Central","title":"All Models are Wrong, but Many are Useful: Learning a Variable’s Importance by Studying an Entire Class of Prediction Models Simultaneously","title-short":"All Models are Wrong, but Many are Useful","volume":"20","author":[{"family":"Fisher","given":"Aaron"},{"family":"Rudin","given":"Cynthia"},{"family":"Dominici","given":"Francesca"}],"issued":{"date-parts":[["2019"]]},"citation-key":"fisherAllModelsAre2019"}}],"schema":"https://github.com/citation-style-language/schema/raw/master/csl-citation.json"} </w:instrText>
      </w:r>
      <w:r w:rsidRPr="00B261AF">
        <w:rPr>
          <w:rFonts w:ascii="Arial" w:eastAsiaTheme="minorEastAsia" w:hAnsi="Arial" w:cs="Arial"/>
          <w:iCs/>
          <w:sz w:val="24"/>
          <w:szCs w:val="24"/>
        </w:rPr>
        <w:fldChar w:fldCharType="separate"/>
      </w:r>
      <w:r w:rsidR="00B261AF">
        <w:rPr>
          <w:rFonts w:ascii="Arial" w:hAnsi="Arial" w:cs="Arial"/>
          <w:sz w:val="24"/>
          <w:szCs w:val="24"/>
        </w:rPr>
        <w:t>(Fisher et al., 2019)</w:t>
      </w:r>
      <w:r w:rsidRPr="00B261AF">
        <w:rPr>
          <w:rFonts w:ascii="Arial" w:eastAsiaTheme="minorEastAsia" w:hAnsi="Arial" w:cs="Arial"/>
          <w:iCs/>
          <w:sz w:val="24"/>
          <w:szCs w:val="24"/>
        </w:rPr>
        <w:fldChar w:fldCharType="end"/>
      </w:r>
      <w:r w:rsidRPr="00B261AF">
        <w:rPr>
          <w:rFonts w:ascii="Arial" w:eastAsiaTheme="minorEastAsia" w:hAnsi="Arial" w:cs="Arial"/>
          <w:iCs/>
          <w:sz w:val="24"/>
          <w:szCs w:val="24"/>
        </w:rPr>
        <w:t xml:space="preserve">. Permutation feature importance assesses the contribution of each feature by measuring the impact on model performance when the values of that feature are randomly permuted. First, baseline model performance was established using the unaltered dataset. Then, one feature is permuted at a time, and the resulting decrease in model accuracy is recorded. This process is repeated for each feature, with greater drops in performance indicating more important features. For this analysis, permutation importance was calculated across all models trained during cross-validation, and the feature weights for each model were averaged. This process was repeated 1,000 times per model, and the results were averaged to yield a single importance weight for each feature. </w:t>
      </w:r>
    </w:p>
    <w:p w14:paraId="60293C04" w14:textId="6A5936D3" w:rsidR="00B52B3B" w:rsidRPr="00B261AF" w:rsidRDefault="00B52B3B" w:rsidP="00B52B3B">
      <w:pPr>
        <w:keepNext/>
        <w:pBdr>
          <w:top w:val="nil"/>
          <w:left w:val="nil"/>
          <w:bottom w:val="nil"/>
          <w:right w:val="nil"/>
          <w:between w:val="nil"/>
        </w:pBdr>
        <w:spacing w:before="240" w:after="60" w:line="276" w:lineRule="auto"/>
        <w:contextualSpacing/>
        <w:rPr>
          <w:rFonts w:ascii="Arial" w:hAnsi="Arial" w:cs="Arial"/>
          <w:b/>
          <w:color w:val="000000"/>
          <w:sz w:val="24"/>
          <w:szCs w:val="24"/>
        </w:rPr>
      </w:pPr>
      <w:r w:rsidRPr="00B261AF">
        <w:rPr>
          <w:rFonts w:ascii="Arial" w:hAnsi="Arial" w:cs="Arial"/>
          <w:b/>
          <w:color w:val="000000"/>
          <w:sz w:val="24"/>
          <w:szCs w:val="24"/>
        </w:rPr>
        <w:t xml:space="preserve">3 </w:t>
      </w:r>
      <w:r w:rsidRPr="00B261AF">
        <w:rPr>
          <w:rFonts w:ascii="Arial" w:hAnsi="Arial" w:cs="Arial"/>
          <w:b/>
          <w:color w:val="000000"/>
          <w:sz w:val="24"/>
          <w:szCs w:val="24"/>
        </w:rPr>
        <w:t>Results</w:t>
      </w:r>
    </w:p>
    <w:p w14:paraId="28F046DD" w14:textId="77777777" w:rsidR="00B52B3B" w:rsidRPr="00B261AF" w:rsidRDefault="00B52B3B" w:rsidP="00B52B3B">
      <w:pPr>
        <w:keepNext/>
        <w:pBdr>
          <w:top w:val="nil"/>
          <w:left w:val="nil"/>
          <w:bottom w:val="nil"/>
          <w:right w:val="nil"/>
          <w:between w:val="nil"/>
        </w:pBdr>
        <w:spacing w:before="240" w:after="60" w:line="276" w:lineRule="auto"/>
        <w:contextualSpacing/>
        <w:jc w:val="both"/>
        <w:rPr>
          <w:rFonts w:ascii="Arial" w:hAnsi="Arial" w:cs="Arial"/>
          <w:color w:val="000000"/>
          <w:sz w:val="24"/>
          <w:szCs w:val="24"/>
        </w:rPr>
      </w:pPr>
    </w:p>
    <w:p w14:paraId="24DB44DC" w14:textId="7A2D6322"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3.1 </w:t>
      </w:r>
      <w:r w:rsidRPr="00B261AF">
        <w:rPr>
          <w:rFonts w:ascii="Arial" w:hAnsi="Arial" w:cs="Arial"/>
          <w:i/>
          <w:iCs/>
          <w:sz w:val="24"/>
          <w:szCs w:val="24"/>
        </w:rPr>
        <w:t>Patient Demographics, SEEG Coverage, and Stimulation Locations</w:t>
      </w:r>
      <w:r w:rsidRPr="00B261AF">
        <w:rPr>
          <w:rFonts w:ascii="Arial" w:hAnsi="Arial" w:cs="Arial"/>
          <w:sz w:val="24"/>
          <w:szCs w:val="24"/>
        </w:rPr>
        <w:t xml:space="preserve"> </w:t>
      </w:r>
    </w:p>
    <w:p w14:paraId="0AED64B9" w14:textId="46BAB975"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Our models of Cg effective connectivity were derived from invasive electrophysiological data obtained from 15 patients with intractable epilepsy undergoing invasive SEEG monitoring (Age: mean ±SD, 33.3 ±11.85).</w:t>
      </w:r>
      <w:r w:rsidR="001100A2">
        <w:rPr>
          <w:rFonts w:ascii="Arial" w:hAnsi="Arial" w:cs="Arial"/>
          <w:sz w:val="24"/>
          <w:szCs w:val="24"/>
        </w:rPr>
        <w:t xml:space="preserve"> </w:t>
      </w:r>
      <w:r w:rsidRPr="00B261AF">
        <w:rPr>
          <w:rFonts w:ascii="Arial" w:hAnsi="Arial" w:cs="Arial"/>
          <w:sz w:val="24"/>
          <w:szCs w:val="24"/>
        </w:rPr>
        <w:t>Details, including patient duration of invasive monitoring, and clinical details, can be found in Supplemental Table 1. Experimental design is shown in Figure 1a.</w:t>
      </w:r>
    </w:p>
    <w:p w14:paraId="503DB48B"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The number of channels within each major brain region across patients in our study population is shown in Figure 1b. There was a median of 156 contacts ± 64.5 </w:t>
      </w:r>
      <w:r w:rsidRPr="00B261AF">
        <w:rPr>
          <w:rFonts w:ascii="Arial" w:hAnsi="Arial" w:cs="Arial"/>
          <w:sz w:val="24"/>
          <w:szCs w:val="24"/>
        </w:rPr>
        <w:lastRenderedPageBreak/>
        <w:t xml:space="preserve">MAD across major brain regions, with the temporal lobe containing 1060 channels, the frontal lobe containing 484 channels, and the orbitofrontal cortex containing 223 channels. The number of contacts within the cingulate cortex (167), </w:t>
      </w:r>
      <w:proofErr w:type="spellStart"/>
      <w:r w:rsidRPr="00B261AF">
        <w:rPr>
          <w:rFonts w:ascii="Arial" w:hAnsi="Arial" w:cs="Arial"/>
          <w:sz w:val="24"/>
          <w:szCs w:val="24"/>
        </w:rPr>
        <w:t>somato</w:t>
      </w:r>
      <w:proofErr w:type="spellEnd"/>
      <w:r w:rsidRPr="00B261AF">
        <w:rPr>
          <w:rFonts w:ascii="Arial" w:hAnsi="Arial" w:cs="Arial"/>
          <w:sz w:val="24"/>
          <w:szCs w:val="24"/>
        </w:rPr>
        <w:t>-motor cortices (198), hippocampus (145), amygdala (94), and insula (212) were within the MAD across all regions. The operculum (88), parietal lobe (80), and thalamus (16) were the least sampled regions.</w:t>
      </w:r>
    </w:p>
    <w:p w14:paraId="6A442032"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Figure 1c shows a breakdown of the stimulation locations within the Cg. Within our study population, 40% of stimulations were delivered to the left Cg, with 18.4% of stimulations occurring at the left ACC, 14.8% at the left MCC, and 6.4% at the left PCC, and 60% were delivered to the right Cg, with 26.4% of stimulations occurring at the right ACC, 24.9% at the right MCC, and 8.8% at the right PCC.</w:t>
      </w:r>
    </w:p>
    <w:p w14:paraId="529406FD"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Figure 1d shows a set of exemplar CCEPs recorded from different brain regions in response to stimulation of the ACC, MCC, or PCC. The morphological characteristics of the CCEPs vary depending on where the response was recorded and which subregion was stimulated.</w:t>
      </w:r>
    </w:p>
    <w:p w14:paraId="2E06B885" w14:textId="3ED586F5" w:rsidR="00B52B3B" w:rsidRPr="00B261AF" w:rsidRDefault="00B52B3B" w:rsidP="00B52B3B">
      <w:pPr>
        <w:spacing w:line="276" w:lineRule="auto"/>
        <w:ind w:firstLine="720"/>
        <w:jc w:val="center"/>
        <w:rPr>
          <w:rFonts w:ascii="Arial" w:hAnsi="Arial" w:cs="Arial"/>
          <w:sz w:val="24"/>
          <w:szCs w:val="24"/>
        </w:rPr>
      </w:pPr>
      <w:r w:rsidRPr="00B261AF">
        <w:rPr>
          <w:rFonts w:ascii="Arial" w:hAnsi="Arial" w:cs="Arial"/>
          <w:noProof/>
          <w:sz w:val="24"/>
          <w:szCs w:val="24"/>
        </w:rPr>
        <w:lastRenderedPageBreak/>
        <w:drawing>
          <wp:anchor distT="0" distB="0" distL="114300" distR="114300" simplePos="0" relativeHeight="251660288" behindDoc="0" locked="0" layoutInCell="1" allowOverlap="1" wp14:anchorId="3120DA5D" wp14:editId="5FBF39C7">
            <wp:simplePos x="0" y="0"/>
            <wp:positionH relativeFrom="column">
              <wp:posOffset>44002</wp:posOffset>
            </wp:positionH>
            <wp:positionV relativeFrom="paragraph">
              <wp:posOffset>0</wp:posOffset>
            </wp:positionV>
            <wp:extent cx="5486400" cy="4482318"/>
            <wp:effectExtent l="0" t="0" r="0" b="1270"/>
            <wp:wrapSquare wrapText="bothSides"/>
            <wp:docPr id="934464985" name="Picture 1" descr="A collage of medic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2607" name="Picture 1" descr="A collage of medical diagram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86400" cy="4482318"/>
                    </a:xfrm>
                    <a:prstGeom prst="rect">
                      <a:avLst/>
                    </a:prstGeom>
                  </pic:spPr>
                </pic:pic>
              </a:graphicData>
            </a:graphic>
            <wp14:sizeRelH relativeFrom="page">
              <wp14:pctWidth>0</wp14:pctWidth>
            </wp14:sizeRelH>
            <wp14:sizeRelV relativeFrom="page">
              <wp14:pctHeight>0</wp14:pctHeight>
            </wp14:sizeRelV>
          </wp:anchor>
        </w:drawing>
      </w:r>
      <w:r w:rsidRPr="00B261AF">
        <w:rPr>
          <w:rFonts w:ascii="Arial" w:hAnsi="Arial" w:cs="Arial"/>
          <w:noProof/>
          <w:sz w:val="24"/>
          <w:szCs w:val="24"/>
        </w:rPr>
        <mc:AlternateContent>
          <mc:Choice Requires="wps">
            <w:drawing>
              <wp:anchor distT="0" distB="0" distL="114300" distR="114300" simplePos="0" relativeHeight="251661312" behindDoc="0" locked="0" layoutInCell="1" allowOverlap="1" wp14:anchorId="7211AAAB" wp14:editId="5CE7EB14">
                <wp:simplePos x="0" y="0"/>
                <wp:positionH relativeFrom="column">
                  <wp:posOffset>44824</wp:posOffset>
                </wp:positionH>
                <wp:positionV relativeFrom="paragraph">
                  <wp:posOffset>4760595</wp:posOffset>
                </wp:positionV>
                <wp:extent cx="5486400" cy="1674495"/>
                <wp:effectExtent l="0" t="0" r="0" b="1905"/>
                <wp:wrapSquare wrapText="bothSides"/>
                <wp:docPr id="1372978314" name="Text Box 1"/>
                <wp:cNvGraphicFramePr/>
                <a:graphic xmlns:a="http://schemas.openxmlformats.org/drawingml/2006/main">
                  <a:graphicData uri="http://schemas.microsoft.com/office/word/2010/wordprocessingShape">
                    <wps:wsp>
                      <wps:cNvSpPr txBox="1"/>
                      <wps:spPr>
                        <a:xfrm>
                          <a:off x="0" y="0"/>
                          <a:ext cx="5486400" cy="1674495"/>
                        </a:xfrm>
                        <a:prstGeom prst="rect">
                          <a:avLst/>
                        </a:prstGeom>
                        <a:solidFill>
                          <a:prstClr val="white"/>
                        </a:solidFill>
                        <a:ln>
                          <a:noFill/>
                        </a:ln>
                      </wps:spPr>
                      <wps:txbx>
                        <w:txbxContent>
                          <w:p w14:paraId="6FEBD984"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1</w:t>
                            </w:r>
                            <w:r w:rsidRPr="00B261AF">
                              <w:rPr>
                                <w:rFonts w:ascii="Arial" w:hAnsi="Arial" w:cs="Arial"/>
                                <w:b/>
                                <w:bCs/>
                                <w:sz w:val="18"/>
                                <w:szCs w:val="18"/>
                              </w:rPr>
                              <w:fldChar w:fldCharType="end"/>
                            </w:r>
                            <w:r w:rsidRPr="00B261AF">
                              <w:rPr>
                                <w:rFonts w:ascii="Arial" w:hAnsi="Arial" w:cs="Arial"/>
                                <w:b/>
                                <w:bCs/>
                                <w:sz w:val="18"/>
                                <w:szCs w:val="18"/>
                              </w:rPr>
                              <w:t>.</w:t>
                            </w:r>
                            <w:r w:rsidRPr="00B261AF">
                              <w:rPr>
                                <w:rFonts w:ascii="Arial" w:hAnsi="Arial" w:cs="Arial"/>
                                <w:sz w:val="18"/>
                                <w:szCs w:val="18"/>
                              </w:rPr>
                              <w:t xml:space="preserve"> </w:t>
                            </w:r>
                            <w:r w:rsidRPr="00B261AF">
                              <w:rPr>
                                <w:rFonts w:ascii="Arial" w:hAnsi="Arial" w:cs="Arial"/>
                                <w:i/>
                                <w:iCs/>
                                <w:sz w:val="18"/>
                                <w:szCs w:val="18"/>
                              </w:rPr>
                              <w:t>Experimental overview and anatomical coverage of SEEG recordings and stimulation.</w:t>
                            </w:r>
                            <w:r w:rsidRPr="00B261AF">
                              <w:rPr>
                                <w:rFonts w:ascii="Arial" w:hAnsi="Arial" w:cs="Arial"/>
                                <w:sz w:val="18"/>
                                <w:szCs w:val="18"/>
                              </w:rPr>
                              <w:t xml:space="preserve"> </w:t>
                            </w:r>
                            <w:r w:rsidRPr="00B261AF">
                              <w:rPr>
                                <w:rFonts w:ascii="Arial" w:hAnsi="Arial" w:cs="Arial"/>
                                <w:b/>
                                <w:bCs/>
                                <w:sz w:val="18"/>
                                <w:szCs w:val="18"/>
                              </w:rPr>
                              <w:t>(a)</w:t>
                            </w:r>
                            <w:r w:rsidRPr="00B261AF">
                              <w:rPr>
                                <w:rFonts w:ascii="Arial" w:hAnsi="Arial" w:cs="Arial"/>
                                <w:sz w:val="18"/>
                                <w:szCs w:val="18"/>
                              </w:rPr>
                              <w:t xml:space="preserve"> Schematic of the experimental design. Patients with intractable epilepsy undergoing invasive SEEG monitoring received single-pulse electrical stimulation (6 mA, 0.2-ms biphasic square pulse, 0.5 Hz, 1-2 minutes) to the cingulate cortex (Cg) subregion(s). Cortico-cortical evoked potentials (CCEPs) were recorded from contacts distributed across various brain regions. </w:t>
                            </w:r>
                            <w:r w:rsidRPr="00B261AF">
                              <w:rPr>
                                <w:rFonts w:ascii="Arial" w:hAnsi="Arial" w:cs="Arial"/>
                                <w:b/>
                                <w:bCs/>
                                <w:sz w:val="18"/>
                                <w:szCs w:val="18"/>
                              </w:rPr>
                              <w:t>(b)</w:t>
                            </w:r>
                            <w:r w:rsidRPr="00B261AF">
                              <w:rPr>
                                <w:rFonts w:ascii="Arial" w:hAnsi="Arial" w:cs="Arial"/>
                                <w:sz w:val="18"/>
                                <w:szCs w:val="18"/>
                              </w:rPr>
                              <w:t xml:space="preserve"> Anatomical coverage of SEEG contacts pooled from 15 patients, projected onto an MNI-space cortical model generated from volumetric averaging across all patients. The area of the Cg is shown in light red. Colors of contacts represent the major brain regions where contacts were located. </w:t>
                            </w:r>
                            <w:r w:rsidRPr="00B261AF">
                              <w:rPr>
                                <w:rFonts w:ascii="Arial" w:hAnsi="Arial" w:cs="Arial"/>
                                <w:b/>
                                <w:bCs/>
                                <w:sz w:val="18"/>
                                <w:szCs w:val="18"/>
                              </w:rPr>
                              <w:t>(c)</w:t>
                            </w:r>
                            <w:r w:rsidRPr="00B261AF">
                              <w:rPr>
                                <w:rFonts w:ascii="Arial" w:hAnsi="Arial" w:cs="Arial"/>
                                <w:sz w:val="18"/>
                                <w:szCs w:val="18"/>
                              </w:rPr>
                              <w:t xml:space="preserve"> Position of contacts within the subregions of the Cg across patients, projected onto a volumetrically averaged MNI-space model, highlighting stimulated (red) and non-stimulated (black) contacts. Bar plots adjacent to the superior cortical view illustrate the distribution of stimulations across Cg subregions and hemispheres. </w:t>
                            </w:r>
                            <w:r w:rsidRPr="00B261AF">
                              <w:rPr>
                                <w:rFonts w:ascii="Arial" w:hAnsi="Arial" w:cs="Arial"/>
                                <w:b/>
                                <w:bCs/>
                                <w:sz w:val="18"/>
                                <w:szCs w:val="18"/>
                              </w:rPr>
                              <w:t>(d)</w:t>
                            </w:r>
                            <w:r w:rsidRPr="00B261AF">
                              <w:rPr>
                                <w:rFonts w:ascii="Arial" w:hAnsi="Arial" w:cs="Arial"/>
                                <w:sz w:val="18"/>
                                <w:szCs w:val="18"/>
                              </w:rPr>
                              <w:t xml:space="preserve"> Exemplar CCEP waveforms across representative cortical regions, reflecting distinct morphological qualities elicited by stimulation of different Cg subregions.</w:t>
                            </w:r>
                          </w:p>
                          <w:p w14:paraId="460488ED" w14:textId="77777777" w:rsidR="00B52B3B" w:rsidRPr="005C1681" w:rsidRDefault="00B52B3B" w:rsidP="00B52B3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211AAAB" id="_x0000_t202" coordsize="21600,21600" o:spt="202" path="m,l,21600r21600,l21600,xe">
                <v:stroke joinstyle="miter"/>
                <v:path gradientshapeok="t" o:connecttype="rect"/>
              </v:shapetype>
              <v:shape id="Text Box 1" o:spid="_x0000_s1026" type="#_x0000_t202" style="position:absolute;left:0;text-align:left;margin-left:3.55pt;margin-top:374.85pt;width:6in;height:13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" stroked="f">
                <v:textbox inset="0,0,0,0">
                  <w:txbxContent>
                    <w:p w14:paraId="6FEBD984"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1</w:t>
                      </w:r>
                      <w:r w:rsidRPr="00B261AF">
                        <w:rPr>
                          <w:rFonts w:ascii="Arial" w:hAnsi="Arial" w:cs="Arial"/>
                          <w:b/>
                          <w:bCs/>
                          <w:sz w:val="18"/>
                          <w:szCs w:val="18"/>
                        </w:rPr>
                        <w:fldChar w:fldCharType="end"/>
                      </w:r>
                      <w:r w:rsidRPr="00B261AF">
                        <w:rPr>
                          <w:rFonts w:ascii="Arial" w:hAnsi="Arial" w:cs="Arial"/>
                          <w:b/>
                          <w:bCs/>
                          <w:sz w:val="18"/>
                          <w:szCs w:val="18"/>
                        </w:rPr>
                        <w:t>.</w:t>
                      </w:r>
                      <w:r w:rsidRPr="00B261AF">
                        <w:rPr>
                          <w:rFonts w:ascii="Arial" w:hAnsi="Arial" w:cs="Arial"/>
                          <w:sz w:val="18"/>
                          <w:szCs w:val="18"/>
                        </w:rPr>
                        <w:t xml:space="preserve"> </w:t>
                      </w:r>
                      <w:r w:rsidRPr="00B261AF">
                        <w:rPr>
                          <w:rFonts w:ascii="Arial" w:hAnsi="Arial" w:cs="Arial"/>
                          <w:i/>
                          <w:iCs/>
                          <w:sz w:val="18"/>
                          <w:szCs w:val="18"/>
                        </w:rPr>
                        <w:t>Experimental overview and anatomical coverage of SEEG recordings and stimulation.</w:t>
                      </w:r>
                      <w:r w:rsidRPr="00B261AF">
                        <w:rPr>
                          <w:rFonts w:ascii="Arial" w:hAnsi="Arial" w:cs="Arial"/>
                          <w:sz w:val="18"/>
                          <w:szCs w:val="18"/>
                        </w:rPr>
                        <w:t xml:space="preserve"> </w:t>
                      </w:r>
                      <w:r w:rsidRPr="00B261AF">
                        <w:rPr>
                          <w:rFonts w:ascii="Arial" w:hAnsi="Arial" w:cs="Arial"/>
                          <w:b/>
                          <w:bCs/>
                          <w:sz w:val="18"/>
                          <w:szCs w:val="18"/>
                        </w:rPr>
                        <w:t>(a)</w:t>
                      </w:r>
                      <w:r w:rsidRPr="00B261AF">
                        <w:rPr>
                          <w:rFonts w:ascii="Arial" w:hAnsi="Arial" w:cs="Arial"/>
                          <w:sz w:val="18"/>
                          <w:szCs w:val="18"/>
                        </w:rPr>
                        <w:t xml:space="preserve"> Schematic of the experimental design. Patients with intractable epilepsy undergoing invasive SEEG monitoring received single-pulse electrical stimulation (6 mA, 0.2-ms biphasic square pulse, 0.5 Hz, 1-2 minutes) to the cingulate cortex (Cg) subregion(s). Cortico-cortical evoked potentials (CCEPs) were recorded from contacts distributed across various brain regions. </w:t>
                      </w:r>
                      <w:r w:rsidRPr="00B261AF">
                        <w:rPr>
                          <w:rFonts w:ascii="Arial" w:hAnsi="Arial" w:cs="Arial"/>
                          <w:b/>
                          <w:bCs/>
                          <w:sz w:val="18"/>
                          <w:szCs w:val="18"/>
                        </w:rPr>
                        <w:t>(b)</w:t>
                      </w:r>
                      <w:r w:rsidRPr="00B261AF">
                        <w:rPr>
                          <w:rFonts w:ascii="Arial" w:hAnsi="Arial" w:cs="Arial"/>
                          <w:sz w:val="18"/>
                          <w:szCs w:val="18"/>
                        </w:rPr>
                        <w:t xml:space="preserve"> Anatomical coverage of SEEG contacts pooled from 15 patients, projected onto an MNI-space cortical model generated from volumetric averaging across all patients. The area of the Cg is shown in light red. Colors of contacts represent the major brain regions where contacts were located. </w:t>
                      </w:r>
                      <w:r w:rsidRPr="00B261AF">
                        <w:rPr>
                          <w:rFonts w:ascii="Arial" w:hAnsi="Arial" w:cs="Arial"/>
                          <w:b/>
                          <w:bCs/>
                          <w:sz w:val="18"/>
                          <w:szCs w:val="18"/>
                        </w:rPr>
                        <w:t>(c)</w:t>
                      </w:r>
                      <w:r w:rsidRPr="00B261AF">
                        <w:rPr>
                          <w:rFonts w:ascii="Arial" w:hAnsi="Arial" w:cs="Arial"/>
                          <w:sz w:val="18"/>
                          <w:szCs w:val="18"/>
                        </w:rPr>
                        <w:t xml:space="preserve"> Position of contacts within the subregions of the Cg across patients, projected onto a volumetrically averaged MNI-space model, highlighting stimulated (red) and non-stimulated (black) contacts. Bar plots adjacent to the superior cortical view illustrate the distribution of stimulations across Cg subregions and hemispheres. </w:t>
                      </w:r>
                      <w:r w:rsidRPr="00B261AF">
                        <w:rPr>
                          <w:rFonts w:ascii="Arial" w:hAnsi="Arial" w:cs="Arial"/>
                          <w:b/>
                          <w:bCs/>
                          <w:sz w:val="18"/>
                          <w:szCs w:val="18"/>
                        </w:rPr>
                        <w:t>(d)</w:t>
                      </w:r>
                      <w:r w:rsidRPr="00B261AF">
                        <w:rPr>
                          <w:rFonts w:ascii="Arial" w:hAnsi="Arial" w:cs="Arial"/>
                          <w:sz w:val="18"/>
                          <w:szCs w:val="18"/>
                        </w:rPr>
                        <w:t xml:space="preserve"> Exemplar CCEP waveforms across representative cortical regions, reflecting distinct morphological qualities elicited by stimulation of different Cg subregions.</w:t>
                      </w:r>
                    </w:p>
                    <w:p w14:paraId="460488ED" w14:textId="77777777" w:rsidR="00B52B3B" w:rsidRPr="005C1681" w:rsidRDefault="00B52B3B" w:rsidP="00B52B3B">
                      <w:pPr>
                        <w:pStyle w:val="Caption"/>
                        <w:rPr>
                          <w:noProof/>
                        </w:rPr>
                      </w:pPr>
                    </w:p>
                  </w:txbxContent>
                </v:textbox>
                <w10:wrap type="square"/>
              </v:shape>
            </w:pict>
          </mc:Fallback>
        </mc:AlternateContent>
      </w:r>
    </w:p>
    <w:p w14:paraId="5A5EE474" w14:textId="57049257" w:rsidR="00B52B3B" w:rsidRPr="00B261AF" w:rsidRDefault="00B52B3B" w:rsidP="00B52B3B">
      <w:pPr>
        <w:spacing w:line="276" w:lineRule="auto"/>
        <w:ind w:firstLine="720"/>
        <w:jc w:val="center"/>
        <w:rPr>
          <w:rFonts w:ascii="Arial" w:hAnsi="Arial" w:cs="Arial"/>
          <w:sz w:val="24"/>
          <w:szCs w:val="24"/>
        </w:rPr>
      </w:pPr>
    </w:p>
    <w:p w14:paraId="13DCF62C" w14:textId="6727F1C3"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3.2 </w:t>
      </w:r>
      <w:r w:rsidRPr="00B261AF">
        <w:rPr>
          <w:rFonts w:ascii="Arial" w:hAnsi="Arial" w:cs="Arial"/>
          <w:i/>
          <w:iCs/>
          <w:sz w:val="24"/>
          <w:szCs w:val="24"/>
        </w:rPr>
        <w:t>CEP Coherence as a Measure of Effective Connectivity</w:t>
      </w:r>
      <w:r w:rsidRPr="00B261AF">
        <w:rPr>
          <w:rFonts w:ascii="Arial" w:hAnsi="Arial" w:cs="Arial"/>
          <w:sz w:val="24"/>
          <w:szCs w:val="24"/>
        </w:rPr>
        <w:t xml:space="preserve"> </w:t>
      </w:r>
    </w:p>
    <w:p w14:paraId="1EDCBCCB" w14:textId="5851119B"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While CCEP magnitude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Pr>
          <w:rFonts w:ascii="Arial" w:hAnsi="Arial" w:cs="Arial"/>
          <w:sz w:val="24"/>
          <w:szCs w:val="24"/>
        </w:rPr>
        <w:t xml:space="preserve">) is useful for detecting regions effectively connected to the site of stimulation, it does not reveal CCEP morphological information, which is necessary for insight into the dynamics and functional properties of inter-regional connectivity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{"citationID":"LODc2SK9","properties":{"formattedCitation":"(Miller et al., 2023)","plainCitation":"(Miller et al., 2023)","noteIndex":0},"citationItems":[{"id":4293,"uris":["http://zotero.org/users/7023408/items/DUZJRH6R"],"itemData":{"id":4293,"type":"article-journal","abstract":"Single-pulse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(Miller et al., 2023)</w:t>
      </w:r>
      <w:r w:rsidRPr="00B261AF">
        <w:rPr>
          <w:rFonts w:ascii="Arial" w:hAnsi="Arial" w:cs="Arial"/>
          <w:sz w:val="24"/>
          <w:szCs w:val="24"/>
        </w:rPr>
        <w:fldChar w:fldCharType="end"/>
      </w:r>
      <w:r w:rsidRPr="00B261AF">
        <w:rPr>
          <w:rFonts w:ascii="Arial" w:hAnsi="Arial" w:cs="Arial"/>
          <w:sz w:val="24"/>
          <w:szCs w:val="24"/>
        </w:rPr>
        <w:t>. To this end, we implemented a CCEP coherence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measure, in addition to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Pr>
          <w:rFonts w:ascii="Arial" w:hAnsi="Arial" w:cs="Arial"/>
          <w:sz w:val="24"/>
          <w:szCs w:val="24"/>
        </w:rPr>
        <w:t xml:space="preserve"> (measured as response RMS), </w:t>
      </w:r>
      <w:r w:rsidRPr="00B261AF">
        <w:rPr>
          <w:rFonts w:ascii="Arial" w:hAnsi="Arial" w:cs="Arial"/>
          <w:sz w:val="24"/>
          <w:szCs w:val="24"/>
        </w:rPr>
        <w:lastRenderedPageBreak/>
        <w:t xml:space="preserve">to quantify the effective connectivity of the Cg subregions to other cortical areas. Since CCEPs resulting from SPES are characterized by detectible statistical changes in the local-field potential (LFP) morphology of regions effectively connected to stimulated tissue, the metric of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complements measures of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Pr>
          <w:rFonts w:ascii="Arial" w:hAnsi="Arial" w:cs="Arial"/>
          <w:sz w:val="24"/>
          <w:szCs w:val="24"/>
        </w:rPr>
        <w:t xml:space="preserve"> by providing measures of morphological consistency and diversity. Figure 2a demonstrates how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is calculated. For each contact, a set of unique pairwise correlations between stimulation events </w:t>
      </w:r>
      <w:proofErr w:type="gramStart"/>
      <w:r w:rsidRPr="00B261AF">
        <w:rPr>
          <w:rFonts w:ascii="Arial" w:hAnsi="Arial" w:cs="Arial"/>
          <w:sz w:val="24"/>
          <w:szCs w:val="24"/>
        </w:rPr>
        <w:t>was</w:t>
      </w:r>
      <w:proofErr w:type="gramEnd"/>
      <w:r w:rsidRPr="00B261AF">
        <w:rPr>
          <w:rFonts w:ascii="Arial" w:hAnsi="Arial" w:cs="Arial"/>
          <w:sz w:val="24"/>
          <w:szCs w:val="24"/>
        </w:rPr>
        <w:t xml:space="preserve"> calculated for the pre-stimulation window (baseline window) and the post-stimulation window (CCEP window). A Cohen’s d between these two distributions represents the overall morphological consistency of the CCEPs recorded at each contact, relative to a distribution of baseline LFP (Figure 2b). We defined any contacts with a significant difference between these distributions as effectively connected to the stimulated region (Wilcoxon rank sum, α = 0.0001, Benjamini-Hochberg FDR &lt; 0.0001). Cortical surfaces showing the percentage of significant contacts within each brain region are shown in Supplemental Figure 1. Overall, this approach is used to represent statistical changes in the behavior of the LFP at regions effectively connected to each Cg subregion, where a greater Cohen’s d represents a consistently evoked CCEP morphology, and a smaller Cohen’s d represents a more diverse set of waveforms. A set of </w:t>
      </w:r>
      <w:proofErr w:type="gramStart"/>
      <w:r w:rsidRPr="00B261AF">
        <w:rPr>
          <w:rFonts w:ascii="Arial" w:hAnsi="Arial" w:cs="Arial"/>
          <w:sz w:val="24"/>
          <w:szCs w:val="24"/>
        </w:rPr>
        <w:t>exemplar</w:t>
      </w:r>
      <w:proofErr w:type="gramEnd"/>
      <w:r w:rsidRPr="00B261AF">
        <w:rPr>
          <w:rFonts w:ascii="Arial" w:hAnsi="Arial" w:cs="Arial"/>
          <w:sz w:val="24"/>
          <w:szCs w:val="24"/>
        </w:rPr>
        <w:t xml:space="preserv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distributions indicative of consistent morphology obtained from recordings in the orbitofrontal cortex is shown in Figure 2c.</w:t>
      </w:r>
    </w:p>
    <w:p w14:paraId="1543842D"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next determined the relationship between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(Cohen’s d) and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sidDel="003D2992">
        <w:rPr>
          <w:rFonts w:ascii="Arial" w:hAnsi="Arial" w:cs="Arial"/>
          <w:sz w:val="24"/>
          <w:szCs w:val="24"/>
        </w:rPr>
        <w:t xml:space="preserve"> </w:t>
      </w:r>
      <w:r w:rsidRPr="00B261AF">
        <w:rPr>
          <w:rFonts w:ascii="Arial" w:hAnsi="Arial" w:cs="Arial"/>
          <w:sz w:val="24"/>
          <w:szCs w:val="24"/>
        </w:rPr>
        <w:t xml:space="preserve">(RMS). Supplemental Figure 2a shows a highly correlated relationship between these two metrics (Spearman’s rho = 0.73, p &lt; 0.0001). Using receiver operating characteristic analysis, we evaluated which metric had greater performance in classifying significantly effectively connected contacts. Both metrics demonstrated large areas under the curve (0.99 for Cohen’s d, 0.95 for RMS), showing high reliability in differentiating between significant and non-significant for both measures. For this study, we primarily report effective connectivity as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due to its greater area under the curve, its high correlation with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Pr>
          <w:rFonts w:ascii="Arial" w:hAnsi="Arial" w:cs="Arial"/>
          <w:sz w:val="24"/>
          <w:szCs w:val="24"/>
        </w:rPr>
        <w:t>, and the utility of this measure for interpreting the morphological attributes of CCEPs across regions.</w:t>
      </w:r>
    </w:p>
    <w:p w14:paraId="09BDF930" w14:textId="2019A9EB" w:rsidR="00B52B3B" w:rsidRPr="00B261AF" w:rsidRDefault="00B52B3B" w:rsidP="00B52B3B">
      <w:pPr>
        <w:spacing w:line="276" w:lineRule="auto"/>
        <w:ind w:firstLine="720"/>
        <w:jc w:val="center"/>
        <w:rPr>
          <w:rFonts w:ascii="Arial" w:hAnsi="Arial" w:cs="Arial"/>
          <w:sz w:val="24"/>
          <w:szCs w:val="24"/>
        </w:rPr>
      </w:pPr>
      <w:r w:rsidRPr="00B261AF">
        <w:rPr>
          <w:rFonts w:ascii="Arial" w:hAnsi="Arial" w:cs="Arial"/>
          <w:noProof/>
          <w:sz w:val="24"/>
          <w:szCs w:val="24"/>
        </w:rPr>
        <w:lastRenderedPageBreak/>
        <w:drawing>
          <wp:anchor distT="0" distB="0" distL="114300" distR="114300" simplePos="0" relativeHeight="251658240" behindDoc="0" locked="0" layoutInCell="1" allowOverlap="1" wp14:anchorId="149B0809" wp14:editId="55C0438E">
            <wp:simplePos x="0" y="0"/>
            <wp:positionH relativeFrom="column">
              <wp:posOffset>35633</wp:posOffset>
            </wp:positionH>
            <wp:positionV relativeFrom="paragraph">
              <wp:posOffset>0</wp:posOffset>
            </wp:positionV>
            <wp:extent cx="5943600" cy="7692484"/>
            <wp:effectExtent l="0" t="0" r="0" b="3810"/>
            <wp:wrapSquare wrapText="bothSides"/>
            <wp:docPr id="397671263" name="Picture 1" descr="A collage of diagram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1263" name="Picture 1" descr="A collage of diagrams and graph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692484"/>
                    </a:xfrm>
                    <a:prstGeom prst="rect">
                      <a:avLst/>
                    </a:prstGeom>
                  </pic:spPr>
                </pic:pic>
              </a:graphicData>
            </a:graphic>
            <wp14:sizeRelH relativeFrom="page">
              <wp14:pctWidth>0</wp14:pctWidth>
            </wp14:sizeRelH>
            <wp14:sizeRelV relativeFrom="page">
              <wp14:pctHeight>0</wp14:pctHeight>
            </wp14:sizeRelV>
          </wp:anchor>
        </w:drawing>
      </w:r>
    </w:p>
    <w:p w14:paraId="70E64D7C" w14:textId="601C44C4" w:rsidR="00B52B3B" w:rsidRPr="00B261AF" w:rsidRDefault="00B52B3B" w:rsidP="00B52B3B">
      <w:pPr>
        <w:spacing w:line="276" w:lineRule="auto"/>
        <w:ind w:firstLine="720"/>
        <w:rPr>
          <w:rFonts w:ascii="Arial" w:hAnsi="Arial" w:cs="Arial"/>
          <w:sz w:val="24"/>
          <w:szCs w:val="24"/>
        </w:rPr>
      </w:pPr>
    </w:p>
    <w:p w14:paraId="4C313BDA" w14:textId="0541C62D" w:rsidR="00B52B3B" w:rsidRPr="00B261AF" w:rsidRDefault="00B52B3B" w:rsidP="00B52B3B">
      <w:pPr>
        <w:spacing w:line="276" w:lineRule="auto"/>
        <w:rPr>
          <w:rFonts w:ascii="Arial" w:hAnsi="Arial" w:cs="Arial"/>
          <w:i/>
          <w:iCs/>
          <w:sz w:val="24"/>
          <w:szCs w:val="24"/>
        </w:rPr>
      </w:pPr>
      <w:r w:rsidRPr="00B261AF">
        <w:rPr>
          <w:rFonts w:ascii="Arial" w:hAnsi="Arial" w:cs="Arial"/>
          <w:noProof/>
          <w:sz w:val="24"/>
          <w:szCs w:val="24"/>
        </w:rPr>
        <w:lastRenderedPageBreak/>
        <mc:AlternateContent>
          <mc:Choice Requires="wps">
            <w:drawing>
              <wp:anchor distT="0" distB="0" distL="114300" distR="114300" simplePos="0" relativeHeight="251659264" behindDoc="0" locked="0" layoutInCell="1" allowOverlap="1" wp14:anchorId="4815D5ED" wp14:editId="741A914A">
                <wp:simplePos x="0" y="0"/>
                <wp:positionH relativeFrom="column">
                  <wp:posOffset>35560</wp:posOffset>
                </wp:positionH>
                <wp:positionV relativeFrom="paragraph">
                  <wp:posOffset>71120</wp:posOffset>
                </wp:positionV>
                <wp:extent cx="5817870" cy="3469005"/>
                <wp:effectExtent l="0" t="0" r="0" b="0"/>
                <wp:wrapSquare wrapText="bothSides"/>
                <wp:docPr id="2048128042" name="Text Box 1"/>
                <wp:cNvGraphicFramePr/>
                <a:graphic xmlns:a="http://schemas.openxmlformats.org/drawingml/2006/main">
                  <a:graphicData uri="http://schemas.microsoft.com/office/word/2010/wordprocessingShape">
                    <wps:wsp>
                      <wps:cNvSpPr txBox="1"/>
                      <wps:spPr>
                        <a:xfrm>
                          <a:off x="0" y="0"/>
                          <a:ext cx="5817870" cy="3469005"/>
                        </a:xfrm>
                        <a:prstGeom prst="rect">
                          <a:avLst/>
                        </a:prstGeom>
                        <a:solidFill>
                          <a:prstClr val="white"/>
                        </a:solidFill>
                        <a:ln>
                          <a:noFill/>
                        </a:ln>
                      </wps:spPr>
                      <wps:txbx>
                        <w:txbxContent>
                          <w:p w14:paraId="40C413B7"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2</w:t>
                            </w:r>
                            <w:r w:rsidRPr="00B261AF">
                              <w:rPr>
                                <w:rFonts w:ascii="Arial" w:hAnsi="Arial" w:cs="Arial"/>
                                <w:b/>
                                <w:bCs/>
                                <w:sz w:val="18"/>
                                <w:szCs w:val="18"/>
                              </w:rPr>
                              <w:fldChar w:fldCharType="end"/>
                            </w:r>
                            <w:r w:rsidRPr="00B261AF">
                              <w:rPr>
                                <w:rFonts w:ascii="Arial" w:hAnsi="Arial" w:cs="Arial"/>
                                <w:b/>
                                <w:bCs/>
                                <w:i/>
                                <w:iCs/>
                                <w:sz w:val="18"/>
                                <w:szCs w:val="18"/>
                              </w:rPr>
                              <w:t>.</w:t>
                            </w:r>
                            <w:r w:rsidRPr="00B261AF">
                              <w:rPr>
                                <w:rFonts w:ascii="Arial" w:hAnsi="Arial" w:cs="Arial"/>
                                <w:i/>
                                <w:iCs/>
                                <w:sz w:val="18"/>
                                <w:szCs w:val="18"/>
                              </w:rPr>
                              <w:t xml:space="preserve"> Cingulate cortex effective connectivity modeled using cortico-cortical evoked potential (CCEP) coherence.</w:t>
                            </w:r>
                            <w:r w:rsidRPr="00B261AF">
                              <w:rPr>
                                <w:rFonts w:ascii="Arial" w:hAnsi="Arial" w:cs="Arial"/>
                                <w:sz w:val="18"/>
                                <w:szCs w:val="18"/>
                              </w:rPr>
                              <w:t xml:space="preserve"> </w:t>
                            </w:r>
                            <w:r w:rsidRPr="00B261AF">
                              <w:rPr>
                                <w:rFonts w:ascii="Arial" w:hAnsi="Arial" w:cs="Arial"/>
                                <w:b/>
                                <w:bCs/>
                                <w:sz w:val="18"/>
                                <w:szCs w:val="18"/>
                              </w:rPr>
                              <w:t xml:space="preserve">(a &amp; b) </w:t>
                            </w:r>
                            <w:r w:rsidRPr="00B261AF">
                              <w:rPr>
                                <w:rFonts w:ascii="Arial" w:hAnsi="Arial" w:cs="Arial"/>
                                <w:sz w:val="18"/>
                                <w:szCs w:val="18"/>
                              </w:rPr>
                              <w:t xml:space="preserve">Methodological overview of CCEP coherence calculation. </w:t>
                            </w:r>
                            <w:r w:rsidRPr="00B261AF">
                              <w:rPr>
                                <w:rFonts w:ascii="Arial" w:hAnsi="Arial" w:cs="Arial"/>
                                <w:b/>
                                <w:bCs/>
                                <w:sz w:val="18"/>
                                <w:szCs w:val="18"/>
                              </w:rPr>
                              <w:t>(a)</w:t>
                            </w:r>
                            <w:r w:rsidRPr="00B261AF">
                              <w:rPr>
                                <w:rFonts w:ascii="Arial" w:hAnsi="Arial" w:cs="Arial"/>
                                <w:sz w:val="18"/>
                                <w:szCs w:val="18"/>
                              </w:rPr>
                              <w:t xml:space="preserve"> The inter-trial pairwise Spearman’s correlations were calculated for the baseline and task CCEP windows, resulting in </w:t>
                            </w:r>
                            <w:r w:rsidRPr="00B261AF">
                              <w:rPr>
                                <w:rFonts w:ascii="Arial" w:hAnsi="Arial" w:cs="Arial"/>
                                <w:b/>
                                <w:bCs/>
                                <w:sz w:val="18"/>
                                <w:szCs w:val="18"/>
                              </w:rPr>
                              <w:t>(b)</w:t>
                            </w:r>
                            <w:r w:rsidRPr="00B261AF">
                              <w:rPr>
                                <w:rFonts w:ascii="Arial" w:hAnsi="Arial" w:cs="Arial"/>
                                <w:sz w:val="18"/>
                                <w:szCs w:val="18"/>
                              </w:rPr>
                              <w:t xml:space="preserve"> the baseline and CCEP distributions of local field potential coherence for each contact. The effect size of connectivity between the stimulated cingulate cortex (Cg) subregion and the contact was defined as the Cohen’s d between these distributions, representing the degree of separation between the single-pulse electrical stimulation (SPES) induced changes in the local field potential (LFP) morphology and the expected morphological similarity of pre-SPES LFP behavior. The variance of the CCEP distribution was subtracted from the variance of the baseline distribution to represent the variation in the inter-trial CCEP morphology corrected by the expected variation of inter-trial LFP morphology before SPES. </w:t>
                            </w:r>
                            <w:r w:rsidRPr="00B261AF">
                              <w:rPr>
                                <w:rFonts w:ascii="Arial" w:hAnsi="Arial" w:cs="Arial"/>
                                <w:b/>
                                <w:bCs/>
                                <w:sz w:val="18"/>
                                <w:szCs w:val="18"/>
                              </w:rPr>
                              <w:t>(c)</w:t>
                            </w:r>
                            <w:r w:rsidRPr="00B261AF">
                              <w:rPr>
                                <w:rFonts w:ascii="Arial" w:hAnsi="Arial" w:cs="Arial"/>
                                <w:sz w:val="18"/>
                                <w:szCs w:val="18"/>
                              </w:rPr>
                              <w:t xml:space="preserve"> Exemplar baseline and CCEP coherence distributions recorded from representative contacts located in the orbitofrontal cortex after stimulation of each Cg subregion. </w:t>
                            </w:r>
                            <w:r w:rsidRPr="00B261AF">
                              <w:rPr>
                                <w:rFonts w:ascii="Arial" w:hAnsi="Arial" w:cs="Arial"/>
                                <w:b/>
                                <w:bCs/>
                                <w:sz w:val="18"/>
                                <w:szCs w:val="18"/>
                              </w:rPr>
                              <w:t xml:space="preserve">(d) </w:t>
                            </w:r>
                            <w:r w:rsidRPr="00B261AF">
                              <w:rPr>
                                <w:rFonts w:ascii="Arial" w:hAnsi="Arial" w:cs="Arial"/>
                                <w:sz w:val="18"/>
                                <w:szCs w:val="18"/>
                              </w:rPr>
                              <w:t xml:space="preserve">Global statistical comparison of Cohen’s d (top) and </w:t>
                            </w:r>
                            <w:proofErr w:type="spellStart"/>
                            <w:r w:rsidRPr="00B261AF">
                              <w:rPr>
                                <w:rFonts w:ascii="Arial" w:hAnsi="Arial" w:cs="Arial"/>
                                <w:sz w:val="18"/>
                                <w:szCs w:val="18"/>
                              </w:rPr>
                              <w:t>ΔVariance</w:t>
                            </w:r>
                            <w:proofErr w:type="spellEnd"/>
                            <w:r w:rsidRPr="00B261AF">
                              <w:rPr>
                                <w:rFonts w:ascii="Arial" w:hAnsi="Arial" w:cs="Arial"/>
                                <w:sz w:val="18"/>
                                <w:szCs w:val="18"/>
                              </w:rPr>
                              <w:t xml:space="preserve"> (bottom) across all cortical contacts for each Cg stimulation condition: (L) or right (R) anterior, mid, or posterior cingulate (ACC, MCC, or PCC, respectively). Statistical differences were assessed using Wilcoxon rank sum tests (α = 0.001). </w:t>
                            </w:r>
                            <w:r w:rsidRPr="00B261AF">
                              <w:rPr>
                                <w:rFonts w:ascii="Arial" w:hAnsi="Arial" w:cs="Arial"/>
                                <w:b/>
                                <w:bCs/>
                                <w:sz w:val="18"/>
                                <w:szCs w:val="18"/>
                              </w:rPr>
                              <w:t>(e)</w:t>
                            </w:r>
                            <w:r w:rsidRPr="00B261AF">
                              <w:rPr>
                                <w:rFonts w:ascii="Arial" w:hAnsi="Arial" w:cs="Arial"/>
                                <w:sz w:val="18"/>
                                <w:szCs w:val="18"/>
                              </w:rPr>
                              <w:t xml:space="preserve"> Visualization of the divergent Cg effective connectivity network. Each circle in the middle represents a stimulation condition: either the left or right ACC (purple), MCC (green), or PCC (blue). The outer circle contains nodes representing each cortical region grouped into major anatomical areas, distinguished by unique colors. Cortical regions within each major anatomical area are ordered from anterior to posterior. Connectivity strength from stimulated Cg subregions to these cortical regions is represented by lines, whose thickness and opacity indicate the median Cohen’s d across contacts within each region. </w:t>
                            </w:r>
                            <w:r w:rsidRPr="00B261AF">
                              <w:rPr>
                                <w:rFonts w:ascii="Arial" w:hAnsi="Arial" w:cs="Arial"/>
                                <w:b/>
                                <w:bCs/>
                                <w:sz w:val="18"/>
                                <w:szCs w:val="18"/>
                              </w:rPr>
                              <w:t>(f)</w:t>
                            </w:r>
                            <w:r w:rsidRPr="00B261AF">
                              <w:rPr>
                                <w:rFonts w:ascii="Arial" w:hAnsi="Arial" w:cs="Arial"/>
                                <w:sz w:val="18"/>
                                <w:szCs w:val="18"/>
                              </w:rPr>
                              <w:t xml:space="preserve"> Cortical surface models visualize the relative effective connectivity of each Cg subregion to each cortical region. For each stimulation condition, the mean connectivity across all significant contacts within each region was calculated. The geometric mean of these three values was then plotted on a triangle, where the vertices of the triangle represent full connectivity to a Cg subregion. A color was assigned to each region based on an interpolated colormap across this triangle. Regions with similar connectivity to all three Cg subregions appear at the center of the triangle (greyish color). Regions with biased or preferential connectivity to one or more Cg subregions will appear closer to the triangle’s edges, towards the vertices representing the subregions with greater connectivity. </w:t>
                            </w:r>
                          </w:p>
                          <w:p w14:paraId="3D353616" w14:textId="77777777" w:rsidR="00B52B3B" w:rsidRPr="008D5BA0" w:rsidRDefault="00B52B3B" w:rsidP="00B52B3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15D5ED" id="_x0000_s1027" type="#_x0000_t202" style="position:absolute;margin-left:2.8pt;margin-top:5.6pt;width:458.1pt;height:27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" stroked="f">
                <v:textbox inset="0,0,0,0">
                  <w:txbxContent>
                    <w:p w14:paraId="40C413B7"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2</w:t>
                      </w:r>
                      <w:r w:rsidRPr="00B261AF">
                        <w:rPr>
                          <w:rFonts w:ascii="Arial" w:hAnsi="Arial" w:cs="Arial"/>
                          <w:b/>
                          <w:bCs/>
                          <w:sz w:val="18"/>
                          <w:szCs w:val="18"/>
                        </w:rPr>
                        <w:fldChar w:fldCharType="end"/>
                      </w:r>
                      <w:r w:rsidRPr="00B261AF">
                        <w:rPr>
                          <w:rFonts w:ascii="Arial" w:hAnsi="Arial" w:cs="Arial"/>
                          <w:b/>
                          <w:bCs/>
                          <w:i/>
                          <w:iCs/>
                          <w:sz w:val="18"/>
                          <w:szCs w:val="18"/>
                        </w:rPr>
                        <w:t>.</w:t>
                      </w:r>
                      <w:r w:rsidRPr="00B261AF">
                        <w:rPr>
                          <w:rFonts w:ascii="Arial" w:hAnsi="Arial" w:cs="Arial"/>
                          <w:i/>
                          <w:iCs/>
                          <w:sz w:val="18"/>
                          <w:szCs w:val="18"/>
                        </w:rPr>
                        <w:t xml:space="preserve"> Cingulate cortex effective connectivity modeled using cortico-cortical evoked potential (CCEP) coherence.</w:t>
                      </w:r>
                      <w:r w:rsidRPr="00B261AF">
                        <w:rPr>
                          <w:rFonts w:ascii="Arial" w:hAnsi="Arial" w:cs="Arial"/>
                          <w:sz w:val="18"/>
                          <w:szCs w:val="18"/>
                        </w:rPr>
                        <w:t xml:space="preserve"> </w:t>
                      </w:r>
                      <w:r w:rsidRPr="00B261AF">
                        <w:rPr>
                          <w:rFonts w:ascii="Arial" w:hAnsi="Arial" w:cs="Arial"/>
                          <w:b/>
                          <w:bCs/>
                          <w:sz w:val="18"/>
                          <w:szCs w:val="18"/>
                        </w:rPr>
                        <w:t xml:space="preserve">(a &amp; b) </w:t>
                      </w:r>
                      <w:r w:rsidRPr="00B261AF">
                        <w:rPr>
                          <w:rFonts w:ascii="Arial" w:hAnsi="Arial" w:cs="Arial"/>
                          <w:sz w:val="18"/>
                          <w:szCs w:val="18"/>
                        </w:rPr>
                        <w:t xml:space="preserve">Methodological overview of CCEP coherence calculation. </w:t>
                      </w:r>
                      <w:r w:rsidRPr="00B261AF">
                        <w:rPr>
                          <w:rFonts w:ascii="Arial" w:hAnsi="Arial" w:cs="Arial"/>
                          <w:b/>
                          <w:bCs/>
                          <w:sz w:val="18"/>
                          <w:szCs w:val="18"/>
                        </w:rPr>
                        <w:t>(a)</w:t>
                      </w:r>
                      <w:r w:rsidRPr="00B261AF">
                        <w:rPr>
                          <w:rFonts w:ascii="Arial" w:hAnsi="Arial" w:cs="Arial"/>
                          <w:sz w:val="18"/>
                          <w:szCs w:val="18"/>
                        </w:rPr>
                        <w:t xml:space="preserve"> The inter-trial pairwise Spearman’s correlations were calculated for the baseline and task CCEP windows, resulting in </w:t>
                      </w:r>
                      <w:r w:rsidRPr="00B261AF">
                        <w:rPr>
                          <w:rFonts w:ascii="Arial" w:hAnsi="Arial" w:cs="Arial"/>
                          <w:b/>
                          <w:bCs/>
                          <w:sz w:val="18"/>
                          <w:szCs w:val="18"/>
                        </w:rPr>
                        <w:t>(b)</w:t>
                      </w:r>
                      <w:r w:rsidRPr="00B261AF">
                        <w:rPr>
                          <w:rFonts w:ascii="Arial" w:hAnsi="Arial" w:cs="Arial"/>
                          <w:sz w:val="18"/>
                          <w:szCs w:val="18"/>
                        </w:rPr>
                        <w:t xml:space="preserve"> the baseline and CCEP distributions of local field potential coherence for each contact. The effect size of connectivity between the stimulated cingulate cortex (Cg) subregion and the contact was defined as the Cohen’s d between these distributions, representing the degree of separation between the single-pulse electrical stimulation (SPES) induced changes in the local field potential (LFP) morphology and the expected morphological similarity of pre-SPES LFP behavior. The variance of the CCEP distribution was subtracted from the variance of the baseline distribution to represent the variation in the inter-trial CCEP morphology corrected by the expected variation of inter-trial LFP morphology before SPES. </w:t>
                      </w:r>
                      <w:r w:rsidRPr="00B261AF">
                        <w:rPr>
                          <w:rFonts w:ascii="Arial" w:hAnsi="Arial" w:cs="Arial"/>
                          <w:b/>
                          <w:bCs/>
                          <w:sz w:val="18"/>
                          <w:szCs w:val="18"/>
                        </w:rPr>
                        <w:t>(c)</w:t>
                      </w:r>
                      <w:r w:rsidRPr="00B261AF">
                        <w:rPr>
                          <w:rFonts w:ascii="Arial" w:hAnsi="Arial" w:cs="Arial"/>
                          <w:sz w:val="18"/>
                          <w:szCs w:val="18"/>
                        </w:rPr>
                        <w:t xml:space="preserve"> Exemplar baseline and CCEP coherence distributions recorded from representative contacts located in the orbitofrontal cortex after stimulation of each Cg subregion. </w:t>
                      </w:r>
                      <w:r w:rsidRPr="00B261AF">
                        <w:rPr>
                          <w:rFonts w:ascii="Arial" w:hAnsi="Arial" w:cs="Arial"/>
                          <w:b/>
                          <w:bCs/>
                          <w:sz w:val="18"/>
                          <w:szCs w:val="18"/>
                        </w:rPr>
                        <w:t xml:space="preserve">(d) </w:t>
                      </w:r>
                      <w:r w:rsidRPr="00B261AF">
                        <w:rPr>
                          <w:rFonts w:ascii="Arial" w:hAnsi="Arial" w:cs="Arial"/>
                          <w:sz w:val="18"/>
                          <w:szCs w:val="18"/>
                        </w:rPr>
                        <w:t xml:space="preserve">Global statistical comparison of Cohen’s d (top) and </w:t>
                      </w:r>
                      <w:proofErr w:type="spellStart"/>
                      <w:r w:rsidRPr="00B261AF">
                        <w:rPr>
                          <w:rFonts w:ascii="Arial" w:hAnsi="Arial" w:cs="Arial"/>
                          <w:sz w:val="18"/>
                          <w:szCs w:val="18"/>
                        </w:rPr>
                        <w:t>ΔVariance</w:t>
                      </w:r>
                      <w:proofErr w:type="spellEnd"/>
                      <w:r w:rsidRPr="00B261AF">
                        <w:rPr>
                          <w:rFonts w:ascii="Arial" w:hAnsi="Arial" w:cs="Arial"/>
                          <w:sz w:val="18"/>
                          <w:szCs w:val="18"/>
                        </w:rPr>
                        <w:t xml:space="preserve"> (bottom) across all cortical contacts for each Cg stimulation condition: (L) or right (R) anterior, mid, or posterior cingulate (ACC, MCC, or PCC, respectively). Statistical differences were assessed using Wilcoxon rank sum tests (α = 0.001). </w:t>
                      </w:r>
                      <w:r w:rsidRPr="00B261AF">
                        <w:rPr>
                          <w:rFonts w:ascii="Arial" w:hAnsi="Arial" w:cs="Arial"/>
                          <w:b/>
                          <w:bCs/>
                          <w:sz w:val="18"/>
                          <w:szCs w:val="18"/>
                        </w:rPr>
                        <w:t>(e)</w:t>
                      </w:r>
                      <w:r w:rsidRPr="00B261AF">
                        <w:rPr>
                          <w:rFonts w:ascii="Arial" w:hAnsi="Arial" w:cs="Arial"/>
                          <w:sz w:val="18"/>
                          <w:szCs w:val="18"/>
                        </w:rPr>
                        <w:t xml:space="preserve"> Visualization of the divergent Cg effective connectivity network. Each circle in the middle represents a stimulation condition: either the left or right ACC (purple), MCC (green), or PCC (blue). The outer circle contains nodes representing each cortical region grouped into major anatomical areas, distinguished by unique colors. Cortical regions within each major anatomical area are ordered from anterior to posterior. Connectivity strength from stimulated Cg subregions to these cortical regions is represented by lines, whose thickness and opacity indicate the median Cohen’s d across contacts within each region. </w:t>
                      </w:r>
                      <w:r w:rsidRPr="00B261AF">
                        <w:rPr>
                          <w:rFonts w:ascii="Arial" w:hAnsi="Arial" w:cs="Arial"/>
                          <w:b/>
                          <w:bCs/>
                          <w:sz w:val="18"/>
                          <w:szCs w:val="18"/>
                        </w:rPr>
                        <w:t>(f)</w:t>
                      </w:r>
                      <w:r w:rsidRPr="00B261AF">
                        <w:rPr>
                          <w:rFonts w:ascii="Arial" w:hAnsi="Arial" w:cs="Arial"/>
                          <w:sz w:val="18"/>
                          <w:szCs w:val="18"/>
                        </w:rPr>
                        <w:t xml:space="preserve"> Cortical surface models visualize the relative effective connectivity of each Cg subregion to each cortical region. For each stimulation condition, the mean connectivity across all significant contacts within each region was calculated. The geometric mean of these three values was then plotted on a triangle, where the vertices of the triangle represent full connectivity to a Cg subregion. A color was assigned to each region based on an interpolated colormap across this triangle. Regions with similar connectivity to all three Cg subregions appear at the center of the triangle (greyish color). Regions with biased or preferential connectivity to one or more Cg subregions will appear closer to the triangle’s edges, towards the vertices representing the subregions with greater connectivity. </w:t>
                      </w:r>
                    </w:p>
                    <w:p w14:paraId="3D353616" w14:textId="77777777" w:rsidR="00B52B3B" w:rsidRPr="008D5BA0" w:rsidRDefault="00B52B3B" w:rsidP="00B52B3B">
                      <w:pPr>
                        <w:pStyle w:val="Caption"/>
                        <w:rPr>
                          <w:noProof/>
                        </w:rPr>
                      </w:pPr>
                    </w:p>
                  </w:txbxContent>
                </v:textbox>
                <w10:wrap type="square"/>
              </v:shape>
            </w:pict>
          </mc:Fallback>
        </mc:AlternateContent>
      </w:r>
    </w:p>
    <w:p w14:paraId="5A327050" w14:textId="75F2F8DA"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3.3 </w:t>
      </w:r>
      <w:r w:rsidRPr="00B261AF">
        <w:rPr>
          <w:rFonts w:ascii="Arial" w:hAnsi="Arial" w:cs="Arial"/>
          <w:i/>
          <w:iCs/>
          <w:sz w:val="24"/>
          <w:szCs w:val="24"/>
        </w:rPr>
        <w:t>Effective Connectivity Networks of Cg Subregions.</w:t>
      </w:r>
      <w:r w:rsidRPr="00B261AF">
        <w:rPr>
          <w:rFonts w:ascii="Arial" w:hAnsi="Arial" w:cs="Arial"/>
          <w:sz w:val="24"/>
          <w:szCs w:val="24"/>
        </w:rPr>
        <w:t xml:space="preserve"> </w:t>
      </w:r>
    </w:p>
    <w:p w14:paraId="5C0B8F38"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First, we evaluated the global effective connectivity of the Cg subregions by comparing the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across all significant contacts within each stimulation condition (n = 1030 for ACC, n = 1430 for MCC, n = 566 for PCC). Figure 2d shows a comparison of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(mean ±SD, 0.61 ±0.58 for ACC, 0.69 ±0.61 for MCC, 0.74 ±0.64 for PCC) and variance of the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distributions relative to baseline (mean ±SD, 0.0012 ±0.033 for ACC, 0.0026 ±0.0.042 for MCC, 0.0062 ±0.051 for PCC) across stimulation conditions. We observed a significant difference in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between ACC and PCC stimulation conditions (Wilcoxon rank sum, α = 0.001, p = 0.004 for ACC vs MCC, p = 5.077E-8 for ACC vs PCC, p = 0.003 for MCC vs PCC), which may indicate a proximity effect of CCEP morphological profiles (i.e. ACC having a statistically different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profile from the PCC, but neither the ACC or PCC having a statistically different profile from the MCC). Further, there was a hemispheric difference in the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distributions (mean ±SD, 0.61 ±0.57 for left ACC, 0.61 ±0.59 for right ACC, 0.62 ±0.52 for left MCC, 0.73 ±0.67 for right MCC, 0.63 ±0.63 for left PCC, 0.79 ±0.64 for right PCC) when comparing CCEPs resulting from stimulation of the left PCC and right PCC (Wilcoxon rank sum, α = 0.001, p = 0.35 for ACC, p = 0.13 for MCC, p = 1.14E-5 for PCC). There were no statistically significant differences in relative variance between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distributions (mean ±SD, -0.005 ±0.03 for left ACC, 0.006 ±0.03 for right ACC, -0.007 ±0.03 for left MCC, 0.009 ±0.05 for right MCC, -0.002 ±0.03 for left PCC, -0.002 ±0.03 for right PCC) within the three stimulation conditions; however, there were hemispheric </w:t>
      </w:r>
      <w:r w:rsidRPr="00B261AF">
        <w:rPr>
          <w:rFonts w:ascii="Arial" w:hAnsi="Arial" w:cs="Arial"/>
          <w:sz w:val="24"/>
          <w:szCs w:val="24"/>
        </w:rPr>
        <w:lastRenderedPageBreak/>
        <w:t>differences in the ACC and MCC stimulation conditions (Wilcoxon rank sum, α = 0.001, p = 1.47E-13 for ACC, p = 8.45E-15 for MCC, p = 0.02 for PCC).</w:t>
      </w:r>
    </w:p>
    <w:p w14:paraId="42822F3C"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Figure 2e shows the entirety of the divergent Cg effective connectivity network. This visualizes the effective connectivity of each Cg subregion to each cortical region available from our study data. Additionally, we evaluated the inter-Cg subregion effective connectivity (Supplemental Figure 2b) to determine whether there was a proximity effect of connectivity between subregions. We found no significant differences in the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between connections from the ACC to the MCC and the ACC to the PCC, nor the PCC to the MCC and the PCC to the ACC. Instead, there was a significant difference in connectivity between the MCC to the ACC and MCC to the PCC (Wilcoxon rank sum, α = 0.001, p = 7.84E-6, mean ±95% CI, 0.40 ±0.10 MCC to ACC, 1.56 ±0.38 MCC to PCC).</w:t>
      </w:r>
    </w:p>
    <w:p w14:paraId="175AED1D" w14:textId="4C54AB32" w:rsidR="00B52B3B" w:rsidRPr="00B261AF" w:rsidRDefault="00B52B3B" w:rsidP="00B52B3B">
      <w:pPr>
        <w:spacing w:line="276" w:lineRule="auto"/>
        <w:rPr>
          <w:rFonts w:ascii="Arial" w:hAnsi="Arial" w:cs="Arial"/>
          <w:i/>
          <w:iCs/>
          <w:sz w:val="24"/>
          <w:szCs w:val="24"/>
        </w:rPr>
      </w:pPr>
      <w:r w:rsidRPr="00B261AF">
        <w:rPr>
          <w:rFonts w:ascii="Arial" w:hAnsi="Arial" w:cs="Arial"/>
          <w:i/>
          <w:iCs/>
          <w:sz w:val="24"/>
          <w:szCs w:val="24"/>
        </w:rPr>
        <w:t xml:space="preserve">3.4 </w:t>
      </w:r>
      <w:r w:rsidRPr="00B261AF">
        <w:rPr>
          <w:rFonts w:ascii="Arial" w:hAnsi="Arial" w:cs="Arial"/>
          <w:i/>
          <w:iCs/>
          <w:sz w:val="24"/>
          <w:szCs w:val="24"/>
        </w:rPr>
        <w:t xml:space="preserve">Relative Connectivity of Cortical Regions to Each Cg Subregion </w:t>
      </w:r>
    </w:p>
    <w:p w14:paraId="16471C9F"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To determine the connectivity profile of each cortical region to each of the Cg subregions, we implemented a relative connectivity analysis. The results of this analysis are visualized in Figure 2f. For each region, we calculated a geometric mean effective connectivity value for each of the Cg subregions. This enabled the identification of cortical areas with preferential and non-preferential effective connectivity to each Cg subregion. We found a highly heterogeneous relative connectivity profile across cortical regions. Notably, frontal regions showed higher connectivity to the ACC and MCC, and parietal regions showed higher connectivity to the MCC and PCC. The insula cortex, specifically the short insular gyrus and the superior insula, showed dominant effective connectivity to the ACC and MCC. The long insular gyrus had substantially higher effective connectivity to the MCC and PCC than to the ACC. There were also several regions with near-complete effective connectivity dominance to single Cg subregions. Examples include subregions of the hippocampus, which were predominantly connected to the PCC, the motor cortices, which were only effectively connected to the MCC, and the superior temporal gyrus, which was only effectively connected to the ACC. </w:t>
      </w:r>
    </w:p>
    <w:p w14:paraId="4121C43F"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This analysis enabled us to identify regions that had highly similar effective connectivity to each of the Cg subregions (within 5% of the centroid of the triangular connectivity plane; for details, see “Relative Cingulate Cortex Connectivity” in Methods). When using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to model effective connectivity, these regions included the middle-frontal gyrus, the triangular part of the inferior frontal gyrus, gyrus rectus, the anterior segment of the circular sulcus of the insula, the middle temporal gyrus, and the temporal pole. Extended cortical surface models showing the effective connectivity of each region to each Cg subregion using CCEP are shown in Supplemental Figure 2c. </w:t>
      </w:r>
    </w:p>
    <w:p w14:paraId="47727F7A"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lastRenderedPageBreak/>
        <w:t xml:space="preserve">The relative Cg subregion effective connectivity modeled using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Pr>
          <w:rFonts w:ascii="Arial" w:hAnsi="Arial" w:cs="Arial"/>
          <w:sz w:val="24"/>
          <w:szCs w:val="24"/>
        </w:rPr>
        <w:t xml:space="preserve"> is shown in Supplemental Figure 3a. While the relative connectivity profile across cortical regions was </w:t>
      </w:r>
      <w:proofErr w:type="gramStart"/>
      <w:r w:rsidRPr="00B261AF">
        <w:rPr>
          <w:rFonts w:ascii="Arial" w:hAnsi="Arial" w:cs="Arial"/>
          <w:sz w:val="24"/>
          <w:szCs w:val="24"/>
        </w:rPr>
        <w:t>similar to</w:t>
      </w:r>
      <w:proofErr w:type="gramEnd"/>
      <w:r w:rsidRPr="00B261AF">
        <w:rPr>
          <w:rFonts w:ascii="Arial" w:hAnsi="Arial" w:cs="Arial"/>
          <w:sz w:val="24"/>
          <w:szCs w:val="24"/>
        </w:rPr>
        <w:t xml:space="preserve"> what was found using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there were notable differences. Namely, several regions of the hippocampus showing significant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xml:space="preserve"> were not significant when using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sidDel="003D2992">
        <w:rPr>
          <w:rFonts w:ascii="Arial" w:hAnsi="Arial" w:cs="Arial"/>
          <w:sz w:val="24"/>
          <w:szCs w:val="24"/>
        </w:rPr>
        <w:t xml:space="preserve"> </w:t>
      </w:r>
      <w:r w:rsidRPr="00B261AF">
        <w:rPr>
          <w:rFonts w:ascii="Arial" w:hAnsi="Arial" w:cs="Arial"/>
          <w:sz w:val="24"/>
          <w:szCs w:val="24"/>
        </w:rPr>
        <w:t xml:space="preserve">as the metric for effective connectivity across stimulation conditions (Supplemental Figure 3b). We found that the middle-frontal gyrus, the triangular part of the inferior frontal gyrus, gyrus rectus, inferior segment of the circular sulcus of the insula, and lateral nucleus of the amygdala had highly similar effective connectivity to each Cg subregion. </w:t>
      </w:r>
    </w:p>
    <w:p w14:paraId="0E9135F4" w14:textId="1083AF02"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3.5 </w:t>
      </w:r>
      <w:r w:rsidRPr="00B261AF">
        <w:rPr>
          <w:rFonts w:ascii="Arial" w:hAnsi="Arial" w:cs="Arial"/>
          <w:i/>
          <w:iCs/>
          <w:sz w:val="24"/>
          <w:szCs w:val="24"/>
        </w:rPr>
        <w:t>Spatial Distributions of Effective Connectivity Across Cg Subregion Effective Connectivity Networks</w:t>
      </w:r>
      <w:r w:rsidRPr="00B261AF">
        <w:rPr>
          <w:rFonts w:ascii="Arial" w:hAnsi="Arial" w:cs="Arial"/>
          <w:sz w:val="24"/>
          <w:szCs w:val="24"/>
        </w:rPr>
        <w:t xml:space="preserve"> </w:t>
      </w:r>
    </w:p>
    <w:p w14:paraId="73CF81D1"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We next characterized the spatial profile of Cg subregion connectivity across the cortex. We found that across all three spatial axes (anterior-posterior, superior-inferior, and left-right), the distributions of significantly effectively connected contacts in each stimulation condition showed significant spatial clustering (Figure 3a, Moran’s I statistic, 1,000 permutation significance test, α = 0.01, p &lt; 0.001 for all conditions). We next evaluated whether the spatial clustering, specifically the centroid of these spatial distributions, was significantly different between stimulation conditions across each spatial axis. We found that there was only a significant difference in centroid positions along the anterior-posterior axis, specifically between the ACC and MCC centroids (permutation-based pairwise comparison of centroid differences, α = 0.05, p = 0.008) and ACC and PCC (p = 0.002) centroids. The expanded spatial distributions and permutation distributions are shown in Supplemental Figure 4. These results reflect a clear anterior-posterior effective connectivity gradient, with the centroid of the ACC distribution being most anterior and the PCC distribution centroid being the most posterior.</w:t>
      </w:r>
    </w:p>
    <w:p w14:paraId="745FDF76" w14:textId="6A7287D0" w:rsidR="00B52B3B" w:rsidRPr="00B261AF" w:rsidRDefault="00B52B3B" w:rsidP="00B52B3B">
      <w:pPr>
        <w:spacing w:line="276" w:lineRule="auto"/>
        <w:ind w:firstLine="720"/>
        <w:rPr>
          <w:rFonts w:ascii="Arial" w:hAnsi="Arial" w:cs="Arial"/>
          <w:sz w:val="24"/>
          <w:szCs w:val="24"/>
        </w:rPr>
      </w:pPr>
      <w:r w:rsidRPr="00B261AF">
        <w:rPr>
          <w:rFonts w:ascii="Arial" w:hAnsi="Arial" w:cs="Arial"/>
          <w:noProof/>
          <w:sz w:val="24"/>
          <w:szCs w:val="24"/>
        </w:rPr>
        <w:lastRenderedPageBreak/>
        <mc:AlternateContent>
          <mc:Choice Requires="wps">
            <w:drawing>
              <wp:anchor distT="0" distB="0" distL="114300" distR="114300" simplePos="0" relativeHeight="251663360" behindDoc="0" locked="0" layoutInCell="1" allowOverlap="1" wp14:anchorId="73E16DFD" wp14:editId="0AD2848C">
                <wp:simplePos x="0" y="0"/>
                <wp:positionH relativeFrom="column">
                  <wp:posOffset>-90170</wp:posOffset>
                </wp:positionH>
                <wp:positionV relativeFrom="paragraph">
                  <wp:posOffset>4813935</wp:posOffset>
                </wp:positionV>
                <wp:extent cx="5943600" cy="1998980"/>
                <wp:effectExtent l="0" t="0" r="0" b="0"/>
                <wp:wrapSquare wrapText="bothSides"/>
                <wp:docPr id="1908556282" name="Text Box 1"/>
                <wp:cNvGraphicFramePr/>
                <a:graphic xmlns:a="http://schemas.openxmlformats.org/drawingml/2006/main">
                  <a:graphicData uri="http://schemas.microsoft.com/office/word/2010/wordprocessingShape">
                    <wps:wsp>
                      <wps:cNvSpPr txBox="1"/>
                      <wps:spPr>
                        <a:xfrm>
                          <a:off x="0" y="0"/>
                          <a:ext cx="5943600" cy="1998980"/>
                        </a:xfrm>
                        <a:prstGeom prst="rect">
                          <a:avLst/>
                        </a:prstGeom>
                        <a:solidFill>
                          <a:prstClr val="white"/>
                        </a:solidFill>
                        <a:ln>
                          <a:noFill/>
                        </a:ln>
                      </wps:spPr>
                      <wps:txbx>
                        <w:txbxContent>
                          <w:p w14:paraId="2CC19A80"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3</w:t>
                            </w:r>
                            <w:r w:rsidRPr="00B261AF">
                              <w:rPr>
                                <w:rFonts w:ascii="Arial" w:hAnsi="Arial" w:cs="Arial"/>
                                <w:b/>
                                <w:bCs/>
                                <w:sz w:val="18"/>
                                <w:szCs w:val="18"/>
                              </w:rPr>
                              <w:fldChar w:fldCharType="end"/>
                            </w:r>
                            <w:r w:rsidRPr="00B261AF">
                              <w:rPr>
                                <w:rFonts w:ascii="Arial" w:hAnsi="Arial" w:cs="Arial"/>
                                <w:b/>
                                <w:bCs/>
                                <w:sz w:val="18"/>
                                <w:szCs w:val="18"/>
                              </w:rPr>
                              <w:t>.</w:t>
                            </w:r>
                            <w:r w:rsidRPr="00B261AF">
                              <w:rPr>
                                <w:rFonts w:ascii="Arial" w:hAnsi="Arial" w:cs="Arial"/>
                                <w:i/>
                                <w:iCs/>
                                <w:sz w:val="18"/>
                                <w:szCs w:val="18"/>
                              </w:rPr>
                              <w:t xml:space="preserve"> Spatial Distribution of Effective Connectivity Across the Cortex. </w:t>
                            </w:r>
                            <w:r w:rsidRPr="00B261AF">
                              <w:rPr>
                                <w:rFonts w:ascii="Arial" w:hAnsi="Arial" w:cs="Arial"/>
                                <w:b/>
                                <w:bCs/>
                                <w:sz w:val="18"/>
                                <w:szCs w:val="18"/>
                              </w:rPr>
                              <w:t>(a)</w:t>
                            </w:r>
                            <w:r w:rsidRPr="00B261AF">
                              <w:rPr>
                                <w:rFonts w:ascii="Arial" w:hAnsi="Arial" w:cs="Arial"/>
                                <w:sz w:val="18"/>
                                <w:szCs w:val="18"/>
                              </w:rPr>
                              <w:t xml:space="preserve"> Distributions of normalized effective connectivity (Cohen’s d) across the anterior-posterior, inferior-superior, and left-right axes. Lines show a 4</w:t>
                            </w:r>
                            <w:r w:rsidRPr="00B261AF">
                              <w:rPr>
                                <w:rFonts w:ascii="Arial" w:hAnsi="Arial" w:cs="Arial"/>
                                <w:sz w:val="18"/>
                                <w:szCs w:val="18"/>
                                <w:vertAlign w:val="superscript"/>
                              </w:rPr>
                              <w:t>th</w:t>
                            </w:r>
                            <w:r w:rsidRPr="00B261AF">
                              <w:rPr>
                                <w:rFonts w:ascii="Arial" w:hAnsi="Arial" w:cs="Arial"/>
                                <w:sz w:val="18"/>
                                <w:szCs w:val="18"/>
                              </w:rPr>
                              <w:t xml:space="preserve">-order polynomial trend line fitted to the mean Cohen’s d of 50 evenly spaced bins for each spatial dimension. The circles along the lines represent the centroids of each effective connectivity distribution. Moran’s I was calculated to quantify biases in connectivity across each spatial dimension for each condition. Permutation-based pairwise comparisons of observed centroid differences were calculated to compare centroids of distributions for each stimulation condition (α = 0.05). </w:t>
                            </w:r>
                            <w:r w:rsidRPr="00B261AF">
                              <w:rPr>
                                <w:rFonts w:ascii="Arial" w:hAnsi="Arial" w:cs="Arial"/>
                                <w:b/>
                                <w:bCs/>
                                <w:sz w:val="18"/>
                                <w:szCs w:val="18"/>
                              </w:rPr>
                              <w:t xml:space="preserve">(b) </w:t>
                            </w:r>
                            <w:r w:rsidRPr="00B261AF">
                              <w:rPr>
                                <w:rFonts w:ascii="Arial" w:hAnsi="Arial" w:cs="Arial"/>
                                <w:sz w:val="18"/>
                                <w:szCs w:val="18"/>
                              </w:rPr>
                              <w:t xml:space="preserve">Network wiring diagrams showing hemispheric differences in connectivity for regions contralateral (left) or ipsilateral (right) to the site of stimulation for each condition. Blue lines represent greater connectivity in the left hemisphere, and red lines represent greater connectivity in the right hemisphere. The thickness of lines represents the magnitude of the difference between the average connectivity strength of significant contacts within the right and left regions. Statistical tests between left and right hemisphere regions were conducted on contacts within major region groups: orbitofrontal cortex (OFC), frontal cortex (F), </w:t>
                            </w:r>
                            <w:proofErr w:type="spellStart"/>
                            <w:r w:rsidRPr="00B261AF">
                              <w:rPr>
                                <w:rFonts w:ascii="Arial" w:hAnsi="Arial" w:cs="Arial"/>
                                <w:sz w:val="18"/>
                                <w:szCs w:val="18"/>
                              </w:rPr>
                              <w:t>somato</w:t>
                            </w:r>
                            <w:proofErr w:type="spellEnd"/>
                            <w:r w:rsidRPr="00B261AF">
                              <w:rPr>
                                <w:rFonts w:ascii="Arial" w:hAnsi="Arial" w:cs="Arial"/>
                                <w:sz w:val="18"/>
                                <w:szCs w:val="18"/>
                              </w:rPr>
                              <w:t>-motor cortices (SM), operculum (O), temporal lobe (T), hippocampus (Hip), amygdala (</w:t>
                            </w:r>
                            <w:proofErr w:type="spellStart"/>
                            <w:r w:rsidRPr="00B261AF">
                              <w:rPr>
                                <w:rFonts w:ascii="Arial" w:hAnsi="Arial" w:cs="Arial"/>
                                <w:sz w:val="18"/>
                                <w:szCs w:val="18"/>
                              </w:rPr>
                              <w:t>amy</w:t>
                            </w:r>
                            <w:proofErr w:type="spellEnd"/>
                            <w:r w:rsidRPr="00B261AF">
                              <w:rPr>
                                <w:rFonts w:ascii="Arial" w:hAnsi="Arial" w:cs="Arial"/>
                                <w:sz w:val="18"/>
                                <w:szCs w:val="18"/>
                              </w:rPr>
                              <w:t xml:space="preserve">), insula (Ins), parietal lobe (P), thalamus (Th) (α = 0.05, * p &lt; 0.05, *** p &lt; 0.001). Dashed lines on the outer network semicircle represent major region groups without substantial contacts for statistical comparisons. </w:t>
                            </w:r>
                          </w:p>
                          <w:p w14:paraId="1A50FCD0" w14:textId="77777777" w:rsidR="00B52B3B" w:rsidRPr="005C1681" w:rsidRDefault="00B52B3B" w:rsidP="00B52B3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E16DFD" id="_x0000_s1028" type="#_x0000_t202" style="position:absolute;left:0;text-align:left;margin-left:-7.1pt;margin-top:379.05pt;width:468pt;height:15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" stroked="f">
                <v:textbox inset="0,0,0,0">
                  <w:txbxContent>
                    <w:p w14:paraId="2CC19A80"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3</w:t>
                      </w:r>
                      <w:r w:rsidRPr="00B261AF">
                        <w:rPr>
                          <w:rFonts w:ascii="Arial" w:hAnsi="Arial" w:cs="Arial"/>
                          <w:b/>
                          <w:bCs/>
                          <w:sz w:val="18"/>
                          <w:szCs w:val="18"/>
                        </w:rPr>
                        <w:fldChar w:fldCharType="end"/>
                      </w:r>
                      <w:r w:rsidRPr="00B261AF">
                        <w:rPr>
                          <w:rFonts w:ascii="Arial" w:hAnsi="Arial" w:cs="Arial"/>
                          <w:b/>
                          <w:bCs/>
                          <w:sz w:val="18"/>
                          <w:szCs w:val="18"/>
                        </w:rPr>
                        <w:t>.</w:t>
                      </w:r>
                      <w:r w:rsidRPr="00B261AF">
                        <w:rPr>
                          <w:rFonts w:ascii="Arial" w:hAnsi="Arial" w:cs="Arial"/>
                          <w:i/>
                          <w:iCs/>
                          <w:sz w:val="18"/>
                          <w:szCs w:val="18"/>
                        </w:rPr>
                        <w:t xml:space="preserve"> Spatial Distribution of Effective Connectivity Across the Cortex. </w:t>
                      </w:r>
                      <w:r w:rsidRPr="00B261AF">
                        <w:rPr>
                          <w:rFonts w:ascii="Arial" w:hAnsi="Arial" w:cs="Arial"/>
                          <w:b/>
                          <w:bCs/>
                          <w:sz w:val="18"/>
                          <w:szCs w:val="18"/>
                        </w:rPr>
                        <w:t>(a)</w:t>
                      </w:r>
                      <w:r w:rsidRPr="00B261AF">
                        <w:rPr>
                          <w:rFonts w:ascii="Arial" w:hAnsi="Arial" w:cs="Arial"/>
                          <w:sz w:val="18"/>
                          <w:szCs w:val="18"/>
                        </w:rPr>
                        <w:t xml:space="preserve"> Distributions of normalized effective connectivity (Cohen’s d) across the anterior-posterior, inferior-superior, and left-right axes. Lines show a 4</w:t>
                      </w:r>
                      <w:r w:rsidRPr="00B261AF">
                        <w:rPr>
                          <w:rFonts w:ascii="Arial" w:hAnsi="Arial" w:cs="Arial"/>
                          <w:sz w:val="18"/>
                          <w:szCs w:val="18"/>
                          <w:vertAlign w:val="superscript"/>
                        </w:rPr>
                        <w:t>th</w:t>
                      </w:r>
                      <w:r w:rsidRPr="00B261AF">
                        <w:rPr>
                          <w:rFonts w:ascii="Arial" w:hAnsi="Arial" w:cs="Arial"/>
                          <w:sz w:val="18"/>
                          <w:szCs w:val="18"/>
                        </w:rPr>
                        <w:t xml:space="preserve">-order polynomial trend line fitted to the mean Cohen’s d of 50 evenly spaced bins for each spatial dimension. The circles along the lines represent the centroids of each effective connectivity distribution. Moran’s I was calculated to quantify biases in connectivity across each spatial dimension for each condition. Permutation-based pairwise comparisons of observed centroid differences were calculated to compare centroids of distributions for each stimulation condition (α = 0.05). </w:t>
                      </w:r>
                      <w:r w:rsidRPr="00B261AF">
                        <w:rPr>
                          <w:rFonts w:ascii="Arial" w:hAnsi="Arial" w:cs="Arial"/>
                          <w:b/>
                          <w:bCs/>
                          <w:sz w:val="18"/>
                          <w:szCs w:val="18"/>
                        </w:rPr>
                        <w:t xml:space="preserve">(b) </w:t>
                      </w:r>
                      <w:r w:rsidRPr="00B261AF">
                        <w:rPr>
                          <w:rFonts w:ascii="Arial" w:hAnsi="Arial" w:cs="Arial"/>
                          <w:sz w:val="18"/>
                          <w:szCs w:val="18"/>
                        </w:rPr>
                        <w:t xml:space="preserve">Network wiring diagrams showing hemispheric differences in connectivity for regions contralateral (left) or ipsilateral (right) to the site of stimulation for each condition. Blue lines represent greater connectivity in the left hemisphere, and red lines represent greater connectivity in the right hemisphere. The thickness of lines represents the magnitude of the difference between the average connectivity strength of significant contacts within the right and left regions. Statistical tests between left and right hemisphere regions were conducted on contacts within major region groups: orbitofrontal cortex (OFC), frontal cortex (F), </w:t>
                      </w:r>
                      <w:proofErr w:type="spellStart"/>
                      <w:r w:rsidRPr="00B261AF">
                        <w:rPr>
                          <w:rFonts w:ascii="Arial" w:hAnsi="Arial" w:cs="Arial"/>
                          <w:sz w:val="18"/>
                          <w:szCs w:val="18"/>
                        </w:rPr>
                        <w:t>somato</w:t>
                      </w:r>
                      <w:proofErr w:type="spellEnd"/>
                      <w:r w:rsidRPr="00B261AF">
                        <w:rPr>
                          <w:rFonts w:ascii="Arial" w:hAnsi="Arial" w:cs="Arial"/>
                          <w:sz w:val="18"/>
                          <w:szCs w:val="18"/>
                        </w:rPr>
                        <w:t>-motor cortices (SM), operculum (O), temporal lobe (T), hippocampus (Hip), amygdala (</w:t>
                      </w:r>
                      <w:proofErr w:type="spellStart"/>
                      <w:r w:rsidRPr="00B261AF">
                        <w:rPr>
                          <w:rFonts w:ascii="Arial" w:hAnsi="Arial" w:cs="Arial"/>
                          <w:sz w:val="18"/>
                          <w:szCs w:val="18"/>
                        </w:rPr>
                        <w:t>amy</w:t>
                      </w:r>
                      <w:proofErr w:type="spellEnd"/>
                      <w:r w:rsidRPr="00B261AF">
                        <w:rPr>
                          <w:rFonts w:ascii="Arial" w:hAnsi="Arial" w:cs="Arial"/>
                          <w:sz w:val="18"/>
                          <w:szCs w:val="18"/>
                        </w:rPr>
                        <w:t xml:space="preserve">), insula (Ins), parietal lobe (P), thalamus (Th) (α = 0.05, * p &lt; 0.05, *** p &lt; 0.001). Dashed lines on the outer network semicircle represent major region groups without substantial contacts for statistical comparisons. </w:t>
                      </w:r>
                    </w:p>
                    <w:p w14:paraId="1A50FCD0" w14:textId="77777777" w:rsidR="00B52B3B" w:rsidRPr="005C1681" w:rsidRDefault="00B52B3B" w:rsidP="00B52B3B">
                      <w:pPr>
                        <w:pStyle w:val="Caption"/>
                        <w:rPr>
                          <w:noProof/>
                        </w:rPr>
                      </w:pPr>
                    </w:p>
                  </w:txbxContent>
                </v:textbox>
                <w10:wrap type="square"/>
              </v:shape>
            </w:pict>
          </mc:Fallback>
        </mc:AlternateContent>
      </w:r>
      <w:r w:rsidRPr="00B261AF">
        <w:rPr>
          <w:rFonts w:ascii="Arial" w:hAnsi="Arial" w:cs="Arial"/>
          <w:noProof/>
          <w:sz w:val="24"/>
          <w:szCs w:val="24"/>
        </w:rPr>
        <w:drawing>
          <wp:anchor distT="0" distB="0" distL="114300" distR="114300" simplePos="0" relativeHeight="251662336" behindDoc="0" locked="0" layoutInCell="1" allowOverlap="1" wp14:anchorId="1F31E74F" wp14:editId="57F018CD">
            <wp:simplePos x="0" y="0"/>
            <wp:positionH relativeFrom="column">
              <wp:posOffset>-8965</wp:posOffset>
            </wp:positionH>
            <wp:positionV relativeFrom="paragraph">
              <wp:posOffset>0</wp:posOffset>
            </wp:positionV>
            <wp:extent cx="5943600" cy="4617977"/>
            <wp:effectExtent l="0" t="0" r="0" b="0"/>
            <wp:wrapSquare wrapText="bothSides"/>
            <wp:docPr id="9327030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03063" name="Picture 1"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17977"/>
                    </a:xfrm>
                    <a:prstGeom prst="rect">
                      <a:avLst/>
                    </a:prstGeom>
                  </pic:spPr>
                </pic:pic>
              </a:graphicData>
            </a:graphic>
            <wp14:sizeRelH relativeFrom="page">
              <wp14:pctWidth>0</wp14:pctWidth>
            </wp14:sizeRelH>
            <wp14:sizeRelV relativeFrom="page">
              <wp14:pctHeight>0</wp14:pctHeight>
            </wp14:sizeRelV>
          </wp:anchor>
        </w:drawing>
      </w:r>
    </w:p>
    <w:p w14:paraId="75954530" w14:textId="77777777" w:rsidR="00B52B3B" w:rsidRPr="00B261AF" w:rsidRDefault="00B52B3B" w:rsidP="00B52B3B">
      <w:pPr>
        <w:spacing w:line="276" w:lineRule="auto"/>
        <w:ind w:firstLine="720"/>
        <w:rPr>
          <w:rFonts w:ascii="Arial" w:hAnsi="Arial" w:cs="Arial"/>
          <w:sz w:val="24"/>
          <w:szCs w:val="24"/>
        </w:rPr>
      </w:pPr>
    </w:p>
    <w:p w14:paraId="7AB42742" w14:textId="6D15BA34"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next aimed to characterize the hemispheric differences in effective connectivity across major brain region groups, contralateral and ipsilateral to the stimulated Cg subregion (Figure 3b). For regions contralateral to the stimulated subregion, we found significantly higher effective connectivity from the ACC to the right orbitofrontal cortex (Wilcoxon rank sum, α = 0.05, p &lt; 0.05) and from the MCC to the left </w:t>
      </w:r>
      <w:r w:rsidRPr="00B261AF">
        <w:rPr>
          <w:rFonts w:ascii="Arial" w:hAnsi="Arial" w:cs="Arial"/>
          <w:sz w:val="24"/>
          <w:szCs w:val="24"/>
        </w:rPr>
        <w:lastRenderedPageBreak/>
        <w:t xml:space="preserve">frontal cortex (p &lt; 0.001). There were insufficient contralateral contacts in the operculum, temporal lobe, hippocampus, amygdala, parietal lobe, and thalamus for statistical comparisons due to limitations in the clinical coverage of this patient population. We found no significant differences between hemispheres for the </w:t>
      </w:r>
      <w:proofErr w:type="spellStart"/>
      <w:r w:rsidRPr="00B261AF">
        <w:rPr>
          <w:rFonts w:ascii="Arial" w:hAnsi="Arial" w:cs="Arial"/>
          <w:sz w:val="24"/>
          <w:szCs w:val="24"/>
        </w:rPr>
        <w:t>somato</w:t>
      </w:r>
      <w:proofErr w:type="spellEnd"/>
      <w:r w:rsidRPr="00B261AF">
        <w:rPr>
          <w:rFonts w:ascii="Arial" w:hAnsi="Arial" w:cs="Arial"/>
          <w:sz w:val="24"/>
          <w:szCs w:val="24"/>
        </w:rPr>
        <w:t>-motor cortices or the insular cortices in this contralateral comparison. For comparison of major region groups ipsilateral to the stimulated Cg subregion, we found significantly higher effective connectivity (i.e., hemispheric dominance) from the MCC to the right orbitofrontal cortex (p &lt; 0.001), significantly higher effective connectivity from the ACC and MCC to the left frontal cortex (ACC p &lt; 0.05, MCC p &lt; 0.001), significantly higher effective connectivity from the PCC to the right operculum (p &lt; 0.05), significantly higher effective connectivity from the ACC, MCC, and PCC to the right temporal lobe (ACC p &lt; 0.001, MCC p &lt; 0.001, PCC p &lt; 0.05), significantly higher effective connectivity from the PCC to the right hippocampus (p &lt; 0.05), and significantly higher connectivity from the MCC and PCC to the right insula (MCC p &lt; 0.05, PCC p &lt; 0.001). A cortical surface visualization showing the average hemispheric difference of contacts within each region across stimulation conditions is shown in Supplemental Figure 5. Notably, only frontal regions demonstrated a left hemisphere dominance in effective connectivity for ACC and MCC conditions, with most other regions having right hemisphere dominance across stimulation conditions.</w:t>
      </w:r>
    </w:p>
    <w:p w14:paraId="6C53043D" w14:textId="56EAF0F8"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3.6 </w:t>
      </w:r>
      <w:r w:rsidRPr="00B261AF">
        <w:rPr>
          <w:rFonts w:ascii="Arial" w:hAnsi="Arial" w:cs="Arial"/>
          <w:i/>
          <w:iCs/>
          <w:sz w:val="24"/>
          <w:szCs w:val="24"/>
        </w:rPr>
        <w:t>Morphology-based Hierarchical Clustering Models of Cg Subregion Effective Connectivity Networks</w:t>
      </w:r>
      <w:r w:rsidRPr="00B261AF">
        <w:rPr>
          <w:rFonts w:ascii="Arial" w:hAnsi="Arial" w:cs="Arial"/>
          <w:sz w:val="24"/>
          <w:szCs w:val="24"/>
        </w:rPr>
        <w:t xml:space="preserve"> </w:t>
      </w:r>
    </w:p>
    <w:p w14:paraId="47D67C57"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Beyond a divergent model of Cg effective connectivity and characterizing CCEP morphological consistency across regions using </w:t>
      </w:r>
      <w:proofErr w:type="spellStart"/>
      <w:r w:rsidRPr="00B261AF">
        <w:rPr>
          <w:rFonts w:ascii="Arial" w:hAnsi="Arial" w:cs="Arial"/>
          <w:sz w:val="24"/>
          <w:szCs w:val="24"/>
        </w:rPr>
        <w:t>CCEP</w:t>
      </w:r>
      <w:r w:rsidRPr="00B261AF">
        <w:rPr>
          <w:rFonts w:ascii="Arial" w:hAnsi="Arial" w:cs="Arial"/>
          <w:sz w:val="24"/>
          <w:szCs w:val="24"/>
          <w:vertAlign w:val="subscript"/>
        </w:rPr>
        <w:t>coh</w:t>
      </w:r>
      <w:proofErr w:type="spellEnd"/>
      <w:r w:rsidRPr="00B261AF">
        <w:rPr>
          <w:rFonts w:ascii="Arial" w:hAnsi="Arial" w:cs="Arial"/>
          <w:sz w:val="24"/>
          <w:szCs w:val="24"/>
        </w:rPr>
        <w:t>, we also aimed to evaluate the morphological similarity of CCEPs among cortical regions. To this end, we implemented an inter-region cross-correlation analysis to evaluate the morphological similarity of CCEPs between cortical regions for each Cg subregion’s effective connectivity network. We then used hierarchical clustering to group regions by the morphological similarity of CCEPs for each stimulation condition (Supplemental Figure 6). The results of this analysis are shown in Figure 4, revealing three highly differentiable inter-regional correlation matrices across stimulation conditions. Our analysis revealed eight clusters for the ACC (Figure 4a</w:t>
      </w:r>
      <w:r w:rsidRPr="00B261AF">
        <w:rPr>
          <w:rFonts w:ascii="Arial" w:hAnsi="Arial" w:cs="Arial"/>
          <w:sz w:val="24"/>
          <w:szCs w:val="24"/>
          <w:vertAlign w:val="subscript"/>
        </w:rPr>
        <w:t>i</w:t>
      </w:r>
      <w:r w:rsidRPr="00B261AF">
        <w:rPr>
          <w:rFonts w:ascii="Arial" w:hAnsi="Arial" w:cs="Arial"/>
          <w:sz w:val="24"/>
          <w:szCs w:val="24"/>
        </w:rPr>
        <w:t xml:space="preserve"> and </w:t>
      </w:r>
      <w:proofErr w:type="spellStart"/>
      <w:r w:rsidRPr="00B261AF">
        <w:rPr>
          <w:rFonts w:ascii="Arial" w:hAnsi="Arial" w:cs="Arial"/>
          <w:sz w:val="24"/>
          <w:szCs w:val="24"/>
        </w:rPr>
        <w:t>a</w:t>
      </w:r>
      <w:r w:rsidRPr="00B261AF">
        <w:rPr>
          <w:rFonts w:ascii="Arial" w:hAnsi="Arial" w:cs="Arial"/>
          <w:sz w:val="24"/>
          <w:szCs w:val="24"/>
          <w:vertAlign w:val="subscript"/>
        </w:rPr>
        <w:t>ii</w:t>
      </w:r>
      <w:proofErr w:type="spellEnd"/>
      <w:r w:rsidRPr="00B261AF">
        <w:rPr>
          <w:rFonts w:ascii="Arial" w:hAnsi="Arial" w:cs="Arial"/>
          <w:sz w:val="24"/>
          <w:szCs w:val="24"/>
        </w:rPr>
        <w:t>), six clusters for the MCC (Figure 4b</w:t>
      </w:r>
      <w:r w:rsidRPr="00B261AF">
        <w:rPr>
          <w:rFonts w:ascii="Arial" w:hAnsi="Arial" w:cs="Arial"/>
          <w:sz w:val="24"/>
          <w:szCs w:val="24"/>
          <w:vertAlign w:val="subscript"/>
        </w:rPr>
        <w:t>i</w:t>
      </w:r>
      <w:r w:rsidRPr="00B261AF">
        <w:rPr>
          <w:rFonts w:ascii="Arial" w:hAnsi="Arial" w:cs="Arial"/>
          <w:sz w:val="24"/>
          <w:szCs w:val="24"/>
        </w:rPr>
        <w:t xml:space="preserve"> and </w:t>
      </w:r>
      <w:proofErr w:type="spellStart"/>
      <w:r w:rsidRPr="00B261AF">
        <w:rPr>
          <w:rFonts w:ascii="Arial" w:hAnsi="Arial" w:cs="Arial"/>
          <w:sz w:val="24"/>
          <w:szCs w:val="24"/>
        </w:rPr>
        <w:t>b</w:t>
      </w:r>
      <w:r w:rsidRPr="00B261AF">
        <w:rPr>
          <w:rFonts w:ascii="Arial" w:hAnsi="Arial" w:cs="Arial"/>
          <w:sz w:val="24"/>
          <w:szCs w:val="24"/>
          <w:vertAlign w:val="subscript"/>
        </w:rPr>
        <w:t>ii</w:t>
      </w:r>
      <w:proofErr w:type="spellEnd"/>
      <w:r w:rsidRPr="00B261AF">
        <w:rPr>
          <w:rFonts w:ascii="Arial" w:hAnsi="Arial" w:cs="Arial"/>
          <w:sz w:val="24"/>
          <w:szCs w:val="24"/>
        </w:rPr>
        <w:t>), and seven clusters for the PCC (Figure 4c</w:t>
      </w:r>
      <w:r w:rsidRPr="00B261AF">
        <w:rPr>
          <w:rFonts w:ascii="Arial" w:hAnsi="Arial" w:cs="Arial"/>
          <w:sz w:val="24"/>
          <w:szCs w:val="24"/>
          <w:vertAlign w:val="subscript"/>
        </w:rPr>
        <w:t>i</w:t>
      </w:r>
      <w:r w:rsidRPr="00B261AF">
        <w:rPr>
          <w:rFonts w:ascii="Arial" w:hAnsi="Arial" w:cs="Arial"/>
          <w:sz w:val="24"/>
          <w:szCs w:val="24"/>
        </w:rPr>
        <w:t xml:space="preserve"> and c</w:t>
      </w:r>
      <w:r w:rsidRPr="00B261AF">
        <w:rPr>
          <w:rFonts w:ascii="Arial" w:hAnsi="Arial" w:cs="Arial"/>
          <w:sz w:val="24"/>
          <w:szCs w:val="24"/>
          <w:vertAlign w:val="subscript"/>
        </w:rPr>
        <w:t>ii</w:t>
      </w:r>
      <w:r w:rsidRPr="00B261AF">
        <w:rPr>
          <w:rFonts w:ascii="Arial" w:hAnsi="Arial" w:cs="Arial"/>
          <w:sz w:val="24"/>
          <w:szCs w:val="24"/>
        </w:rPr>
        <w:t xml:space="preserve">). A full list of regions within each cluster for each stimulation condition is described in Supplemental Results. Notably, the MCC contained the largest single cluster, accounting for 30 of the 45 regions included in the hierarchical clusters. It also appeared that there was no major spatial organization of clusters across stimulation conditions, indicating that the morphological signature of CCEPs is not clustered in space. </w:t>
      </w:r>
    </w:p>
    <w:p w14:paraId="3CAFFD01" w14:textId="08C11556" w:rsidR="00B52B3B" w:rsidRPr="00B261AF" w:rsidRDefault="00B52B3B" w:rsidP="00B52B3B">
      <w:pPr>
        <w:spacing w:line="276" w:lineRule="auto"/>
        <w:ind w:firstLine="720"/>
        <w:rPr>
          <w:rFonts w:ascii="Arial" w:hAnsi="Arial" w:cs="Arial"/>
          <w:sz w:val="24"/>
          <w:szCs w:val="24"/>
        </w:rPr>
      </w:pPr>
      <w:r w:rsidRPr="00B261AF">
        <w:rPr>
          <w:rFonts w:ascii="Arial" w:hAnsi="Arial" w:cs="Arial"/>
          <w:noProof/>
          <w:sz w:val="24"/>
          <w:szCs w:val="24"/>
        </w:rPr>
        <w:lastRenderedPageBreak/>
        <mc:AlternateContent>
          <mc:Choice Requires="wps">
            <w:drawing>
              <wp:anchor distT="0" distB="0" distL="114300" distR="114300" simplePos="0" relativeHeight="251665408" behindDoc="0" locked="0" layoutInCell="1" allowOverlap="1" wp14:anchorId="72274EBD" wp14:editId="3A740C8C">
                <wp:simplePos x="0" y="0"/>
                <wp:positionH relativeFrom="column">
                  <wp:posOffset>35859</wp:posOffset>
                </wp:positionH>
                <wp:positionV relativeFrom="paragraph">
                  <wp:posOffset>6626636</wp:posOffset>
                </wp:positionV>
                <wp:extent cx="5943600" cy="1595718"/>
                <wp:effectExtent l="0" t="0" r="0" b="5080"/>
                <wp:wrapSquare wrapText="bothSides"/>
                <wp:docPr id="95802250" name="Text Box 1"/>
                <wp:cNvGraphicFramePr/>
                <a:graphic xmlns:a="http://schemas.openxmlformats.org/drawingml/2006/main">
                  <a:graphicData uri="http://schemas.microsoft.com/office/word/2010/wordprocessingShape">
                    <wps:wsp>
                      <wps:cNvSpPr txBox="1"/>
                      <wps:spPr>
                        <a:xfrm>
                          <a:off x="0" y="0"/>
                          <a:ext cx="5943600" cy="1595718"/>
                        </a:xfrm>
                        <a:prstGeom prst="rect">
                          <a:avLst/>
                        </a:prstGeom>
                        <a:solidFill>
                          <a:prstClr val="white"/>
                        </a:solidFill>
                        <a:ln>
                          <a:noFill/>
                        </a:ln>
                      </wps:spPr>
                      <wps:txbx>
                        <w:txbxContent>
                          <w:p w14:paraId="67AACD95"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4</w:t>
                            </w:r>
                            <w:r w:rsidRPr="00B261AF">
                              <w:rPr>
                                <w:rFonts w:ascii="Arial" w:hAnsi="Arial" w:cs="Arial"/>
                                <w:b/>
                                <w:bCs/>
                                <w:sz w:val="18"/>
                                <w:szCs w:val="18"/>
                              </w:rPr>
                              <w:fldChar w:fldCharType="end"/>
                            </w:r>
                            <w:r w:rsidRPr="00B261AF">
                              <w:rPr>
                                <w:rFonts w:ascii="Arial" w:hAnsi="Arial" w:cs="Arial"/>
                                <w:b/>
                                <w:bCs/>
                                <w:i/>
                                <w:iCs/>
                                <w:sz w:val="18"/>
                                <w:szCs w:val="18"/>
                              </w:rPr>
                              <w:t>.</w:t>
                            </w:r>
                            <w:r w:rsidRPr="00B261AF">
                              <w:rPr>
                                <w:rFonts w:ascii="Arial" w:hAnsi="Arial" w:cs="Arial"/>
                                <w:i/>
                                <w:iCs/>
                                <w:sz w:val="18"/>
                                <w:szCs w:val="18"/>
                              </w:rPr>
                              <w:t xml:space="preserve"> Hierarchical Clustering of Cingulate Cortex Effective Connectivity Networks. </w:t>
                            </w:r>
                            <w:r w:rsidRPr="00B261AF">
                              <w:rPr>
                                <w:rFonts w:ascii="Arial" w:hAnsi="Arial" w:cs="Arial"/>
                                <w:b/>
                                <w:bCs/>
                                <w:sz w:val="18"/>
                                <w:szCs w:val="18"/>
                              </w:rPr>
                              <w:t>(a-c)</w:t>
                            </w:r>
                            <w:r w:rsidRPr="00B261AF">
                              <w:rPr>
                                <w:rFonts w:ascii="Arial" w:hAnsi="Arial" w:cs="Arial"/>
                                <w:sz w:val="18"/>
                                <w:szCs w:val="18"/>
                              </w:rPr>
                              <w:t xml:space="preserve"> Cingulate cortex (Cg) subnetworks are defined and organized through hierarchical clustering of cortico-cortical evoked potential (CCEP) morphology. </w:t>
                            </w:r>
                            <w:r w:rsidRPr="00B261AF">
                              <w:rPr>
                                <w:rFonts w:ascii="Arial" w:hAnsi="Arial" w:cs="Arial"/>
                                <w:b/>
                                <w:bCs/>
                                <w:sz w:val="18"/>
                                <w:szCs w:val="18"/>
                              </w:rPr>
                              <w:t>(a)</w:t>
                            </w:r>
                            <w:r w:rsidRPr="00B261AF">
                              <w:rPr>
                                <w:rFonts w:ascii="Arial" w:hAnsi="Arial" w:cs="Arial"/>
                                <w:sz w:val="18"/>
                                <w:szCs w:val="18"/>
                              </w:rPr>
                              <w:t xml:space="preserve"> Subnetworks of the anterior cingulate cortex (ACC). </w:t>
                            </w:r>
                            <w:r w:rsidRPr="00B261AF">
                              <w:rPr>
                                <w:rFonts w:ascii="Arial" w:hAnsi="Arial" w:cs="Arial"/>
                                <w:b/>
                                <w:bCs/>
                                <w:sz w:val="18"/>
                                <w:szCs w:val="18"/>
                              </w:rPr>
                              <w:t>(a</w:t>
                            </w:r>
                            <w:r w:rsidRPr="00B261AF">
                              <w:rPr>
                                <w:rFonts w:ascii="Arial" w:hAnsi="Arial" w:cs="Arial"/>
                                <w:b/>
                                <w:bCs/>
                                <w:sz w:val="18"/>
                                <w:szCs w:val="18"/>
                                <w:vertAlign w:val="subscript"/>
                              </w:rPr>
                              <w:t>i</w:t>
                            </w:r>
                            <w:r w:rsidRPr="00B261AF">
                              <w:rPr>
                                <w:rFonts w:ascii="Arial" w:hAnsi="Arial" w:cs="Arial"/>
                                <w:b/>
                                <w:bCs/>
                                <w:sz w:val="18"/>
                                <w:szCs w:val="18"/>
                              </w:rPr>
                              <w:t xml:space="preserve">) </w:t>
                            </w:r>
                            <w:r w:rsidRPr="00B261AF">
                              <w:rPr>
                                <w:rFonts w:ascii="Arial" w:hAnsi="Arial" w:cs="Arial"/>
                                <w:sz w:val="18"/>
                                <w:szCs w:val="18"/>
                              </w:rPr>
                              <w:t xml:space="preserve">Correlation matrix showing the mean inter-regional similarity of CCEP morphology, organized from highest to lowest similarity. Dotted boxes show clusters. White entries in the correlation matrix represent regions without statistically significant CCEPs (Wilcoxon rank sum test, α = 0.0001). The adjacent dendrogram shows the hierarchical structure of the correlation matrix. Clusters of regions on the dendrogram are colored by cluster number, from highest to lowest intra-cluster similarity. The optimal distance threshold to resolve clusters is shown by the dashed orange line. </w:t>
                            </w:r>
                            <w:r w:rsidRPr="00B261AF">
                              <w:rPr>
                                <w:rFonts w:ascii="Arial" w:hAnsi="Arial" w:cs="Arial"/>
                                <w:b/>
                                <w:bCs/>
                                <w:sz w:val="18"/>
                                <w:szCs w:val="18"/>
                              </w:rPr>
                              <w:t>(</w:t>
                            </w:r>
                            <w:proofErr w:type="spellStart"/>
                            <w:r w:rsidRPr="00B261AF">
                              <w:rPr>
                                <w:rFonts w:ascii="Arial" w:hAnsi="Arial" w:cs="Arial"/>
                                <w:b/>
                                <w:bCs/>
                                <w:sz w:val="18"/>
                                <w:szCs w:val="18"/>
                              </w:rPr>
                              <w:t>a</w:t>
                            </w:r>
                            <w:r w:rsidRPr="00B261AF">
                              <w:rPr>
                                <w:rFonts w:ascii="Arial" w:hAnsi="Arial" w:cs="Arial"/>
                                <w:b/>
                                <w:bCs/>
                                <w:sz w:val="18"/>
                                <w:szCs w:val="18"/>
                                <w:vertAlign w:val="subscript"/>
                              </w:rPr>
                              <w:t>ii</w:t>
                            </w:r>
                            <w:proofErr w:type="spellEnd"/>
                            <w:r w:rsidRPr="00B261AF">
                              <w:rPr>
                                <w:rFonts w:ascii="Arial" w:hAnsi="Arial" w:cs="Arial"/>
                                <w:b/>
                                <w:bCs/>
                                <w:sz w:val="18"/>
                                <w:szCs w:val="18"/>
                              </w:rPr>
                              <w:t>)</w:t>
                            </w:r>
                            <w:r w:rsidRPr="00B261AF">
                              <w:rPr>
                                <w:rFonts w:ascii="Arial" w:hAnsi="Arial" w:cs="Arial"/>
                                <w:sz w:val="18"/>
                                <w:szCs w:val="18"/>
                              </w:rPr>
                              <w:t xml:space="preserve"> Anatomical location of clusters. </w:t>
                            </w:r>
                            <w:r w:rsidRPr="00B261AF">
                              <w:rPr>
                                <w:rFonts w:ascii="Arial" w:hAnsi="Arial" w:cs="Arial"/>
                                <w:b/>
                                <w:bCs/>
                                <w:sz w:val="18"/>
                                <w:szCs w:val="18"/>
                              </w:rPr>
                              <w:t xml:space="preserve">(b) </w:t>
                            </w:r>
                            <w:r w:rsidRPr="00B261AF">
                              <w:rPr>
                                <w:rFonts w:ascii="Arial" w:hAnsi="Arial" w:cs="Arial"/>
                                <w:sz w:val="18"/>
                                <w:szCs w:val="18"/>
                              </w:rPr>
                              <w:t xml:space="preserve">Mid-cingulate cortex (MCC) subnetworks. </w:t>
                            </w:r>
                            <w:r w:rsidRPr="00B261AF">
                              <w:rPr>
                                <w:rFonts w:ascii="Arial" w:hAnsi="Arial" w:cs="Arial"/>
                                <w:b/>
                                <w:bCs/>
                                <w:sz w:val="18"/>
                                <w:szCs w:val="18"/>
                              </w:rPr>
                              <w:t>(c)</w:t>
                            </w:r>
                            <w:r w:rsidRPr="00B261AF">
                              <w:rPr>
                                <w:rFonts w:ascii="Arial" w:hAnsi="Arial" w:cs="Arial"/>
                                <w:sz w:val="18"/>
                                <w:szCs w:val="18"/>
                              </w:rPr>
                              <w:t xml:space="preserve"> Posterior cingulate cortex (PCC) subnetworks. </w:t>
                            </w:r>
                            <w:r w:rsidRPr="00B261AF">
                              <w:rPr>
                                <w:rFonts w:ascii="Arial" w:hAnsi="Arial" w:cs="Arial"/>
                                <w:b/>
                                <w:bCs/>
                                <w:sz w:val="18"/>
                                <w:szCs w:val="18"/>
                              </w:rPr>
                              <w:t>(d)</w:t>
                            </w:r>
                            <w:r w:rsidRPr="00B261AF">
                              <w:rPr>
                                <w:rFonts w:ascii="Arial" w:hAnsi="Arial" w:cs="Arial"/>
                                <w:sz w:val="18"/>
                                <w:szCs w:val="18"/>
                              </w:rPr>
                              <w:t xml:space="preserve"> Comparison of inter-regional CCEP morphological similarity across stimulation conditions (Wilcoxon rank sum, α = 0.05). </w:t>
                            </w:r>
                            <w:r w:rsidRPr="00B261AF">
                              <w:rPr>
                                <w:rFonts w:ascii="Arial" w:hAnsi="Arial" w:cs="Arial"/>
                                <w:b/>
                                <w:bCs/>
                                <w:sz w:val="18"/>
                                <w:szCs w:val="18"/>
                              </w:rPr>
                              <w:t>(e)</w:t>
                            </w:r>
                            <w:r w:rsidRPr="00B261AF">
                              <w:rPr>
                                <w:rFonts w:ascii="Arial" w:hAnsi="Arial" w:cs="Arial"/>
                                <w:sz w:val="18"/>
                                <w:szCs w:val="18"/>
                              </w:rPr>
                              <w:t xml:space="preserve"> Comparison of dendrogram tree diversity as a distribution of cophenetic distance across stimulation conditions (Wilcoxon rank sum, α = 0.05).</w:t>
                            </w:r>
                          </w:p>
                          <w:p w14:paraId="1E9DC4A4" w14:textId="77777777" w:rsidR="00B52B3B" w:rsidRPr="005C1681" w:rsidRDefault="00B52B3B" w:rsidP="00B52B3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274EBD" id="_x0000_s1029" type="#_x0000_t202" style="position:absolute;left:0;text-align:left;margin-left:2.8pt;margin-top:521.8pt;width:468pt;height:12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" stroked="f">
                <v:textbox inset="0,0,0,0">
                  <w:txbxContent>
                    <w:p w14:paraId="67AACD95" w14:textId="77777777" w:rsidR="00B52B3B" w:rsidRPr="00B261AF" w:rsidRDefault="00B52B3B" w:rsidP="00B52B3B">
                      <w:pPr>
                        <w:rPr>
                          <w:rFonts w:ascii="Arial" w:hAnsi="Arial" w:cs="Arial"/>
                          <w:sz w:val="18"/>
                          <w:szCs w:val="18"/>
                        </w:rPr>
                      </w:pPr>
                      <w:r w:rsidRPr="00B261AF">
                        <w:rPr>
                          <w:rFonts w:ascii="Arial" w:hAnsi="Arial" w:cs="Arial"/>
                          <w:b/>
                          <w:bCs/>
                          <w:sz w:val="18"/>
                          <w:szCs w:val="18"/>
                        </w:rPr>
                        <w:t xml:space="preserve">Figure </w:t>
                      </w:r>
                      <w:r w:rsidRPr="00B261AF">
                        <w:rPr>
                          <w:rFonts w:ascii="Arial" w:hAnsi="Arial" w:cs="Arial"/>
                          <w:b/>
                          <w:bCs/>
                          <w:sz w:val="18"/>
                          <w:szCs w:val="18"/>
                        </w:rPr>
                        <w:fldChar w:fldCharType="begin"/>
                      </w:r>
                      <w:r w:rsidRPr="00B261AF">
                        <w:rPr>
                          <w:rFonts w:ascii="Arial" w:hAnsi="Arial" w:cs="Arial"/>
                          <w:b/>
                          <w:bCs/>
                          <w:sz w:val="18"/>
                          <w:szCs w:val="18"/>
                        </w:rPr>
                        <w:instrText xml:space="preserve"> SEQ Figure \* ARABIC </w:instrText>
                      </w:r>
                      <w:r w:rsidRPr="00B261AF">
                        <w:rPr>
                          <w:rFonts w:ascii="Arial" w:hAnsi="Arial" w:cs="Arial"/>
                          <w:b/>
                          <w:bCs/>
                          <w:sz w:val="18"/>
                          <w:szCs w:val="18"/>
                        </w:rPr>
                        <w:fldChar w:fldCharType="separate"/>
                      </w:r>
                      <w:r w:rsidRPr="00B261AF">
                        <w:rPr>
                          <w:rFonts w:ascii="Arial" w:hAnsi="Arial" w:cs="Arial"/>
                          <w:b/>
                          <w:bCs/>
                          <w:noProof/>
                          <w:sz w:val="18"/>
                          <w:szCs w:val="18"/>
                        </w:rPr>
                        <w:t>4</w:t>
                      </w:r>
                      <w:r w:rsidRPr="00B261AF">
                        <w:rPr>
                          <w:rFonts w:ascii="Arial" w:hAnsi="Arial" w:cs="Arial"/>
                          <w:b/>
                          <w:bCs/>
                          <w:sz w:val="18"/>
                          <w:szCs w:val="18"/>
                        </w:rPr>
                        <w:fldChar w:fldCharType="end"/>
                      </w:r>
                      <w:r w:rsidRPr="00B261AF">
                        <w:rPr>
                          <w:rFonts w:ascii="Arial" w:hAnsi="Arial" w:cs="Arial"/>
                          <w:b/>
                          <w:bCs/>
                          <w:i/>
                          <w:iCs/>
                          <w:sz w:val="18"/>
                          <w:szCs w:val="18"/>
                        </w:rPr>
                        <w:t>.</w:t>
                      </w:r>
                      <w:r w:rsidRPr="00B261AF">
                        <w:rPr>
                          <w:rFonts w:ascii="Arial" w:hAnsi="Arial" w:cs="Arial"/>
                          <w:i/>
                          <w:iCs/>
                          <w:sz w:val="18"/>
                          <w:szCs w:val="18"/>
                        </w:rPr>
                        <w:t xml:space="preserve"> Hierarchical Clustering of Cingulate Cortex Effective Connectivity Networks. </w:t>
                      </w:r>
                      <w:r w:rsidRPr="00B261AF">
                        <w:rPr>
                          <w:rFonts w:ascii="Arial" w:hAnsi="Arial" w:cs="Arial"/>
                          <w:b/>
                          <w:bCs/>
                          <w:sz w:val="18"/>
                          <w:szCs w:val="18"/>
                        </w:rPr>
                        <w:t>(a-c)</w:t>
                      </w:r>
                      <w:r w:rsidRPr="00B261AF">
                        <w:rPr>
                          <w:rFonts w:ascii="Arial" w:hAnsi="Arial" w:cs="Arial"/>
                          <w:sz w:val="18"/>
                          <w:szCs w:val="18"/>
                        </w:rPr>
                        <w:t xml:space="preserve"> Cingulate cortex (Cg) subnetworks are defined and organized through hierarchical clustering of cortico-cortical evoked potential (CCEP) morphology. </w:t>
                      </w:r>
                      <w:r w:rsidRPr="00B261AF">
                        <w:rPr>
                          <w:rFonts w:ascii="Arial" w:hAnsi="Arial" w:cs="Arial"/>
                          <w:b/>
                          <w:bCs/>
                          <w:sz w:val="18"/>
                          <w:szCs w:val="18"/>
                        </w:rPr>
                        <w:t>(a)</w:t>
                      </w:r>
                      <w:r w:rsidRPr="00B261AF">
                        <w:rPr>
                          <w:rFonts w:ascii="Arial" w:hAnsi="Arial" w:cs="Arial"/>
                          <w:sz w:val="18"/>
                          <w:szCs w:val="18"/>
                        </w:rPr>
                        <w:t xml:space="preserve"> Subnetworks of the anterior cingulate cortex (ACC). </w:t>
                      </w:r>
                      <w:r w:rsidRPr="00B261AF">
                        <w:rPr>
                          <w:rFonts w:ascii="Arial" w:hAnsi="Arial" w:cs="Arial"/>
                          <w:b/>
                          <w:bCs/>
                          <w:sz w:val="18"/>
                          <w:szCs w:val="18"/>
                        </w:rPr>
                        <w:t>(a</w:t>
                      </w:r>
                      <w:r w:rsidRPr="00B261AF">
                        <w:rPr>
                          <w:rFonts w:ascii="Arial" w:hAnsi="Arial" w:cs="Arial"/>
                          <w:b/>
                          <w:bCs/>
                          <w:sz w:val="18"/>
                          <w:szCs w:val="18"/>
                          <w:vertAlign w:val="subscript"/>
                        </w:rPr>
                        <w:t>i</w:t>
                      </w:r>
                      <w:r w:rsidRPr="00B261AF">
                        <w:rPr>
                          <w:rFonts w:ascii="Arial" w:hAnsi="Arial" w:cs="Arial"/>
                          <w:b/>
                          <w:bCs/>
                          <w:sz w:val="18"/>
                          <w:szCs w:val="18"/>
                        </w:rPr>
                        <w:t xml:space="preserve">) </w:t>
                      </w:r>
                      <w:r w:rsidRPr="00B261AF">
                        <w:rPr>
                          <w:rFonts w:ascii="Arial" w:hAnsi="Arial" w:cs="Arial"/>
                          <w:sz w:val="18"/>
                          <w:szCs w:val="18"/>
                        </w:rPr>
                        <w:t xml:space="preserve">Correlation matrix showing the mean inter-regional similarity of CCEP morphology, organized from highest to lowest similarity. Dotted boxes show clusters. White entries in the correlation matrix represent regions without statistically significant CCEPs (Wilcoxon rank sum test, α = 0.0001). The adjacent dendrogram shows the hierarchical structure of the correlation matrix. Clusters of regions on the dendrogram are colored by cluster number, from highest to lowest intra-cluster similarity. The optimal distance threshold to resolve clusters is shown by the dashed orange line. </w:t>
                      </w:r>
                      <w:r w:rsidRPr="00B261AF">
                        <w:rPr>
                          <w:rFonts w:ascii="Arial" w:hAnsi="Arial" w:cs="Arial"/>
                          <w:b/>
                          <w:bCs/>
                          <w:sz w:val="18"/>
                          <w:szCs w:val="18"/>
                        </w:rPr>
                        <w:t>(</w:t>
                      </w:r>
                      <w:proofErr w:type="spellStart"/>
                      <w:r w:rsidRPr="00B261AF">
                        <w:rPr>
                          <w:rFonts w:ascii="Arial" w:hAnsi="Arial" w:cs="Arial"/>
                          <w:b/>
                          <w:bCs/>
                          <w:sz w:val="18"/>
                          <w:szCs w:val="18"/>
                        </w:rPr>
                        <w:t>a</w:t>
                      </w:r>
                      <w:r w:rsidRPr="00B261AF">
                        <w:rPr>
                          <w:rFonts w:ascii="Arial" w:hAnsi="Arial" w:cs="Arial"/>
                          <w:b/>
                          <w:bCs/>
                          <w:sz w:val="18"/>
                          <w:szCs w:val="18"/>
                          <w:vertAlign w:val="subscript"/>
                        </w:rPr>
                        <w:t>ii</w:t>
                      </w:r>
                      <w:proofErr w:type="spellEnd"/>
                      <w:r w:rsidRPr="00B261AF">
                        <w:rPr>
                          <w:rFonts w:ascii="Arial" w:hAnsi="Arial" w:cs="Arial"/>
                          <w:b/>
                          <w:bCs/>
                          <w:sz w:val="18"/>
                          <w:szCs w:val="18"/>
                        </w:rPr>
                        <w:t>)</w:t>
                      </w:r>
                      <w:r w:rsidRPr="00B261AF">
                        <w:rPr>
                          <w:rFonts w:ascii="Arial" w:hAnsi="Arial" w:cs="Arial"/>
                          <w:sz w:val="18"/>
                          <w:szCs w:val="18"/>
                        </w:rPr>
                        <w:t xml:space="preserve"> Anatomical location of clusters. </w:t>
                      </w:r>
                      <w:r w:rsidRPr="00B261AF">
                        <w:rPr>
                          <w:rFonts w:ascii="Arial" w:hAnsi="Arial" w:cs="Arial"/>
                          <w:b/>
                          <w:bCs/>
                          <w:sz w:val="18"/>
                          <w:szCs w:val="18"/>
                        </w:rPr>
                        <w:t xml:space="preserve">(b) </w:t>
                      </w:r>
                      <w:r w:rsidRPr="00B261AF">
                        <w:rPr>
                          <w:rFonts w:ascii="Arial" w:hAnsi="Arial" w:cs="Arial"/>
                          <w:sz w:val="18"/>
                          <w:szCs w:val="18"/>
                        </w:rPr>
                        <w:t xml:space="preserve">Mid-cingulate cortex (MCC) subnetworks. </w:t>
                      </w:r>
                      <w:r w:rsidRPr="00B261AF">
                        <w:rPr>
                          <w:rFonts w:ascii="Arial" w:hAnsi="Arial" w:cs="Arial"/>
                          <w:b/>
                          <w:bCs/>
                          <w:sz w:val="18"/>
                          <w:szCs w:val="18"/>
                        </w:rPr>
                        <w:t>(c)</w:t>
                      </w:r>
                      <w:r w:rsidRPr="00B261AF">
                        <w:rPr>
                          <w:rFonts w:ascii="Arial" w:hAnsi="Arial" w:cs="Arial"/>
                          <w:sz w:val="18"/>
                          <w:szCs w:val="18"/>
                        </w:rPr>
                        <w:t xml:space="preserve"> Posterior cingulate cortex (PCC) subnetworks. </w:t>
                      </w:r>
                      <w:r w:rsidRPr="00B261AF">
                        <w:rPr>
                          <w:rFonts w:ascii="Arial" w:hAnsi="Arial" w:cs="Arial"/>
                          <w:b/>
                          <w:bCs/>
                          <w:sz w:val="18"/>
                          <w:szCs w:val="18"/>
                        </w:rPr>
                        <w:t>(d)</w:t>
                      </w:r>
                      <w:r w:rsidRPr="00B261AF">
                        <w:rPr>
                          <w:rFonts w:ascii="Arial" w:hAnsi="Arial" w:cs="Arial"/>
                          <w:sz w:val="18"/>
                          <w:szCs w:val="18"/>
                        </w:rPr>
                        <w:t xml:space="preserve"> Comparison of inter-regional CCEP morphological similarity across stimulation conditions (Wilcoxon rank sum, α = 0.05). </w:t>
                      </w:r>
                      <w:r w:rsidRPr="00B261AF">
                        <w:rPr>
                          <w:rFonts w:ascii="Arial" w:hAnsi="Arial" w:cs="Arial"/>
                          <w:b/>
                          <w:bCs/>
                          <w:sz w:val="18"/>
                          <w:szCs w:val="18"/>
                        </w:rPr>
                        <w:t>(e)</w:t>
                      </w:r>
                      <w:r w:rsidRPr="00B261AF">
                        <w:rPr>
                          <w:rFonts w:ascii="Arial" w:hAnsi="Arial" w:cs="Arial"/>
                          <w:sz w:val="18"/>
                          <w:szCs w:val="18"/>
                        </w:rPr>
                        <w:t xml:space="preserve"> Comparison of dendrogram tree diversity as a distribution of cophenetic distance across stimulation conditions (Wilcoxon rank sum, α = 0.05).</w:t>
                      </w:r>
                    </w:p>
                    <w:p w14:paraId="1E9DC4A4" w14:textId="77777777" w:rsidR="00B52B3B" w:rsidRPr="005C1681" w:rsidRDefault="00B52B3B" w:rsidP="00B52B3B">
                      <w:pPr>
                        <w:pStyle w:val="Caption"/>
                        <w:rPr>
                          <w:noProof/>
                        </w:rPr>
                      </w:pPr>
                    </w:p>
                  </w:txbxContent>
                </v:textbox>
                <w10:wrap type="square"/>
              </v:shape>
            </w:pict>
          </mc:Fallback>
        </mc:AlternateContent>
      </w:r>
      <w:r w:rsidRPr="00B261AF">
        <w:rPr>
          <w:rFonts w:ascii="Arial" w:hAnsi="Arial" w:cs="Arial"/>
          <w:noProof/>
          <w:sz w:val="24"/>
          <w:szCs w:val="24"/>
        </w:rPr>
        <w:drawing>
          <wp:anchor distT="0" distB="0" distL="114300" distR="114300" simplePos="0" relativeHeight="251664384" behindDoc="0" locked="0" layoutInCell="1" allowOverlap="1" wp14:anchorId="069E4E22" wp14:editId="425844A7">
            <wp:simplePos x="0" y="0"/>
            <wp:positionH relativeFrom="column">
              <wp:posOffset>62753</wp:posOffset>
            </wp:positionH>
            <wp:positionV relativeFrom="paragraph">
              <wp:posOffset>0</wp:posOffset>
            </wp:positionV>
            <wp:extent cx="5943600" cy="6293485"/>
            <wp:effectExtent l="0" t="0" r="0" b="5715"/>
            <wp:wrapSquare wrapText="bothSides"/>
            <wp:docPr id="104992286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2863" name="Picture 1" descr="A collage of different colored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293485"/>
                    </a:xfrm>
                    <a:prstGeom prst="rect">
                      <a:avLst/>
                    </a:prstGeom>
                  </pic:spPr>
                </pic:pic>
              </a:graphicData>
            </a:graphic>
            <wp14:sizeRelH relativeFrom="page">
              <wp14:pctWidth>0</wp14:pctWidth>
            </wp14:sizeRelH>
            <wp14:sizeRelV relativeFrom="page">
              <wp14:pctHeight>0</wp14:pctHeight>
            </wp14:sizeRelV>
          </wp:anchor>
        </w:drawing>
      </w:r>
    </w:p>
    <w:p w14:paraId="604F9242" w14:textId="5D1BA621" w:rsidR="00B52B3B" w:rsidRPr="00B261AF" w:rsidRDefault="00B52B3B" w:rsidP="00B52B3B">
      <w:pPr>
        <w:spacing w:line="276" w:lineRule="auto"/>
        <w:ind w:firstLine="720"/>
        <w:rPr>
          <w:rFonts w:ascii="Arial" w:hAnsi="Arial" w:cs="Arial"/>
          <w:sz w:val="24"/>
          <w:szCs w:val="24"/>
        </w:rPr>
      </w:pPr>
    </w:p>
    <w:p w14:paraId="0A6CE9E7" w14:textId="3592EB09"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next compared the average pairwise morphological similarity of regions within each correlation matrix between stimulation conditions. The MCC network had the highest mean pairwise correlation values across regions (mean ±95% CI, 0.37 ±0.04) and was significantly different from both the ACC network (ACC 0.32 ±0.04, Wilcoxon rank sum, α = 0.05, p = 0.018) and PCC network (PCC 0.29 ±0.03, p = 2.42E-4). There was no significant difference between the ACC network and the PCC network (p = 0.129). </w:t>
      </w:r>
    </w:p>
    <w:p w14:paraId="0F5603A9"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next evaluated the diversity of inter-regional CCEP morphology across Cg subregion effective connectivity networks. To do this, we performed a comparison of the cophenetic distance distributions of each network’s dendrogram. The PCC network dendrogram contained the highest average cophenetic distance (mean ±SD, 0.69 ±0.20) and lowest cophenetic entropy (0.326). The ACC and MCC network dendrograms were highly similar (ACC cophenetic distance 0.57 ±.22, cophenetic entropy 0.390; MCC cophenetic distance 0.54 ±0.24, cophenetic entropy 0.395). Pairwise comparisons of these distributions revealed a significant difference between all three stimulation conditions (Wilcoxon rank sum, α = 0.05, p &lt; 0.001 for comparisons). </w:t>
      </w:r>
    </w:p>
    <w:p w14:paraId="71D71B78" w14:textId="60824FC6" w:rsidR="00B52B3B" w:rsidRPr="00B261AF" w:rsidRDefault="00B52B3B" w:rsidP="00B52B3B">
      <w:pPr>
        <w:spacing w:line="276" w:lineRule="auto"/>
        <w:rPr>
          <w:rFonts w:ascii="Arial" w:hAnsi="Arial" w:cs="Arial"/>
          <w:sz w:val="24"/>
          <w:szCs w:val="24"/>
        </w:rPr>
      </w:pPr>
      <w:r w:rsidRPr="00B261AF">
        <w:rPr>
          <w:rFonts w:ascii="Arial" w:hAnsi="Arial" w:cs="Arial"/>
          <w:i/>
          <w:iCs/>
          <w:sz w:val="24"/>
          <w:szCs w:val="24"/>
        </w:rPr>
        <w:t xml:space="preserve">3.7 </w:t>
      </w:r>
      <w:r w:rsidRPr="00B261AF">
        <w:rPr>
          <w:rFonts w:ascii="Arial" w:hAnsi="Arial" w:cs="Arial"/>
          <w:i/>
          <w:iCs/>
          <w:sz w:val="24"/>
          <w:szCs w:val="24"/>
        </w:rPr>
        <w:t>Feature Importance in Classifying the Effective Connectivity Networks of Cg Subregions</w:t>
      </w:r>
      <w:r w:rsidRPr="00B261AF">
        <w:rPr>
          <w:rFonts w:ascii="Arial" w:hAnsi="Arial" w:cs="Arial"/>
          <w:sz w:val="24"/>
          <w:szCs w:val="24"/>
        </w:rPr>
        <w:t xml:space="preserve"> </w:t>
      </w:r>
    </w:p>
    <w:p w14:paraId="6445C9D2"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Finally, we evaluated the importance of features used to profile the Cg effective connectivity networks. To do this, we determined the predictive strength of features in classifying the stimulated Cg subregion in a random forest model. Features were characterized into 6 main groups (for details, see Assessing Feature Importance for Classifying Cg Effective Connectivity Networks in Methods): effective connectivity, spatial, waveform (assumption-free), evoked gamma, temporal, and waveform (assumption-based). Additional results describing the temporal dynamics of CCEPs and Cg stimulation-evoked gamma responses across the cortex can be found in Supplemental Results and Supplemental Figures 7-10. Figure 5a shows the confusion matrix outlining the performance of our model in predicting which Cg subregion was stimulated at each contact. The overall accuracy of the model was 75.5%. The classification accuracy was 78.9% for ACC contacts, 73.1% for MCC contacts, and 72% for PCC contacts. Figure 5b shows the predictor strength of features ranked from highest to lowest. </w:t>
      </w:r>
      <w:proofErr w:type="spellStart"/>
      <w:r w:rsidRPr="00B261AF">
        <w:rPr>
          <w:rFonts w:ascii="Arial" w:hAnsi="Arial" w:cs="Arial"/>
          <w:sz w:val="24"/>
          <w:szCs w:val="24"/>
        </w:rPr>
        <w:t>CCEP</w:t>
      </w:r>
      <w:r w:rsidRPr="00B261AF">
        <w:rPr>
          <w:rFonts w:ascii="Arial" w:hAnsi="Arial" w:cs="Arial"/>
          <w:sz w:val="24"/>
          <w:szCs w:val="24"/>
          <w:vertAlign w:val="subscript"/>
        </w:rPr>
        <w:t>mag</w:t>
      </w:r>
      <w:proofErr w:type="spellEnd"/>
      <w:r w:rsidRPr="00B261AF" w:rsidDel="003D2992">
        <w:rPr>
          <w:rFonts w:ascii="Arial" w:hAnsi="Arial" w:cs="Arial"/>
          <w:sz w:val="24"/>
          <w:szCs w:val="24"/>
        </w:rPr>
        <w:t xml:space="preserve"> </w:t>
      </w:r>
      <w:r w:rsidRPr="00B261AF">
        <w:rPr>
          <w:rFonts w:ascii="Arial" w:hAnsi="Arial" w:cs="Arial"/>
          <w:sz w:val="24"/>
          <w:szCs w:val="24"/>
        </w:rPr>
        <w:t xml:space="preserve">(RMS) was the highest predictor, followed by each of the three spatial coordinates of the contacts. Measures of effective connectivity were all ranked in the top 50% of features for predictor strength. Notably, assumption-based waveform features, which are commonly used to characterize effective connectivity, had the lowest predictor strength. Figure 5c shows the average contact classification accuracy across cortical regions. Most regions had high classification accuracy. The </w:t>
      </w:r>
      <w:r w:rsidRPr="00B261AF">
        <w:rPr>
          <w:rFonts w:ascii="Arial" w:hAnsi="Arial" w:cs="Arial"/>
          <w:sz w:val="24"/>
          <w:szCs w:val="24"/>
        </w:rPr>
        <w:lastRenderedPageBreak/>
        <w:t>only regions with chance or less than chance accuracy were in the hippocampus and amygdala. Correctly classified contacts showed significantly higher RMS and Cohen’s d than incorrectly classified (Figure 5d; mean ±SD, correct RMS 0.49 ±0.72, incorrect RMS 0.32 ±0.31, Wilcoxon rank sum, α = 0.05, p &lt; 0.0001; correct Cohen’s d 0.21 ±0.45, incorrect Cohen’s d 0.11 ±0.27, p &lt; 0.0001). Correctly classified contacts were also shown proportionately greater significance than incorrectly classified contacts for both RMS and Cohen’s d (Figure 5e; correct RMS 18.0%, incorrect RMS 9.27%; correct Cohen’s d 26.0%, incorrect Cohen’s d 18.5%). While this trend demonstrates that statistical significance may play a role in representing effective connectivity, the overall classification accuracy across contacts was substantially higher than the proportion of significant contacts across conditions (15.8% of contacts significant for RMS, 24.4% of contacts significant for Cohen’s d).</w:t>
      </w:r>
    </w:p>
    <w:p w14:paraId="0860F8CB" w14:textId="1F9BF9A4" w:rsidR="00B52B3B" w:rsidRPr="00B261AF" w:rsidRDefault="00B52B3B" w:rsidP="00B52B3B">
      <w:pPr>
        <w:spacing w:line="276" w:lineRule="auto"/>
        <w:ind w:firstLine="720"/>
        <w:rPr>
          <w:rFonts w:ascii="Arial" w:hAnsi="Arial" w:cs="Arial"/>
          <w:sz w:val="24"/>
          <w:szCs w:val="24"/>
        </w:rPr>
      </w:pPr>
      <w:r w:rsidRPr="00B261AF">
        <w:rPr>
          <w:rFonts w:ascii="Arial" w:hAnsi="Arial" w:cs="Arial"/>
          <w:noProof/>
          <w:sz w:val="24"/>
          <w:szCs w:val="24"/>
        </w:rPr>
        <w:drawing>
          <wp:anchor distT="0" distB="0" distL="114300" distR="114300" simplePos="0" relativeHeight="251666432" behindDoc="0" locked="0" layoutInCell="1" allowOverlap="1" wp14:anchorId="206FB34D" wp14:editId="2D0B4790">
            <wp:simplePos x="0" y="0"/>
            <wp:positionH relativeFrom="column">
              <wp:posOffset>44823</wp:posOffset>
            </wp:positionH>
            <wp:positionV relativeFrom="paragraph">
              <wp:posOffset>0</wp:posOffset>
            </wp:positionV>
            <wp:extent cx="5943600" cy="4865370"/>
            <wp:effectExtent l="0" t="0" r="0" b="0"/>
            <wp:wrapSquare wrapText="bothSides"/>
            <wp:docPr id="1516160928"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0928" name="Picture 2" descr="A close-up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65370"/>
                    </a:xfrm>
                    <a:prstGeom prst="rect">
                      <a:avLst/>
                    </a:prstGeom>
                  </pic:spPr>
                </pic:pic>
              </a:graphicData>
            </a:graphic>
            <wp14:sizeRelH relativeFrom="page">
              <wp14:pctWidth>0</wp14:pctWidth>
            </wp14:sizeRelH>
            <wp14:sizeRelV relativeFrom="page">
              <wp14:pctHeight>0</wp14:pctHeight>
            </wp14:sizeRelV>
          </wp:anchor>
        </w:drawing>
      </w:r>
    </w:p>
    <w:p w14:paraId="1C696CB2" w14:textId="60744A52" w:rsidR="00B52B3B" w:rsidRPr="00B261AF" w:rsidRDefault="00B52B3B" w:rsidP="00B52B3B">
      <w:pPr>
        <w:spacing w:line="276" w:lineRule="auto"/>
        <w:ind w:firstLine="720"/>
        <w:rPr>
          <w:rFonts w:ascii="Arial" w:hAnsi="Arial" w:cs="Arial"/>
          <w:sz w:val="24"/>
          <w:szCs w:val="24"/>
        </w:rPr>
      </w:pPr>
    </w:p>
    <w:p w14:paraId="16E08996" w14:textId="3DC4D155" w:rsidR="00B52B3B" w:rsidRPr="00B261AF" w:rsidRDefault="00B52B3B" w:rsidP="00B52B3B">
      <w:pPr>
        <w:spacing w:line="276" w:lineRule="auto"/>
        <w:ind w:firstLine="720"/>
        <w:rPr>
          <w:rFonts w:ascii="Arial" w:hAnsi="Arial" w:cs="Arial"/>
          <w:sz w:val="24"/>
          <w:szCs w:val="24"/>
        </w:rPr>
      </w:pPr>
      <w:r w:rsidRPr="00B261AF">
        <w:rPr>
          <w:rFonts w:ascii="Arial" w:hAnsi="Arial" w:cs="Arial"/>
          <w:noProof/>
          <w:sz w:val="24"/>
          <w:szCs w:val="24"/>
        </w:rPr>
        <w:lastRenderedPageBreak/>
        <mc:AlternateContent>
          <mc:Choice Requires="wps">
            <w:drawing>
              <wp:anchor distT="0" distB="0" distL="114300" distR="114300" simplePos="0" relativeHeight="251667456" behindDoc="0" locked="0" layoutInCell="1" allowOverlap="1" wp14:anchorId="48584853" wp14:editId="418CF718">
                <wp:simplePos x="0" y="0"/>
                <wp:positionH relativeFrom="column">
                  <wp:posOffset>-27268</wp:posOffset>
                </wp:positionH>
                <wp:positionV relativeFrom="paragraph">
                  <wp:posOffset>-299</wp:posOffset>
                </wp:positionV>
                <wp:extent cx="5943600" cy="3926205"/>
                <wp:effectExtent l="0" t="0" r="0" b="3810"/>
                <wp:wrapSquare wrapText="bothSides"/>
                <wp:docPr id="1717545363" name="Text Box 1"/>
                <wp:cNvGraphicFramePr/>
                <a:graphic xmlns:a="http://schemas.openxmlformats.org/drawingml/2006/main">
                  <a:graphicData uri="http://schemas.microsoft.com/office/word/2010/wordprocessingShape">
                    <wps:wsp>
                      <wps:cNvSpPr txBox="1"/>
                      <wps:spPr>
                        <a:xfrm>
                          <a:off x="0" y="0"/>
                          <a:ext cx="5943600" cy="3926205"/>
                        </a:xfrm>
                        <a:prstGeom prst="rect">
                          <a:avLst/>
                        </a:prstGeom>
                        <a:solidFill>
                          <a:prstClr val="white"/>
                        </a:solidFill>
                        <a:ln>
                          <a:noFill/>
                        </a:ln>
                      </wps:spPr>
                      <wps:txbx>
                        <w:txbxContent>
                          <w:p w14:paraId="25FD9F70" w14:textId="77777777" w:rsidR="00B52B3B" w:rsidRPr="00B52B3B" w:rsidRDefault="00B52B3B" w:rsidP="00B52B3B">
                            <w:pPr>
                              <w:rPr>
                                <w:rFonts w:ascii="Arial" w:hAnsi="Arial" w:cs="Arial"/>
                                <w:sz w:val="18"/>
                                <w:szCs w:val="18"/>
                              </w:rPr>
                            </w:pPr>
                            <w:r w:rsidRPr="00B52B3B">
                              <w:rPr>
                                <w:rFonts w:ascii="Arial" w:hAnsi="Arial" w:cs="Arial"/>
                                <w:b/>
                                <w:bCs/>
                                <w:sz w:val="18"/>
                                <w:szCs w:val="18"/>
                              </w:rPr>
                              <w:t>Figure 5</w:t>
                            </w:r>
                            <w:r w:rsidRPr="00B52B3B">
                              <w:rPr>
                                <w:rFonts w:ascii="Arial" w:hAnsi="Arial" w:cs="Arial"/>
                                <w:b/>
                                <w:bCs/>
                                <w:i/>
                                <w:iCs/>
                                <w:sz w:val="18"/>
                                <w:szCs w:val="18"/>
                              </w:rPr>
                              <w:t>.</w:t>
                            </w:r>
                            <w:r w:rsidRPr="00B52B3B">
                              <w:rPr>
                                <w:rFonts w:ascii="Arial" w:hAnsi="Arial" w:cs="Arial"/>
                                <w:i/>
                                <w:iCs/>
                                <w:sz w:val="18"/>
                                <w:szCs w:val="18"/>
                              </w:rPr>
                              <w:t xml:space="preserve"> Assessing Feature Importance for Classifying Effective Connectivity to Cingulate Cortex Subregions.</w:t>
                            </w:r>
                            <w:r w:rsidRPr="00B52B3B">
                              <w:rPr>
                                <w:rFonts w:ascii="Arial" w:hAnsi="Arial" w:cs="Arial"/>
                                <w:sz w:val="18"/>
                                <w:szCs w:val="18"/>
                              </w:rPr>
                              <w:t xml:space="preserve"> </w:t>
                            </w:r>
                            <w:r w:rsidRPr="00B52B3B">
                              <w:rPr>
                                <w:rFonts w:ascii="Arial" w:hAnsi="Arial" w:cs="Arial"/>
                                <w:b/>
                                <w:bCs/>
                                <w:sz w:val="18"/>
                                <w:szCs w:val="18"/>
                              </w:rPr>
                              <w:t xml:space="preserve">(a) </w:t>
                            </w:r>
                            <w:r w:rsidRPr="00B52B3B">
                              <w:rPr>
                                <w:rFonts w:ascii="Arial" w:hAnsi="Arial" w:cs="Arial"/>
                                <w:sz w:val="18"/>
                                <w:szCs w:val="18"/>
                              </w:rPr>
                              <w:t xml:space="preserve">Confusion matrix evaluating the classification performance of a Random Forest Model trained to classify contacts by which cingulate cortex subregion was stimulated. </w:t>
                            </w:r>
                            <w:r w:rsidRPr="00B52B3B">
                              <w:rPr>
                                <w:rFonts w:ascii="Arial" w:hAnsi="Arial" w:cs="Arial"/>
                                <w:b/>
                                <w:bCs/>
                                <w:sz w:val="18"/>
                                <w:szCs w:val="18"/>
                              </w:rPr>
                              <w:t>(b)</w:t>
                            </w:r>
                            <w:r w:rsidRPr="00B52B3B">
                              <w:rPr>
                                <w:rFonts w:ascii="Arial" w:hAnsi="Arial" w:cs="Arial"/>
                                <w:sz w:val="18"/>
                                <w:szCs w:val="18"/>
                              </w:rPr>
                              <w:t xml:space="preserve"> Predictive strength of input features in classifying which cingulate subregion was stimulated, indicating the impact of each feature on the classification model after random permutation. Features were divided into six feature classes: effective connectivity features, spatial features, assumption-free waveform features, evoked gamma features, temporal features, and assumption-based waveform features. Features (in descending order of predictor strength) included CCEP amplitude as root-mean-squared (RMS), anterior-posterior contact position (AP), superior-inferior contact position (SI), left-right contact position (LR), mean CCEP coherence (Mean Coherence), peak broadband CCEP magnitude (Peak Mag.), CCEP coherence as Cohen’s d (Cohen’s d), third angle of the broadband CCEP waveform (Angle 3), peak broadband gamma response magnitude (Peak Gamma), first angle of the broadband CCEP morphology (Angle 1), average magnitude of the broadband gamma response (Gamma Mag.), difference between the variance of the baseline and CCEP coherence distributions (Var. Coherence), average coherence of the baseline coherence distribution (Base. Coherence), gamma response as Spearman’s rho (Gamma Response), latency of the peak broadband CCEP magnitude (Peak Latency), second angle of the broadband CCEP waveform (Angle 2), latency of the third angle of the CCEP waveform (Angle 3 Onset), latency of the second angle of the CCEP waveform (Angle 2 Onset), latency of the first angle of the CCEP waveform (Angle 1 Onset), latency of the broadband CCEP waveform onset detected using the first derivative of the broadband magnitude (Response Latency), latency of the broadband CCEP waveform onset detected using the broadband magnitude (Response Start Time), latency of the peak evoked gamma response (Gamma Peak Latency), latency of the broadband CCEP waveform offset (Response Offset), angle of the CCEP waveform response onset (First Angle), duration of CCEP calculated from the magnitude of the broadband CCEP waveform (Response Duration), duration of evoked gamma response (Gamma Duration), latency of the evoked gamma response onset (Gamma Latency), angle of the CCEP waveform response offset (Last Angle), evoked gamma response offset (Gamma Offset), N2 peak amplitude (N2 Amplitude), N2 peak prominence (N2 Prominence), N2 peak width (N2 Width), N1 peak amplitude (N1 Amplitude), N1peak prominence (N1 Prominence), N1 peak width (N1 Width). </w:t>
                            </w:r>
                            <w:r w:rsidRPr="00B52B3B">
                              <w:rPr>
                                <w:rFonts w:ascii="Arial" w:hAnsi="Arial" w:cs="Arial"/>
                                <w:b/>
                                <w:bCs/>
                                <w:sz w:val="18"/>
                                <w:szCs w:val="18"/>
                              </w:rPr>
                              <w:t xml:space="preserve">(c) </w:t>
                            </w:r>
                            <w:r w:rsidRPr="00B52B3B">
                              <w:rPr>
                                <w:rFonts w:ascii="Arial" w:hAnsi="Arial" w:cs="Arial"/>
                                <w:sz w:val="18"/>
                                <w:szCs w:val="18"/>
                              </w:rPr>
                              <w:t xml:space="preserve">Classification accuracy expressed as a percentage of contacts correctly classified for each brain region, across brain regions. </w:t>
                            </w:r>
                            <w:r w:rsidRPr="00B52B3B">
                              <w:rPr>
                                <w:rFonts w:ascii="Arial" w:hAnsi="Arial" w:cs="Arial"/>
                                <w:b/>
                                <w:bCs/>
                                <w:sz w:val="18"/>
                                <w:szCs w:val="18"/>
                              </w:rPr>
                              <w:t>(d)</w:t>
                            </w:r>
                            <w:r w:rsidRPr="00B52B3B">
                              <w:rPr>
                                <w:rFonts w:ascii="Arial" w:hAnsi="Arial" w:cs="Arial"/>
                                <w:sz w:val="18"/>
                                <w:szCs w:val="18"/>
                              </w:rPr>
                              <w:t xml:space="preserve"> Comparison of primary effective connectivity measures, RMS, and Cohen’s d between correctly and incorrectly classified contacts (Wilcoxon rank sum test, α = 0.05, *** p &lt; 0.001). </w:t>
                            </w:r>
                            <w:r w:rsidRPr="00B52B3B">
                              <w:rPr>
                                <w:rFonts w:ascii="Arial" w:hAnsi="Arial" w:cs="Arial"/>
                                <w:b/>
                                <w:bCs/>
                                <w:sz w:val="18"/>
                                <w:szCs w:val="18"/>
                              </w:rPr>
                              <w:t>(e)</w:t>
                            </w:r>
                            <w:r w:rsidRPr="00B52B3B">
                              <w:rPr>
                                <w:rFonts w:ascii="Arial" w:hAnsi="Arial" w:cs="Arial"/>
                                <w:sz w:val="18"/>
                                <w:szCs w:val="18"/>
                              </w:rPr>
                              <w:t xml:space="preserve"> Differences in the percentage of significant contacts for correctly and incorrectly classified contacts across primary effective connectivity measures. </w:t>
                            </w:r>
                          </w:p>
                          <w:p w14:paraId="0DDA5D10" w14:textId="77777777" w:rsidR="00B52B3B" w:rsidRPr="003F2BA3" w:rsidRDefault="00B52B3B" w:rsidP="00B52B3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584853" id="_x0000_s1030" type="#_x0000_t202" style="position:absolute;left:0;text-align:left;margin-left:-2.15pt;margin-top:0;width:468pt;height:309.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" stroked="f">
                <v:textbox inset="0,0,0,0">
                  <w:txbxContent>
                    <w:p w14:paraId="25FD9F70" w14:textId="77777777" w:rsidR="00B52B3B" w:rsidRPr="00B52B3B" w:rsidRDefault="00B52B3B" w:rsidP="00B52B3B">
                      <w:pPr>
                        <w:rPr>
                          <w:rFonts w:ascii="Arial" w:hAnsi="Arial" w:cs="Arial"/>
                          <w:sz w:val="18"/>
                          <w:szCs w:val="18"/>
                        </w:rPr>
                      </w:pPr>
                      <w:r w:rsidRPr="00B52B3B">
                        <w:rPr>
                          <w:rFonts w:ascii="Arial" w:hAnsi="Arial" w:cs="Arial"/>
                          <w:b/>
                          <w:bCs/>
                          <w:sz w:val="18"/>
                          <w:szCs w:val="18"/>
                        </w:rPr>
                        <w:t>Figure 5</w:t>
                      </w:r>
                      <w:r w:rsidRPr="00B52B3B">
                        <w:rPr>
                          <w:rFonts w:ascii="Arial" w:hAnsi="Arial" w:cs="Arial"/>
                          <w:b/>
                          <w:bCs/>
                          <w:i/>
                          <w:iCs/>
                          <w:sz w:val="18"/>
                          <w:szCs w:val="18"/>
                        </w:rPr>
                        <w:t>.</w:t>
                      </w:r>
                      <w:r w:rsidRPr="00B52B3B">
                        <w:rPr>
                          <w:rFonts w:ascii="Arial" w:hAnsi="Arial" w:cs="Arial"/>
                          <w:i/>
                          <w:iCs/>
                          <w:sz w:val="18"/>
                          <w:szCs w:val="18"/>
                        </w:rPr>
                        <w:t xml:space="preserve"> Assessing Feature Importance for Classifying Effective Connectivity to Cingulate Cortex Subregions.</w:t>
                      </w:r>
                      <w:r w:rsidRPr="00B52B3B">
                        <w:rPr>
                          <w:rFonts w:ascii="Arial" w:hAnsi="Arial" w:cs="Arial"/>
                          <w:sz w:val="18"/>
                          <w:szCs w:val="18"/>
                        </w:rPr>
                        <w:t xml:space="preserve"> </w:t>
                      </w:r>
                      <w:r w:rsidRPr="00B52B3B">
                        <w:rPr>
                          <w:rFonts w:ascii="Arial" w:hAnsi="Arial" w:cs="Arial"/>
                          <w:b/>
                          <w:bCs/>
                          <w:sz w:val="18"/>
                          <w:szCs w:val="18"/>
                        </w:rPr>
                        <w:t xml:space="preserve">(a) </w:t>
                      </w:r>
                      <w:r w:rsidRPr="00B52B3B">
                        <w:rPr>
                          <w:rFonts w:ascii="Arial" w:hAnsi="Arial" w:cs="Arial"/>
                          <w:sz w:val="18"/>
                          <w:szCs w:val="18"/>
                        </w:rPr>
                        <w:t xml:space="preserve">Confusion matrix evaluating the classification performance of a Random Forest Model trained to classify contacts by which cingulate cortex subregion was stimulated. </w:t>
                      </w:r>
                      <w:r w:rsidRPr="00B52B3B">
                        <w:rPr>
                          <w:rFonts w:ascii="Arial" w:hAnsi="Arial" w:cs="Arial"/>
                          <w:b/>
                          <w:bCs/>
                          <w:sz w:val="18"/>
                          <w:szCs w:val="18"/>
                        </w:rPr>
                        <w:t>(b)</w:t>
                      </w:r>
                      <w:r w:rsidRPr="00B52B3B">
                        <w:rPr>
                          <w:rFonts w:ascii="Arial" w:hAnsi="Arial" w:cs="Arial"/>
                          <w:sz w:val="18"/>
                          <w:szCs w:val="18"/>
                        </w:rPr>
                        <w:t xml:space="preserve"> Predictive strength of input features in classifying which cingulate subregion was stimulated, indicating the impact of each feature on the classification model after random permutation. Features were divided into six feature classes: effective connectivity features, spatial features, assumption-free waveform features, evoked gamma features, temporal features, and assumption-based waveform features. Features (in descending order of predictor strength) included CCEP amplitude as root-mean-squared (RMS), anterior-posterior contact position (AP), superior-inferior contact position (SI), left-right contact position (LR), mean CCEP coherence (Mean Coherence), peak broadband CCEP magnitude (Peak Mag.), CCEP coherence as Cohen’s d (Cohen’s d), third angle of the broadband CCEP waveform (Angle 3), peak broadband gamma response magnitude (Peak Gamma), first angle of the broadband CCEP morphology (Angle 1), average magnitude of the broadband gamma response (Gamma Mag.), difference between the variance of the baseline and CCEP coherence distributions (Var. Coherence), average coherence of the baseline coherence distribution (Base. Coherence), gamma response as Spearman’s rho (Gamma Response), latency of the peak broadband CCEP magnitude (Peak Latency), second angle of the broadband CCEP waveform (Angle 2), latency of the third angle of the CCEP waveform (Angle 3 Onset), latency of the second angle of the CCEP waveform (Angle 2 Onset), latency of the first angle of the CCEP waveform (Angle 1 Onset), latency of the broadband CCEP waveform onset detected using the first derivative of the broadband magnitude (Response Latency), latency of the broadband CCEP waveform onset detected using the broadband magnitude (Response Start Time), latency of the peak evoked gamma response (Gamma Peak Latency), latency of the broadband CCEP waveform offset (Response Offset), angle of the CCEP waveform response onset (First Angle), duration of CCEP calculated from the magnitude of the broadband CCEP waveform (Response Duration), duration of evoked gamma response (Gamma Duration), latency of the evoked gamma response onset (Gamma Latency), angle of the CCEP waveform response offset (Last Angle), evoked gamma response offset (Gamma Offset), N2 peak amplitude (N2 Amplitude), N2 peak prominence (N2 Prominence), N2 peak width (N2 Width), N1 peak amplitude (N1 Amplitude), N1peak prominence (N1 Prominence), N1 peak width (N1 Width). </w:t>
                      </w:r>
                      <w:r w:rsidRPr="00B52B3B">
                        <w:rPr>
                          <w:rFonts w:ascii="Arial" w:hAnsi="Arial" w:cs="Arial"/>
                          <w:b/>
                          <w:bCs/>
                          <w:sz w:val="18"/>
                          <w:szCs w:val="18"/>
                        </w:rPr>
                        <w:t xml:space="preserve">(c) </w:t>
                      </w:r>
                      <w:r w:rsidRPr="00B52B3B">
                        <w:rPr>
                          <w:rFonts w:ascii="Arial" w:hAnsi="Arial" w:cs="Arial"/>
                          <w:sz w:val="18"/>
                          <w:szCs w:val="18"/>
                        </w:rPr>
                        <w:t xml:space="preserve">Classification accuracy expressed as a percentage of contacts correctly classified for each brain region, across brain regions. </w:t>
                      </w:r>
                      <w:r w:rsidRPr="00B52B3B">
                        <w:rPr>
                          <w:rFonts w:ascii="Arial" w:hAnsi="Arial" w:cs="Arial"/>
                          <w:b/>
                          <w:bCs/>
                          <w:sz w:val="18"/>
                          <w:szCs w:val="18"/>
                        </w:rPr>
                        <w:t>(d)</w:t>
                      </w:r>
                      <w:r w:rsidRPr="00B52B3B">
                        <w:rPr>
                          <w:rFonts w:ascii="Arial" w:hAnsi="Arial" w:cs="Arial"/>
                          <w:sz w:val="18"/>
                          <w:szCs w:val="18"/>
                        </w:rPr>
                        <w:t xml:space="preserve"> Comparison of primary effective connectivity measures, RMS, and Cohen’s d between correctly and incorrectly classified contacts (Wilcoxon rank sum test, α = 0.05, *** p &lt; 0.001). </w:t>
                      </w:r>
                      <w:r w:rsidRPr="00B52B3B">
                        <w:rPr>
                          <w:rFonts w:ascii="Arial" w:hAnsi="Arial" w:cs="Arial"/>
                          <w:b/>
                          <w:bCs/>
                          <w:sz w:val="18"/>
                          <w:szCs w:val="18"/>
                        </w:rPr>
                        <w:t>(e)</w:t>
                      </w:r>
                      <w:r w:rsidRPr="00B52B3B">
                        <w:rPr>
                          <w:rFonts w:ascii="Arial" w:hAnsi="Arial" w:cs="Arial"/>
                          <w:sz w:val="18"/>
                          <w:szCs w:val="18"/>
                        </w:rPr>
                        <w:t xml:space="preserve"> Differences in the percentage of significant contacts for correctly and incorrectly classified contacts across primary effective connectivity measures. </w:t>
                      </w:r>
                    </w:p>
                    <w:p w14:paraId="0DDA5D10" w14:textId="77777777" w:rsidR="00B52B3B" w:rsidRPr="003F2BA3" w:rsidRDefault="00B52B3B" w:rsidP="00B52B3B">
                      <w:pPr>
                        <w:pStyle w:val="Caption"/>
                        <w:rPr>
                          <w:noProof/>
                        </w:rPr>
                      </w:pPr>
                    </w:p>
                  </w:txbxContent>
                </v:textbox>
                <w10:wrap type="square"/>
              </v:shape>
            </w:pict>
          </mc:Fallback>
        </mc:AlternateContent>
      </w:r>
    </w:p>
    <w:p w14:paraId="566DDB43" w14:textId="61E05B7E" w:rsidR="00B52B3B" w:rsidRPr="00B261AF" w:rsidRDefault="00B261AF" w:rsidP="00B52B3B">
      <w:pPr>
        <w:pBdr>
          <w:top w:val="nil"/>
          <w:left w:val="nil"/>
          <w:bottom w:val="nil"/>
          <w:right w:val="nil"/>
          <w:between w:val="nil"/>
        </w:pBdr>
        <w:spacing w:line="276" w:lineRule="auto"/>
        <w:contextualSpacing/>
        <w:rPr>
          <w:rFonts w:ascii="Arial" w:hAnsi="Arial" w:cs="Arial"/>
          <w:color w:val="000000"/>
          <w:sz w:val="24"/>
          <w:szCs w:val="24"/>
        </w:rPr>
      </w:pPr>
      <w:r w:rsidRPr="00B261AF">
        <w:rPr>
          <w:rFonts w:ascii="Arial" w:hAnsi="Arial" w:cs="Arial"/>
          <w:b/>
          <w:color w:val="000000"/>
          <w:sz w:val="24"/>
          <w:szCs w:val="24"/>
        </w:rPr>
        <w:t xml:space="preserve">4 </w:t>
      </w:r>
      <w:r w:rsidR="00B52B3B" w:rsidRPr="00B261AF">
        <w:rPr>
          <w:rFonts w:ascii="Arial" w:hAnsi="Arial" w:cs="Arial"/>
          <w:b/>
          <w:color w:val="000000"/>
          <w:sz w:val="24"/>
          <w:szCs w:val="24"/>
        </w:rPr>
        <w:t xml:space="preserve">Discussion </w:t>
      </w:r>
    </w:p>
    <w:p w14:paraId="4F818CF4" w14:textId="77777777" w:rsidR="00B52B3B" w:rsidRPr="00B261AF" w:rsidRDefault="00B52B3B" w:rsidP="00B52B3B">
      <w:pPr>
        <w:pBdr>
          <w:top w:val="nil"/>
          <w:left w:val="nil"/>
          <w:bottom w:val="nil"/>
          <w:right w:val="nil"/>
          <w:between w:val="nil"/>
        </w:pBdr>
        <w:spacing w:after="0" w:line="276" w:lineRule="auto"/>
        <w:contextualSpacing/>
        <w:rPr>
          <w:rFonts w:ascii="Arial" w:hAnsi="Arial" w:cs="Arial"/>
          <w:color w:val="000000"/>
          <w:sz w:val="24"/>
          <w:szCs w:val="24"/>
        </w:rPr>
      </w:pPr>
    </w:p>
    <w:p w14:paraId="380950E5"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Our study presents a multi-modal effective connectivity profile of the human Cg modeled using invasive SPES of 15 resection-free human patients with refractory epilepsy. The present study provides direct evidence of the differential topographical organization of the ACC, MCC, and PCC effective networks. We demonstrate a clear spatial organization of these networks, specifically along an anterior-posterior axis, which mirrors anatomical organization. We also revealed the differential hierarchical organization of effective networks, as defined by CCEP morphology. Further, by extracting and comparing several statistical features of CCEPs, we confirm that effective connectivity is measurement-dependent and that conventional methods, such as response magnitude, are not sufficient in fully characterizing effective networks or detecting connections to stimulated regions. </w:t>
      </w:r>
    </w:p>
    <w:p w14:paraId="58713C61" w14:textId="575F9F6B"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quantified effective connectivity with two complementary metrics: CCEP magnitude, which captures the strength of connection (and is widely used in the literature), and CCEP coherence, which measures the consistency of the evoked waveform to stimulation. While CCEP magnitude is a suitable measure for identifying responses based on the strength of connection, CCEP coherence serves as a measure of response waveform morphological consistency or heterogeneity. This measure is an </w:t>
      </w:r>
      <w:r w:rsidRPr="00B261AF">
        <w:rPr>
          <w:rFonts w:ascii="Arial" w:hAnsi="Arial" w:cs="Arial"/>
          <w:sz w:val="24"/>
          <w:szCs w:val="24"/>
        </w:rPr>
        <w:lastRenderedPageBreak/>
        <w:t xml:space="preserve">alternative to isolating the most common components of evoked waveforms, which is critical to understanding highly specific interactions between regions, especially in hypothesis-preselected CCEP studies supported by basis profiling and canonical response parameterization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{"citationID":"AsvOKK1d","properties":{"formattedCitation":"(Miller et al., 2021, 2023)","plainCitation":"(Miller et al., 2021, 2023)","noteIndex":0},"citationItems":[{"id":3036,"uris":["http://zotero.org/users/7023408/items/CUSVQH4H"],"itemData":{"id":3036,"type":"article-journal","abstract":"Brain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(Miller et al., 2021, 2023)</w:t>
      </w:r>
      <w:r w:rsidRPr="00B261AF">
        <w:rPr>
          <w:rFonts w:ascii="Arial" w:hAnsi="Arial" w:cs="Arial"/>
          <w:sz w:val="24"/>
          <w:szCs w:val="24"/>
        </w:rPr>
        <w:fldChar w:fldCharType="end"/>
      </w:r>
      <w:r w:rsidRPr="00B261AF">
        <w:rPr>
          <w:rFonts w:ascii="Arial" w:hAnsi="Arial" w:cs="Arial"/>
          <w:sz w:val="24"/>
          <w:szCs w:val="24"/>
        </w:rPr>
        <w:t xml:space="preserve">. We instead leverage this metric of coherence to represent the diversity of observed waveform morphology at sites effectively connected to the stimulated target, which better serves comparisons of whole-network profiles. If effective connectivity can be defined as the influence that one neuronal population exerts over another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{"citationID":"fwWEkCzf","properties":{"formattedCitation":"(Friston, 2011)","plainCitation":"(Friston, 2011)","noteIndex":0},"citationItems":[{"id":4269,"uris":["http://zotero.org/users/7023408/items/6IM4DBTS"],"itemData":{"id":4269,"type":"article-journal","abstract":"Over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(Friston, 2011)</w:t>
      </w:r>
      <w:r w:rsidRPr="00B261AF">
        <w:rPr>
          <w:rFonts w:ascii="Arial" w:hAnsi="Arial" w:cs="Arial"/>
          <w:sz w:val="24"/>
          <w:szCs w:val="24"/>
        </w:rPr>
        <w:fldChar w:fldCharType="end"/>
      </w:r>
      <w:r w:rsidRPr="00B261AF">
        <w:rPr>
          <w:rFonts w:ascii="Arial" w:hAnsi="Arial" w:cs="Arial"/>
          <w:sz w:val="24"/>
          <w:szCs w:val="24"/>
        </w:rPr>
        <w:t xml:space="preserve">, then the morphological changes in LFP following SPES provide insight into the function and physiological mechanisms related to how the stimulation site communicates with downstream regions. Thus, this measure represents the diversity of accessible signaling or communication between effectively connected regions. </w:t>
      </w:r>
    </w:p>
    <w:p w14:paraId="0B263141" w14:textId="00D5763C"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By implementing CCEP coherence as a measure of effective connectivity, we were able to detect changes not only in the magnitude of the LFP, but also in how uniformly that response’s morphology is reproduced across stimulation events. This measure’s utility was evident when defining effective connections from the Cg subregions to the hippocampus. We found that several hippocampal subregions showed significant effective connectivity when using CCEP coherence, but not when using CCEP magnitude. This result may reflect highly variable hippocampal activity (e.g., sharp-wave ripples), which prevent detectible quantitative changes in LFP magnitude after stimulation, or unique stimulation-induced changes in LFP morphology due to the geometric relationship between recording electrodes and the hippocampus’s curved anatomical structure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{"citationID":"qgKZ1Q4N","properties":{"formattedCitation":"(Kokkinos, 2024; Liu et al., 2022)","plainCitation":"(Kokkinos, 2024; Liu et al., 2022)","noteIndex":0},"citationItems":[{"id":4272,"uris":["http://zotero.org/users/7023408/items/S82L84GI"],"itemData":{"id":4272,"type":"article-journal","abstract":"Decades of rodent research have established the role of hippocampal sharp wave ripples (SPW-Rs) in consolidating and guiding experience. More recently, intracranial recordings in humans have suggested their role in episodic and semantic memory. Yet, common standards for recording, detection, and reporting do not exist. Here, we outline the methodological challenges involved in detecting ripple events and offer practical recommendations to improve separation from other high-frequency oscillations. We argue that shared experimental, detection, and reporting standards will provide a solid foundation for future translational discovery.","container-title":"Nature Communications","DOI":"10.1038/s41467-022-33536-x","ISSN":"2041-1723","issue":"1","journalAbbreviation":"Nat Commun","language":"en","license":"2022 The Author(s)","page":"6000","source":"www.nature.com","title":"A consensus statement on detection of hippocampal sharp wave ripples and differentiation from other fast oscillations","volume":"13","author":[{"family":"Liu","given":"Anli A."},{"family":"Henin","given":"Simon"},{"family":"Abbaspoor","given":"Saman"},{"family":"Bragin","given":"Anatol"},{"family":"Buffalo","given":"Elizabeth A."},{"family":"Farrell","given":"Jordan S."},{"family":"Foster","given":"David J."},{"family":"Frank","given":"Loren M."},{"family":"Gedankien","given":"Tamara"},{"family":"Gotman","given":"Jean"},{"family":"Guidera","given":"Jennifer A."},{"family":"Hoffman","given":"Kari L."},{"family":"Jacobs","given":"Joshua"},{"family":"Kahana","given":"Michael J."},{"family":"Li","given":"Lin"},{"family":"Liao","given":"Zhenrui"},{"family":"Lin","given":"Jack J."},{"family":"Losonczy","given":"Attila"},{"family":"Malach","given":"Rafael"},{"family":"Meer","given":"Matthijs A.","non-dropping-particle":"van der"},{"family":"McClain","given":"Kathryn"},{"family":"McNaughton","given":"Bruce L."},{"family":"Norman","given":"Yitzhak"},{"family":"Navas-Olive","given":"Andrea"},{"family":"Prida","given":"Liset M.","non-dropping-particle":"de la"},{"family":"Rueckemann","given":"Jon W."},{"family":"Sakon","given":"John J."},{"family":"Skelin","given":"Ivan"},{"family":"Soltesz","given":"Ivan"},{"family":"Staresina","given":"Bernhard P."},{"family":"Weiss","given":"Shennan A."},{"family":"Wilson","given":"Matthew A."},{"family":"Zaghloul","given":"Kareem A."},{"family":"Zugaro","given":"Michaël"},{"family":"Buzsáki","given":"György"}],"issued":{"date-parts":[["2022",10,12]]},"citation-key":"liuConsensusStatementDetection2022"}},{"id":4273,"uris":["http://zotero.org/users/7023408/items/6RYDX8Z8"],"itemData":{"id":4273,"type":"article-journal","abstract":"Understanding and discriminating the normal and abnormal elements of the intracranial electroencephalogram (iEEG) is essential in decision-making for epilepsy surgery. The hippocampus is widely acknowledged as a key structure in decision-making processes for surgical treatment in temporal lobe epilepsy and epilepsies that involve the mesial temporal structures. This review will provide a summary of the current state of our knowledge and understanding regarding normal and abnormal features of the iEEG of the human hippocampus.","container-title":"Neurosurgery Clinics of North America","DOI":"10.1016/j.nec.2023.08.004","ISSN":"1558-1349","issue":"1","journalAbbreviation":"Neurosurg Clin N Am","language":"eng","note":"PMID: 38000843","page":"73-82","source":"PubMed","title":"Interpretation of the Intracranial Electroencephalogram of the Human Hippocampus","volume":"35","author":[{"family":"Kokkinos","given":"Vasileios"}],"issued":{"date-parts":[["2024",1]]},"citation-key":"kokkinosInterpretationIntracranialElectroencephalogram2024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(Kokkinos, 2024; Liu et al., 2022)</w:t>
      </w:r>
      <w:r w:rsidRPr="00B261AF">
        <w:rPr>
          <w:rFonts w:ascii="Arial" w:hAnsi="Arial" w:cs="Arial"/>
          <w:sz w:val="24"/>
          <w:szCs w:val="24"/>
        </w:rPr>
        <w:fldChar w:fldCharType="end"/>
      </w:r>
      <w:r w:rsidRPr="00B261AF">
        <w:rPr>
          <w:rFonts w:ascii="Arial" w:hAnsi="Arial" w:cs="Arial"/>
          <w:sz w:val="24"/>
          <w:szCs w:val="24"/>
        </w:rPr>
        <w:t>. This indicates that while the magnitude of the LFP after stimulation was not statistically different from pre-stimulation, changes in CCEP morphological characteristics were detectable through our CCEP coherence metric.</w:t>
      </w:r>
    </w:p>
    <w:p w14:paraId="533C4030" w14:textId="7C242B25"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Our models of Cg effective connectivity showed widespread connections with prominent responses in areas coinciding with previous literature. The ACC showed predominant connections to orbito-frontal, frontal, mesial temporal, temporal, and insular structures, reproducing previous stimulation studies and supporting functional and anatomical literature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{"citationID":"KHn5HioZ","properties":{"formattedCitation":"(Oane et al., 2020, 2022)","plainCitation":"(Oane et al., 2020, 2022)","noteIndex":0},"citationItems":[{"id":3364,"uris":["http://zotero.org/users/7023408/items/S35QUQE3"],"itemData":{"id":3364,"type":"article-journal","abstract":"The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Oane</w:t>
      </w:r>
      <w:proofErr w:type="spellEnd"/>
      <w:r w:rsidR="00B261AF">
        <w:rPr>
          <w:rFonts w:ascii="Arial" w:hAnsi="Arial" w:cs="Arial"/>
          <w:sz w:val="24"/>
          <w:szCs w:val="24"/>
        </w:rPr>
        <w:t xml:space="preserve"> et al., 2020, 2022)</w:t>
      </w:r>
      <w:r w:rsidRPr="00B261AF">
        <w:rPr>
          <w:rFonts w:ascii="Arial" w:hAnsi="Arial" w:cs="Arial"/>
          <w:sz w:val="24"/>
          <w:szCs w:val="24"/>
        </w:rPr>
        <w:fldChar w:fldCharType="end"/>
      </w:r>
      <w:r w:rsidRPr="00B261AF">
        <w:rPr>
          <w:rFonts w:ascii="Arial" w:hAnsi="Arial" w:cs="Arial"/>
          <w:sz w:val="24"/>
          <w:szCs w:val="24"/>
        </w:rPr>
        <w:t xml:space="preserve">. Interestingly, of all three stimulation conditions, the ACC was the only subregion to show significant connections to the superior temporal gyrus, possibly reflecting the ACC’s top-down attentional and conflict-monitoring modulation of auditory and language processing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{"citationID":"QlFzWwpg","properties":{"formattedCitation":"(Anbuhl et al., 2023; van Veen et al., 2001)","plainCitation":"(Anbuhl et al., 2023; van Veen et al., 2001)","noteIndex":0},"citationItems":[{"id":4283,"uris":["http://zotero.org/users/7023408/items/VB63KAP3"],"itemData":{"id":4283,"type":"article-journal","abstract":"It has been hypothesized that the anterior cingulate cortex (ACC) contributes to cognition by detecting conflicts that might occur during information processing, to signal the need to engage top-down attentional processes. The present study was designed to investigate which levels of processing are being monitored by the ACC for the presence of conflict. Event-related fMRI was used to measure the response of the ACC during an interference task in which distracting information could be congruent, conflicting at the level of stimulus identification, or conflicting at the response level. Although both types of conflict caused reaction time interference, the fMRI data showed that the ACC is responsive only to response conflict, even when controlling for reaction times. These results suggest a highly specific contribution of the ACC to executive functions, through the detection of conflicts occurring at later or response-related levels of processing.","container-title":"NeuroImage","DOI":"10.1006/nimg.2001.0923","ISSN":"1053-8119","issue":"6","journalAbbreviation":"Neuroimage","language":"eng","note":"PMID: 11707086","page":"1302-1308","source":"PubMed","title":"Anterior cingulate cortex, conflict monitoring, and levels of processing","volume":"14","author":[{"family":"Veen","given":"V.","non-dropping-particle":"van"},{"family":"Cohen","given":"J. D."},{"family":"Botvinick","given":"M. M."},{"family":"Stenger","given":"V. A."},{"family":"Carter","given":"C. S."}],"issued":{"date-parts":[["2001",12]]},"citation-key":"vanveenAnteriorCingulateCortex2001"}},{"id":4284,"uris":["http://zotero.org/users/7023408/items/WC7HJ5HG"],"itemData":{"id":4284,"type":"article-journal","abstract":"We often exert greater cognitive resources (i.e., listening effort) to understand speech under challenging acoustic conditions. This mechanism can be overwhelmed in those with hearing loss, resulting in cognitive fatigue in adults, and potentially impeding language acquisition in children. However, the neural mechanisms that support listening effort are uncertain. Evidence from human studies suggest that the cingulate cortex is engaged under difficult listening conditions, and may exert top-down modulation of the auditory cortex (AC). Here, we asked whether the gerbil cingulate cortex (Cg) sends anatomical projections to the AC that facilitate perceptual performance. To model challenging listening conditions, we used a sound discrimination task in which stimulus parameters were presented in either 'Easy' or 'Hard' blocks (i.e., long or short stimulus duration, respectively). Gerbils achieved statistically identical psychometric performance in Easy and Hard blocks. Anatomical tracing experiments revealed a strong, descending projection from layer 2/3 of the Cg1 subregion of the cingulate cortex to superficial and deep layers of primary and dorsal AC. To determine whether Cg improves task performance under challenging conditions, we bilaterally infused muscimol to inactivate Cg1, and found that psychometric thresholds were degraded for only Hard blocks. To test whether the Cg-to-AC projection facilitates task performance, we chemogenetically inactivated these inputs and found that performance was only degraded during Hard blocks. Taken together, the results reveal a descending cortical pathway that facilitates perceptual performance during challenging listening conditions.\nSIGNIFICANCE STATEMENT: Sensory perception often occurs under challenging conditions, such a noisy background or dim environment, yet stimulus sensitivity can remain unaffected. One hypothesis is that cognitive resources are recruited to the task, thereby facilitating perceptual performance. Here, we identify a top-down cortical circuit, from cingulate to auditory cortex in the gerbils, that supports auditory perceptual performance under challenging listening conditions. This pathway is a plausible circuit that supports effortful listening, and may be degraded by hearing loss.","container-title":"bioRxiv: The Preprint Server for Biology","DOI":"10.1101/2023.11.10.566668","ISSN":"2692-8205","journalAbbreviation":"bioRxiv","language":"eng","note":"PMID: 38014324\nPMCID: PMC10680599","page":"2023.11.10.566668","source":"PubMed","title":"Cingulate cortex facilitates auditory perception under challenging listening conditions","author":[{"family":"Anbuhl","given":"Kelsey L."},{"family":"Diez Castro","given":"Marielisa"},{"family":"Lee","given":"Nikki A."},{"family":"Lee","given":"Vivian S."},{"family":"Sanes","given":"Dan H."}],"issued":{"date-parts":[["2023",11,14]]},"citation-key":"anbuhlCingulateCortexFacilitates2023"}}],"schema":"https://github.com/citation-style-language/schema/raw/master/csl-citation.json"}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Anbuhl</w:t>
      </w:r>
      <w:proofErr w:type="spellEnd"/>
      <w:r w:rsidR="00B261AF">
        <w:rPr>
          <w:rFonts w:ascii="Arial" w:hAnsi="Arial" w:cs="Arial"/>
          <w:sz w:val="24"/>
          <w:szCs w:val="24"/>
        </w:rPr>
        <w:t xml:space="preserve"> et al., 2023; van Veen et al., 2001)</w:t>
      </w:r>
      <w:r w:rsidRPr="00B261AF">
        <w:rPr>
          <w:rFonts w:ascii="Arial" w:hAnsi="Arial" w:cs="Arial"/>
          <w:sz w:val="24"/>
          <w:szCs w:val="24"/>
        </w:rPr>
        <w:fldChar w:fldCharType="end"/>
      </w:r>
      <w:r w:rsidRPr="00B261AF">
        <w:rPr>
          <w:rFonts w:ascii="Arial" w:hAnsi="Arial" w:cs="Arial"/>
          <w:sz w:val="24"/>
          <w:szCs w:val="24"/>
        </w:rPr>
        <w:t xml:space="preserve">. While functional and anatomical links between these two regions have been noted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{"citationID":"IfhPuOIE","properties":{"formattedCitation":"(Harada et al., 2018; Oane et al., 2022; Schmithorst et al., 2011)","plainCitation":"(Harada et al., 2018; Oane et al., 2022; Schmithorst et al., 2011)","noteIndex":0},"citationItems":[{"id":3368,"uris":["http://zotero.org/users/7023408/items/9NJXW7ZV"],"itemData":{"id":3368,"type":"article-journal","abstract":"Summary: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Connectivity"}},{"id":4281,"uris":["http://zotero.org/users/7023408/items/E36PW4XZ"],"itemData":{"id":4281,"type":"article-journal","abstract":"Patients with later-life depression (LLD) show abnormal gray matter (GM) volume, white matter (WM) integrity and functional connectivity in the anterior cingulate cortex (ACC) and posterior superior temporal gyrus (pSTG), but it remains unclear whether these abnormalities persist over time. We examined whether structural and functional abnormalities in these two regions are present within the same subjects during depressed vs. remitted phases. Sixteen patients with LLD and 30 healthy subjects were studied over a period of 1.5 years. Brain images obtained with a 3-Tesla magnetic resonance imaging (MRI) system were analyzed by voxel-based morphometry of the GM volume, and diffusion tensor imaging (DTI) and resting-state functional MRI were used to assess ACC-pSTG connectivity. Patients with LLD in the depressed and remitted phases showed significantly smaller GM volume in the left ACC and left pSTG than healthy subjects. Both patients with LLD in the depressed and remitted phases had significantly higher diffusivities in the WM tract of the left ACC-pSTG than healthy subjects. Remitted patients with LLD showed lower functional ACC-pSTG connectivity compared to healthy subjects. No difference was found in the two regions between depressed and remitted patients in GM volume, structural or functional connectivity. Functional ACC-pSTG connectivity was positively correlated with lower global function during remission. Our preliminary data show that structural and functional abnormalities of the ACC and pSTG occur during LLD remission. Our findings tentatively reveal the brain pathophysiology involved in LLD and may aid in developing neuroanatomical biomarkers for this condition.","container-title":"Frontiers in Aging Neuroscience","DOI":"10.3389/fnagi.2018.00031","ISSN":"1663-4365","journalAbbreviation":"Front Aging Neurosci","language":"eng","note":"PMID: 29472854\nPMCID: PMC5809471","page":"31","source":"PubMed","title":"Altered Connectivity of the Anterior Cingulate and the Posterior Superior Temporal Gyrus in a Longitudinal Study of Later-life Depression","volume":"10","author":[{"family":"Harada","given":"Kenichiro"},{"family":"Ikuta","given":"Toshikazu"},{"family":"Nakashima","given":"Mami"},{"family":"Watanuki","given":"Toshio"},{"family":"Hirotsu","given":"Masako"},{"family":"Matsubara","given":"Toshio"},{"family":"Yamagata","given":"Hirotaka"},{"family":"Watanabe","given":"Yoshifumi"},{"family":"Matsuo","given":"Koji"}],"issued":{"date-parts":[["2018"]]},"citation-key":"haradaAlteredConnectivityAnterior2018"}},{"id":4282,"uris":["http://zotero.org/users/7023408/items/A2MSDMFA"],"itemData":{"id":4282,"type":"article-journal","abstract":"Objective\nCorrelation of white matter microstructure with various cognitive processing tasks and with overall intelligence has been previously demonstrated. We investigate the correlation of white matter microstructure with various higher-order auditory processing tasks, including interpretation of speech-in-noise, recognition of low-pass frequency filtered words, and interpretation of time-compressed sentences at two different values of compression. These tests are typically used to diagnose auditory processing disorder (APD) in children. Our hypothesis is that correlations between white matter microstructure in tracts connecting the temporal, frontal, and parietal lobes, as well as callosal pathways, will be seen. Previous functional imaging studies have shown correlations between activation in temporal, frontal and parietal regions from higher-order auditory processing tasks. Additionally, we hypothesize that the regions displaying correlations will vary according to the task, as each task uses a different set of skills.\n\nDesign\nDiffusion tensor imaging (DTI) data was acquired in a cohort of 17 normal-hearing children ages 9-11. Fractional anisotropy (FA), a measure of white matter fiber tract integrity and organization was computed and correlated on a voxelwise basis with performance on the auditory processing tasks, controlling for age, sex, and full-scale IQ.\n\nResults\nDivergent correlations of white matter FA depending on the particular auditory processing task were found. Positive correlations were found between FA and speech-in-noise in white matter adjoining prefrontal areas, and between FA and filtered words in the corpus callosum. Regions exhibiting correlations with time-compressed sentences varied depending on the degree of compression: the greater degree of compression (with the greatest difficulty) resulted in correlations in white matter adjoining prefrontal (dorsal and ventral) while the smaller degree of compression (with less difficulty) resulted in correlations in white matter adjoining audio-visual association areas and the posterior cingulate. Only the time-compressed sentences with the lowest degree of compression resulted in positive correlations in the centrum semiovale; all the other tasks resulted in negative correlations.\n\nConclusion\nThe dependence of performance on higher-order auditory processing tasks on brain anatomical connectivity was seen in normal-hearing children ages 9-11. Results support a previously hypothesized dual-stream (dorsal and ventral) model of auditory processing, and that higher-order processing tasks rely less on the dorsal stream related to articulatory networks, and more on the ventral stream related to semantic comprehension. Results also show that the regions correlating with auditory processing vary according to the specific task, indicating that the neurological bases for the various tests used to diagnose APD in children may be partially independent.","container-title":"Ear and hearing","DOI":"10.1097/AUD.0b013e3181f7a481","ISSN":"0196-0202","issue":"2","journalAbbreviation":"Ear Hear","note":"PMID: 21063207\nPMCID: PMC3057932","page":"156-167","source":"PubMed Central","title":"Diffusion tensor imaging reveals white matter microstructure correlations with auditory processing ability","volume":"32","author":[{"family":"Schmithorst","given":"Vincent J."},{"family":"Holland","given":"Scott K."},{"family":"Plante","given":"Elena"}],"issued":{"date-parts":[["2011"]]},"citation-key":"schmithorstDiffusionTensorImaging2011"}}],"schema":"https://github.com/citation-style-language/schema/raw/master/csl-citation.json"}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 xml:space="preserve">(Harada et al., 2018; </w:t>
      </w:r>
      <w:proofErr w:type="spellStart"/>
      <w:r w:rsidR="00B261AF">
        <w:rPr>
          <w:rFonts w:ascii="Arial" w:hAnsi="Arial" w:cs="Arial"/>
          <w:sz w:val="24"/>
          <w:szCs w:val="24"/>
        </w:rPr>
        <w:t>Oane</w:t>
      </w:r>
      <w:proofErr w:type="spellEnd"/>
      <w:r w:rsidR="00B261AF">
        <w:rPr>
          <w:rFonts w:ascii="Arial" w:hAnsi="Arial" w:cs="Arial"/>
          <w:sz w:val="24"/>
          <w:szCs w:val="24"/>
        </w:rPr>
        <w:t xml:space="preserve"> et al., 2022; </w:t>
      </w:r>
      <w:proofErr w:type="spellStart"/>
      <w:r w:rsidR="00B261AF">
        <w:rPr>
          <w:rFonts w:ascii="Arial" w:hAnsi="Arial" w:cs="Arial"/>
          <w:sz w:val="24"/>
          <w:szCs w:val="24"/>
        </w:rPr>
        <w:t>Schmithorst</w:t>
      </w:r>
      <w:proofErr w:type="spellEnd"/>
      <w:r w:rsidR="00B261AF">
        <w:rPr>
          <w:rFonts w:ascii="Arial" w:hAnsi="Arial" w:cs="Arial"/>
          <w:sz w:val="24"/>
          <w:szCs w:val="24"/>
        </w:rPr>
        <w:t xml:space="preserve"> et al., 2011)</w:t>
      </w:r>
      <w:r w:rsidRPr="00B261AF">
        <w:rPr>
          <w:rFonts w:ascii="Arial" w:hAnsi="Arial" w:cs="Arial"/>
          <w:sz w:val="24"/>
          <w:szCs w:val="24"/>
        </w:rPr>
        <w:fldChar w:fldCharType="end"/>
      </w:r>
      <w:r w:rsidRPr="00B261AF">
        <w:rPr>
          <w:rFonts w:ascii="Arial" w:hAnsi="Arial" w:cs="Arial"/>
          <w:sz w:val="24"/>
          <w:szCs w:val="24"/>
        </w:rPr>
        <w:t xml:space="preserve">, to our knowledge, the physiology and role of this effective connection have yet to be studied. The MCC’s predominant connections to frontal, </w:t>
      </w:r>
      <w:proofErr w:type="spellStart"/>
      <w:r w:rsidRPr="00B261AF">
        <w:rPr>
          <w:rFonts w:ascii="Arial" w:hAnsi="Arial" w:cs="Arial"/>
          <w:sz w:val="24"/>
          <w:szCs w:val="24"/>
        </w:rPr>
        <w:t>somato</w:t>
      </w:r>
      <w:proofErr w:type="spellEnd"/>
      <w:r w:rsidRPr="00B261AF">
        <w:rPr>
          <w:rFonts w:ascii="Arial" w:hAnsi="Arial" w:cs="Arial"/>
          <w:sz w:val="24"/>
          <w:szCs w:val="24"/>
        </w:rPr>
        <w:t xml:space="preserve">-motor, insular, and </w:t>
      </w:r>
      <w:r w:rsidRPr="00B261AF">
        <w:rPr>
          <w:rFonts w:ascii="Arial" w:hAnsi="Arial" w:cs="Arial"/>
          <w:sz w:val="24"/>
          <w:szCs w:val="24"/>
        </w:rPr>
        <w:lastRenderedPageBreak/>
        <w:t xml:space="preserve">mesial temporal structures, and the PCC’s connections to frontal, parietal, insular, and mesial temporal structures also support previous findings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{"citationID":"tjErRbWZ","properties":{"formattedCitation":"(Oane et al., 2020, 2022)","plainCitation":"(Oane et al., 2020, 2022)","noteIndex":0},"citationItems":[{"id":3364,"uris":["http://zotero.org/users/7023408/items/S35QUQE3"],"itemData":{"id":3364,"type":"article-journal","abstract":"The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Oane</w:t>
      </w:r>
      <w:proofErr w:type="spellEnd"/>
      <w:r w:rsidR="00B261AF">
        <w:rPr>
          <w:rFonts w:ascii="Arial" w:hAnsi="Arial" w:cs="Arial"/>
          <w:sz w:val="24"/>
          <w:szCs w:val="24"/>
        </w:rPr>
        <w:t xml:space="preserve"> et al., 2020, 2022)</w:t>
      </w:r>
      <w:r w:rsidRPr="00B261AF">
        <w:rPr>
          <w:rFonts w:ascii="Arial" w:hAnsi="Arial" w:cs="Arial"/>
          <w:sz w:val="24"/>
          <w:szCs w:val="24"/>
        </w:rPr>
        <w:fldChar w:fldCharType="end"/>
      </w:r>
      <w:r w:rsidRPr="00B261AF">
        <w:rPr>
          <w:rFonts w:ascii="Arial" w:hAnsi="Arial" w:cs="Arial"/>
          <w:sz w:val="24"/>
          <w:szCs w:val="24"/>
        </w:rPr>
        <w:t>.</w:t>
      </w:r>
    </w:p>
    <w:p w14:paraId="49774668" w14:textId="6AB10065"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We were able to profile the relative connectivity of each cortical region to each of the Cg subregions. Through this analysis, we found that the middle-frontal gyrus, the triangular part of the inferior frontal gyrus, and the gyrus rectus exhibited near-equivalent effective connectivity with all three CC subregions. This was true for both of our effective connectivity measures, meaning that the observed CCEPs in these regions had near-equal magnitude (directional connectivity) and coherence (morphological diversity)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{"citationID":"j9LsMwXm","properties":{"formattedCitation":"(Levinson et al., 2024)","plainCitation":"(Levinson et al., 2024)","noteIndex":0},"citationItems":[{"id":4268,"uris":["http://zotero.org/users/7023408/items/ZAVRVS7A"],"itemData":{"id":4268,"type":"article-journal","abstract":"Background\nCortico-cortical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(Levinson et al., 2024)</w:t>
      </w:r>
      <w:r w:rsidRPr="00B261AF">
        <w:rPr>
          <w:rFonts w:ascii="Arial" w:hAnsi="Arial" w:cs="Arial"/>
          <w:sz w:val="24"/>
          <w:szCs w:val="24"/>
        </w:rPr>
        <w:fldChar w:fldCharType="end"/>
      </w:r>
      <w:r w:rsidRPr="00B261AF">
        <w:rPr>
          <w:rFonts w:ascii="Arial" w:hAnsi="Arial" w:cs="Arial"/>
          <w:sz w:val="24"/>
          <w:szCs w:val="24"/>
        </w:rPr>
        <w:t>. This finding reveals the existence of Cg “hubs,” or regions with effective overlap between all three Cg subregions. Specifically, the highly similar nature of connective input from each cingulate subregion to these regions (in both magnitude and morphological diversity) suggests these regions may play a similar computational or functional role in all three Cg effective networks.</w:t>
      </w:r>
    </w:p>
    <w:p w14:paraId="7FD4DCDE" w14:textId="6A1CCB2D"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While current evidence cannot provide a concrete mechanistic explanation for why these regions share common effective connectivity with all three cingulate subregions, existing literature points towards potential explanations and future directions. For example, the middle frontal gyrus (nomenclature used in the anatomical parcellation for this study, commonly referred to as the </w:t>
      </w:r>
      <w:proofErr w:type="spellStart"/>
      <w:r w:rsidRPr="00B261AF">
        <w:rPr>
          <w:rFonts w:ascii="Arial" w:hAnsi="Arial" w:cs="Arial"/>
          <w:sz w:val="24"/>
          <w:szCs w:val="24"/>
        </w:rPr>
        <w:t>dlPFC</w:t>
      </w:r>
      <w:proofErr w:type="spellEnd"/>
      <w:r w:rsidRPr="00B261AF">
        <w:rPr>
          <w:rFonts w:ascii="Arial" w:hAnsi="Arial" w:cs="Arial"/>
          <w:sz w:val="24"/>
          <w:szCs w:val="24"/>
        </w:rPr>
        <w:t xml:space="preserve">) is functionally coupled with the ACC in cognitive control tasks as part of the executive control circuit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{"citationID":"7iVvkn1b","properties":{"formattedCitation":"(Schulz et al., 2011)","plainCitation":"(Schulz et al., 2011)","noteIndex":0},"citationItems":[{"id":4275,"uris":["http://zotero.org/users/7023408/items/AY9GR95T"],"itemData":{"id":4275,"type":"article-journal","abstract":"Dorsal anterior cingulate cortex (dACC) is composed of functionally distinct subregions that may contribute to the top-down control of response selection and preparation. Multiple motor areas have been identified in dACC, including an anterior zone implicated in conflict monitoring and a caudal zone involved in movement execution. This study tested the involvement of a third cingulate area, the posterior zone of dACC, in the top-down control of response selection and preparation. Sixteen healthy young adults were scanned with event-related functional magnetic resonance imaging while performing a cued go/no-go task that was designed to minimize response conflicts. The activation and functional connectivity of dACC were tested with standard convolution models and psychophysiological interaction analyses, respectively. Ready cues that informed the direction of the impending response triggered preparatory neural activity in the posterior zone of dACC and strengthened functional connectivity with the anterior and caudal zones of dACC, as well as perigenual anterior cingulate cortex, frontal operculum, dorsolateral prefrontal cortex, sensory association cortices, and extra-pyramidal motor areas. The preparatory cues activated dACC above and beyond the general arousing effects common to cues despite negligible conflict in the go/no-go task. The integration of cognitive, sensorimotor, and incentive signals in dACC places the region in an ideal position to select and prepare appropriate behavioral responses to achieve higher-level goals.","container-title":"NeuroImage","DOI":"10.1016/j.neuroimage.2011.04.023","ISSN":"1053-8119","issue":"1","journalAbbreviation":"Neuroimage","note":"PMID: 21515388\nPMCID: PMC3101271","page":"242-250","source":"PubMed Central","title":"Preparatory Activity and Connectivity in Dorsal Anterior Cingulate Cortex for Cognitive Control","volume":"57","author":[{"family":"Schulz","given":"Kurt P."},{"family":"Bédard","given":"Anne-Claude V."},{"family":"Czarnecki","given":"Rosa"},{"family":"Fan","given":"Jin"}],"issued":{"date-parts":[["2011",7,1]]},"citation-key":"schulzPreparatoryActivityConnectivity2011"}}],"schema":"https://github.com/citation-style-language/schema/raw/master/csl-citation.json"}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(Schulz et al., 2011)</w:t>
      </w:r>
      <w:r w:rsidRPr="00B261AF">
        <w:rPr>
          <w:rFonts w:ascii="Arial" w:hAnsi="Arial" w:cs="Arial"/>
          <w:sz w:val="24"/>
          <w:szCs w:val="24"/>
        </w:rPr>
        <w:fldChar w:fldCharType="end"/>
      </w:r>
      <w:r w:rsidRPr="00B261AF">
        <w:rPr>
          <w:rFonts w:ascii="Arial" w:hAnsi="Arial" w:cs="Arial"/>
          <w:sz w:val="24"/>
          <w:szCs w:val="24"/>
        </w:rPr>
        <w:t xml:space="preserve">, implicated in MCC function such as task anticipation and feedback mediated decision making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{"citationID":"1BOstraw","properties":{"formattedCitation":"(Vogt, 2016)","plainCitation":"(Vogt, 2016)","noteIndex":0},"citationItems":[{"id":3640,"uris":["http://zotero.org/users/7023408/items/IA9TP3UA"],"itemData":{"id":3640,"type":"article-journal","abstract":"Midcingulate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(Vogt, 2016)</w:t>
      </w:r>
      <w:r w:rsidRPr="00B261AF">
        <w:rPr>
          <w:rFonts w:ascii="Arial" w:hAnsi="Arial" w:cs="Arial"/>
          <w:sz w:val="24"/>
          <w:szCs w:val="24"/>
        </w:rPr>
        <w:fldChar w:fldCharType="end"/>
      </w:r>
      <w:r w:rsidRPr="00B261AF">
        <w:rPr>
          <w:rFonts w:ascii="Arial" w:hAnsi="Arial" w:cs="Arial"/>
          <w:sz w:val="24"/>
          <w:szCs w:val="24"/>
        </w:rPr>
        <w:t xml:space="preserve">, and co-activates with the PCC and precuneus as part of frontoparietal default mode regions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{"citationID":"gJXs28AA","properties":{"formattedCitation":"(Spreng et al., 2010)","plainCitation":"(Spreng et al., 2010)","noteIndex":0},"citationItems":[{"id":4276,"uris":["http://zotero.org/users/7023408/items/6T6X7FML"],"itemData":{"id":4276,"type":"article-journal","abstract":"Tasks that demand externalized attention reliably suppress default network activity while activating the dorsal attention network. These networks have an intrinsic competitive relationship; activation of one suppresses activity of the other. Consequently, many assume that default network activity is suppressed during goal-directed cognition. We challenge this assumption in an fMRI study of planning. Recent studies link default network activity with internally focused cognition, such as imagining personal future events, suggesting a role in autobiographical planning. However, it is unclear how goal-directed cognition with an internal focus is mediated by these opposing networks. A third anatomically interposed ‘frontoparietal control network’ might mediate planning across domains, flexibly coupling with either the default or dorsal attention network in support of internally versus externally focused goal-directed cognition, respectively. We tested this hypothesis by comparing brain activity during autobiographical versus visuospatial planning. Autobiographical planning engaged the default network, whereas visuospatial planning engaged the dorsal attention network, consistent with the anti-correlated domains of internalized and externalized cognition. Critically, both planning tasks engaged the frontoparietal control network. Task-related activation of these three networks was anatomically consistent with independently defined resting-state functional connectivity MRI maps. Together, our findings suggest that the default network can be involved in goal-directed cognition when its activity is coupled with the frontoparietal control network. Additionally, the frontoparietal control network may flexibly couple with the default and dorsal attention networks according to task domain, serving as a cortical mediator linking the two networks in support of goal-directed cognitive processes.","container-title":"NeuroImage","DOI":"10.1016/j.neuroimage.2010.06.016","ISSN":"1053-8119","issue":"1","journalAbbreviation":"Neuroimage","note":"PMID: 20600998\nPMCID: PMC2914129","page":"303-317","source":"PubMed Central","title":"Default network activity, coupled with the frontoparietal control network, supports goal-directed cognition","volume":"53","author":[{"family":"Spreng","given":"R. Nathan"},{"family":"Stevens","given":"W. Dale"},{"family":"Chamberlain","given":"Jon P."},{"family":"Gilmore","given":"Adrian W."},{"family":"Schacter","given":"Daniel L."}],"issued":{"date-parts":[["2010",10,15]]},"citation-key":"sprengDefaultNetworkActivity2010"}}],"schema":"https://github.com/citation-style-language/schema/raw/master/csl-citation.json"}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(Spreng et al., 2010)</w:t>
      </w:r>
      <w:r w:rsidRPr="00B261AF">
        <w:rPr>
          <w:rFonts w:ascii="Arial" w:hAnsi="Arial" w:cs="Arial"/>
          <w:sz w:val="24"/>
          <w:szCs w:val="24"/>
        </w:rPr>
        <w:fldChar w:fldCharType="end"/>
      </w:r>
      <w:r w:rsidRPr="00B261AF">
        <w:rPr>
          <w:rFonts w:ascii="Arial" w:hAnsi="Arial" w:cs="Arial"/>
          <w:sz w:val="24"/>
          <w:szCs w:val="24"/>
        </w:rPr>
        <w:t xml:space="preserve">. However, it is unknown as to whether this overlap is due to region-specific domain-general computations that are inherently required by all three Cg networks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{"citationID":"zOrDd6pG","properties":{"formattedCitation":"(Assem et al., 2020)","plainCitation":"(Assem et al., 2020)","noteIndex":0},"citationItems":[{"id":4277,"uris":["http://zotero.org/users/7023408/items/VR52W8VX"],"itemData":{"id":4277,"type":"article-journal","abstract":"Numerous brain imaging studies identified a domain-general or \"multiple-demand\" (MD) activation pattern accompanying many tasks and may play a core role in cognitive control. Though this finding is well established, the limited spatial localization provided by traditional imaging methods precluded a consensus regarding the precise anatomy, functional differentiation, and connectivity of the MD system. To address these limitations, we used data from 449 subjects from the Human Connectome Project, with the cortex of each individual parcellated using neurobiologically grounded multimodal MRI features. The conjunction of three cognitive contrasts reveals a core of 10 widely distributed MD parcels per hemisphere that are most strongly activated and functionally interconnected, surrounded by a penumbra of 17 additional areas. Outside cerebral cortex, MD activation is most prominent in the caudate and cerebellum. Comparison with canonical resting-state networks shows MD regions concentrated in the fronto-parietal network but also engaging three other networks. MD activations show modest relative task preferences accompanying strong co-recruitment. With distributed anatomical organization, mosaic functional preferences, and strong interconnectivity, we suggest MD regions are well positioned to integrate and assemble the diverse components of cognitive operations. Our precise delineation of MD regions provides a basis for refined analyses of their functions.","container-title":"Cerebral Cortex (New York, N.Y.: 1991)","DOI":"10.1093/cercor/bhaa023","ISSN":"1460-2199","issue":"8","journalAbbreviation":"Cereb Cortex","language":"eng","note":"PMID: 32244253\nPMCID: PMC7325801","page":"4361-4380","source":"PubMed","title":"A Domain-General Cognitive Core Defined in Multimodally Parcellated Human Cortex","volume":"30","author":[{"family":"Assem","given":"Moataz"},{"family":"Glasser","given":"Matthew F."},{"family":"Van Essen","given":"David C."},{"family":"Duncan","given":"John"}],"issued":{"date-parts":[["2020",6,30]]},"citation-key":"assemDomainGeneralCognitiveCore2020"}}],"schema":"https://github.com/citation-style-language/schema/raw/master/csl-citation.json"}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(Assem et al., 2020)</w:t>
      </w:r>
      <w:r w:rsidRPr="00B261AF">
        <w:rPr>
          <w:rFonts w:ascii="Arial" w:hAnsi="Arial" w:cs="Arial"/>
          <w:sz w:val="24"/>
          <w:szCs w:val="24"/>
        </w:rPr>
        <w:fldChar w:fldCharType="end"/>
      </w:r>
      <w:r w:rsidRPr="00B261AF">
        <w:rPr>
          <w:rFonts w:ascii="Arial" w:hAnsi="Arial" w:cs="Arial"/>
          <w:sz w:val="24"/>
          <w:szCs w:val="24"/>
        </w:rPr>
        <w:t xml:space="preserve">, or whether there is a coordination role of the </w:t>
      </w:r>
      <w:proofErr w:type="spellStart"/>
      <w:r w:rsidRPr="00B261AF">
        <w:rPr>
          <w:rFonts w:ascii="Arial" w:hAnsi="Arial" w:cs="Arial"/>
          <w:sz w:val="24"/>
          <w:szCs w:val="24"/>
        </w:rPr>
        <w:t>dlPFC</w:t>
      </w:r>
      <w:proofErr w:type="spellEnd"/>
      <w:r w:rsidRPr="00B261AF">
        <w:rPr>
          <w:rFonts w:ascii="Arial" w:hAnsi="Arial" w:cs="Arial"/>
          <w:sz w:val="24"/>
          <w:szCs w:val="24"/>
        </w:rPr>
        <w:t xml:space="preserve"> that mediates dynamic interactions between these networks, potentially through top-down neurophysiological and cognitive processes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{"citationID":"5omt8KuC","properties":{"formattedCitation":"(Salehinejad et al., 2021)","plainCitation":"(Salehinejad et al., 2021)","noteIndex":0},"citationItems":[{"id":4278,"uris":["http://zotero.org/users/7023408/items/IWALX2PZ"],"itemData":{"id":4278,"type":"article-journal","abstract":"Executive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Advances","DOI":"10.1177/23982128211007769","ISSN":"2398-2128","journalAbbreviation":"Brain Neurosci Adv","language":"eng","note":"PMID: 33997292\nPMCID: PMC8076773","page":"23982128211007769","source":"PubMed","title":"Hot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A."}],"issued":{"date-parts":[["2021"]]},"citation-key":"salehinejadHotColdExecutive2021"}}],"schema":"https://github.com/citation-style-language/schema/raw/master/csl-citation.json"}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(Salehinejad et al., 2021)</w:t>
      </w:r>
      <w:r w:rsidRPr="00B261AF">
        <w:rPr>
          <w:rFonts w:ascii="Arial" w:hAnsi="Arial" w:cs="Arial"/>
          <w:sz w:val="24"/>
          <w:szCs w:val="24"/>
        </w:rPr>
        <w:fldChar w:fldCharType="end"/>
      </w:r>
      <w:r w:rsidRPr="00B261AF">
        <w:rPr>
          <w:rFonts w:ascii="Arial" w:hAnsi="Arial" w:cs="Arial"/>
          <w:sz w:val="24"/>
          <w:szCs w:val="24"/>
        </w:rPr>
        <w:t xml:space="preserve">. Future work incorporating relevant behavioral paradigms during effective connectivity mapping or direct high-frequency stimulation of these Cg hub regions will be essential to resolve their mechanistic function across each Cg network. Further, convergent models evaluating the CCEP characteristics at each Cg subregion in response to stimulation of these hub regions will provide insight into the directionality and characteristics of these connections. </w:t>
      </w:r>
    </w:p>
    <w:p w14:paraId="242A2FBB" w14:textId="5CC5F57D"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Beyond direct connectivity measures, we analyzed spatial patterns of effective connectivity to provide insight into high-level spatial trends of the Cg networks. </w:t>
      </w:r>
      <w:bookmarkStart w:id="0" w:name="OLE_LINK1"/>
      <w:r w:rsidRPr="00B261AF">
        <w:rPr>
          <w:rFonts w:ascii="Arial" w:hAnsi="Arial" w:cs="Arial"/>
          <w:sz w:val="24"/>
          <w:szCs w:val="24"/>
        </w:rPr>
        <w:t xml:space="preserve">Since CCEPs represent synaptic input into regions connected to the site of stimulation, </w:t>
      </w:r>
      <w:bookmarkEnd w:id="0"/>
      <w:r w:rsidRPr="00B261AF">
        <w:rPr>
          <w:rFonts w:ascii="Arial" w:hAnsi="Arial" w:cs="Arial"/>
          <w:sz w:val="24"/>
          <w:szCs w:val="24"/>
        </w:rPr>
        <w:t xml:space="preserve">we would expect that the spatial profiles of our Cg effective networks would follow similar trends to known Cg tractography and white-matter anatomy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{"citationID":"VLH0fszL","properties":{"formattedCitation":"(Silverstein et al., 2020)","plainCitation":"(Silverstein et al., 2020)","noteIndex":0},"citationItems":[{"id":4285,"uris":["http://zotero.org/users/7023408/items/MDNIHGVL"],"itemData":{"id":4285,"type":"article-journal","abstract":"INTRODUCTION: Cortico-cortical evoked potentials (CCEPs) are utilized to identify effective networks in the human brain. Following single-pulse electrical stimulation of cortical electrodes, evoked responses are recorded from distant cortical areas. A negative deflection (N1) which occurs 10-50 ​ms post-stimulus is considered to be a marker for direct cortico-cortical connectivity. However, with CCEPs alone it is not possible to observe the white matter pathways that conduct the signal or accurately predict N1 amplitude and latency at downstream recoding sites. Here, we develop a new approach, termed \"dynamic tractography,\" which integrates CCEP data with diffusion-weighted imaging (DWI) data collected from the same patients. This innovative method allows greater insights into cortico-cortical networks than provided by each method alone and may improve the understanding of large-scale networks that support cognitive functions. The dynamic tractography model produces several fundamental hypotheses which we investigate: 1) DWI-based pathlength predicts N1 latency; 2) DWI-based pathlength negatively predicts N1 voltage; and 3) fractional anisotropy (FA) along the white matter path predicts N1 propagation velocity.\nMETHODS: Twenty-three neurosurgical patients with drug-resistant epilepsy underwent both extraoperative CCEP recordings and preoperative DWI scans. Subdural grids of 3 ​mm diameter electrodes were used for stimulation and recording, with 98-128 eligible electrodes per patient. CCEPs were elicited by trains of 1 ​Hz stimuli with an intensity of 5 ​mA and recorded at a sample rate of 1 ​kHz. N1 peak and latency were defined as the maximum of a negative deflection within 10-50 ​ms post-stimulus with a z-score &gt; 5 relative to baseline. Electrodes and DWI were coregistered to construct electrode connectomes for white matter quantification.\nRESULTS: Clinical variables (age, sex, number of anti-epileptic drugs, handedness, and stimulated hemisphere) did not correlate with the key outcome measures (N1 peak amplitude, latency, velocity, or DWI pathlength). All subjects and electrodes were therefore pooled into a group-level analysis to determine overall patterns. As hypothesized, DWI path length positively predicted N1 latency (R2 ​= ​0.81, β ​= ​1.51, p ​= ​4.76e-16) and negatively predicted N1 voltage (R2 ​= ​0.79, β ​= ​-0.094, p ​= ​9.30e-15), while FA predicted N1 propagation velocity (R2 ​= ​0.35, β ​= ​48.0, p ​= ​0.001).\nCONCLUSION: We have demonstrated that the strength and timing of the CCEP N1 is dependent on the properties of the underlying white matter network. Integrated CCEP and DWI visualization allows robust localization of intact axonal pathways which effectively interconnect eloquent cortex.","container-title":"NeuroImage","DOI":"10.1016/j.neuroimage.2020.116763","ISSN":"1095-9572","journalAbbreviation":"Neuroimage","language":"eng","note":"PMID: 32294537\nPMCID: PMC7292749","page":"116763","source":"PubMed","title":"Dynamic tractography: Integrating cortico-cortical evoked potentials and diffusion imaging","title-short":"Dynamic tractography","volume":"215","author":[{"family":"Silverstein","given":"Brian H."},{"family":"Asano","given":"Eishi"},{"family":"Sugiura","given":"Ayaka"},{"family":"Sonoda","given":"Masaki"},{"family":"Lee","given":"Min-Hee"},{"family":"Jeong","given":"Jeong-Won"}],"issued":{"date-parts":[["2020",7,15]]},"citation-key":"silversteinDynamicTractographyIntegrating2020"}}],"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(Silverstein et al., 2020)</w:t>
      </w:r>
      <w:r w:rsidRPr="00B261AF">
        <w:rPr>
          <w:rFonts w:ascii="Arial" w:hAnsi="Arial" w:cs="Arial"/>
          <w:sz w:val="24"/>
          <w:szCs w:val="24"/>
        </w:rPr>
        <w:fldChar w:fldCharType="end"/>
      </w:r>
      <w:r w:rsidRPr="00B261AF">
        <w:rPr>
          <w:rFonts w:ascii="Arial" w:hAnsi="Arial" w:cs="Arial"/>
          <w:sz w:val="24"/>
          <w:szCs w:val="24"/>
        </w:rPr>
        <w:t xml:space="preserve">. As such, we hypothesized that the effective connectivity distribution of the human Cg would follow a corresponding anterior-posterior gradient, specifically that distributions of </w:t>
      </w:r>
      <w:r w:rsidRPr="00B261AF">
        <w:rPr>
          <w:rFonts w:ascii="Arial" w:hAnsi="Arial" w:cs="Arial"/>
          <w:sz w:val="24"/>
          <w:szCs w:val="24"/>
        </w:rPr>
        <w:lastRenderedPageBreak/>
        <w:t xml:space="preserve">connectivity would be most anteriorly weighted for the ACC stimulation condition, and most posteriorly weighted for the PCC stimulation condition. Indeed, our results support this hypothesis, demonstrating a statistically significant relationship between the anterior-posterior spatial distribution of connectivity for each Cg network and the anatomical positions of the human Cg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{"citationID":"TZh3EPze","properties":{"formattedCitation":"(Jin et al., 2018)","plainCitation":"(Jin et al., 2018)","noteIndex":0},"citationItems":[{"id":4286,"uris":["http://zotero.org/users/7023408/items/U7I4MQ49"],"itemData":{"id":4286,"type":"article-journal","abstract":"Introduction\nHuman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B261AF">
        <w:rPr>
          <w:rFonts w:ascii="Cambria Math" w:hAnsi="Cambria Math" w:cs="Cambria Math"/>
          <w:sz w:val="24"/>
          <w:szCs w:val="24"/>
        </w:rPr>
        <w:instrText>‐</w:instrText>
      </w:r>
      <w:r w:rsidR="00B261AF">
        <w:rPr>
          <w:rFonts w:ascii="Arial" w:hAnsi="Arial" w:cs="Arial"/>
          <w:sz w:val="24"/>
          <w:szCs w:val="24"/>
        </w:rPr>
        <w:instrText>state functional magnetic resonance imaging (rs</w:instrText>
      </w:r>
      <w:r w:rsidR="00B261AF">
        <w:rPr>
          <w:rFonts w:ascii="Cambria Math" w:hAnsi="Cambria Math" w:cs="Cambria Math"/>
          <w:sz w:val="24"/>
          <w:szCs w:val="24"/>
        </w:rPr>
        <w:instrText>‐</w:instrText>
      </w:r>
      <w:r w:rsidR="00B261AF">
        <w:rPr>
          <w:rFonts w:ascii="Arial" w:hAnsi="Arial" w:cs="Arial"/>
          <w:sz w:val="24"/>
          <w:szCs w:val="24"/>
        </w:rPr>
        <w:instrText>fMRI) and diffusion tensor imaging (DTI) to parcellate the human cingulate cortex (CC) based on resting</w:instrText>
      </w:r>
      <w:r w:rsidR="00B261AF">
        <w:rPr>
          <w:rFonts w:ascii="Cambria Math" w:hAnsi="Cambria Math" w:cs="Cambria Math"/>
          <w:sz w:val="24"/>
          <w:szCs w:val="24"/>
        </w:rPr>
        <w:instrText>‐</w:instrText>
      </w:r>
      <w:r w:rsidR="00B261AF">
        <w:rPr>
          <w:rFonts w:ascii="Arial" w:hAnsi="Arial" w:cs="Arial"/>
          <w:sz w:val="24"/>
          <w:szCs w:val="24"/>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B261AF">
        <w:rPr>
          <w:rFonts w:ascii="Cambria Math" w:hAnsi="Cambria Math" w:cs="Cambria Math"/>
          <w:sz w:val="24"/>
          <w:szCs w:val="24"/>
        </w:rPr>
        <w:instrText>‐</w:instrText>
      </w:r>
      <w:r w:rsidR="00B261AF">
        <w:rPr>
          <w:rFonts w:ascii="Arial" w:hAnsi="Arial" w:cs="Arial"/>
          <w:sz w:val="24"/>
          <w:szCs w:val="24"/>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B261AF">
        <w:rPr>
          <w:rFonts w:ascii="Cambria Math" w:hAnsi="Cambria Math" w:cs="Cambria Math"/>
          <w:sz w:val="24"/>
          <w:szCs w:val="24"/>
        </w:rPr>
        <w:instrText>‐</w:instrText>
      </w:r>
      <w:r w:rsidR="00B261AF">
        <w:rPr>
          <w:rFonts w:ascii="Arial" w:hAnsi="Arial" w:cs="Arial"/>
          <w:sz w:val="24"/>
          <w:szCs w:val="24"/>
        </w:rPr>
        <w:instrText xml:space="preserve">based parcellation of human cingulate cortex","volume":"8","author":[{"family":"Jin","given":"Fei"},{"family":"Zheng","given":"Pengpeng"},{"family":"Liu","given":"Huaigui"},{"family":"Guo","given":"Hui"},{"family":"Sun","given":"Zhihua"}],"issued":{"date-parts":[["2018",7,24]]},"citation-key":"jinFunctionalAnatomicalConnectivitybased2018"}}],"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(Jin et al., 2018)</w:t>
      </w:r>
      <w:r w:rsidRPr="00B261AF">
        <w:rPr>
          <w:rFonts w:ascii="Arial" w:hAnsi="Arial" w:cs="Arial"/>
          <w:sz w:val="24"/>
          <w:szCs w:val="24"/>
        </w:rPr>
        <w:fldChar w:fldCharType="end"/>
      </w:r>
      <w:r w:rsidRPr="00B261AF">
        <w:rPr>
          <w:rFonts w:ascii="Arial" w:hAnsi="Arial" w:cs="Arial"/>
          <w:sz w:val="24"/>
          <w:szCs w:val="24"/>
        </w:rPr>
        <w:t>. This finding not only demonstrates the utility of emergent profiling of effective connectivity networks but also its potential in bridging measures of connectivity.</w:t>
      </w:r>
    </w:p>
    <w:p w14:paraId="0175CED0" w14:textId="550534CE"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Following similar evidence profiling hemispheric differences in white matter tractography and cingulate network functional asymmetry, we evaluated the differences in Cg effective connectivity between hemispheres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{"citationID":"Wis29Oyw","properties":{"formattedCitation":"(Honnedevasthana Arun et al., 2021)","plainCitation":"(Honnedevasthana Arun et al., 2021)","noteIndex":0},"citationItems":[{"id":4287,"uris":["http://zotero.org/users/7023408/items/V5C629H3"],"itemData":{"id":4287,"type":"article-journal","abstract":"The diffusion tensor model for diffusion MRI has been used extensively to study asymmetry in the human brain white matter. However, given the limitations of the tensor model, the nature of any underlying asymmetries remains uncertain, particularly in crossing fibre regions. Here, we provide a more robust characterisation of human brain white matter asymmetries based on fibre-specific diffusion MRI metrics and a whole-brain data-driven approach. We used high-quality diffusion MRI data (n = 100) from the Human Connectome Project, the spherical deconvolution model for fibre orientation distribution estimation, and the Fixel-Based Analysis framework to utilise crossing fibre information in registration, data smoothing and statistical inference. We found many significant asymmetries, widespread throughout the brain white matter, with both left&gt;right and right&gt;left dominances observed in different pathways. No influences of sex, age, or handedness on asymmetry were found. We also report on the relative contributions of microstructural and morphological white matter properties toward the asymmetry findings. Our findings should provide important information to future studies focussing on how these asymmetries are affected by disease, development/ageing, or how they correlate to functional/cognitive measures.","container-title":"NeuroImage","DOI":"10.1016/j.neuroimage.2020.117505","ISSN":"1053-8119","journalAbbreviation":"NeuroImage","page":"117505","source":"ScienceDirect","title":"Characterisation of white matter asymmetries in the healthy human brain using diffusion MRI fixel-based analysis","volume":"225","author":[{"family":"Honnedevasthana Arun","given":"Arush"},{"family":"Connelly","given":"Alan"},{"family":"Smith","given":"Robert E."},{"family":"Calamante","given":"Fernando"}],"issued":{"date-parts":[["2021",1,15]]},"citation-key":"honnedevasthanaarunCharacterisationWhiteMatter2021"}}],"schema":"https://github.com/citation-style-language/schema/raw/master/csl-citation.json"}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Honnedevasthana</w:t>
      </w:r>
      <w:proofErr w:type="spellEnd"/>
      <w:r w:rsidR="00B261AF">
        <w:rPr>
          <w:rFonts w:ascii="Arial" w:hAnsi="Arial" w:cs="Arial"/>
          <w:sz w:val="24"/>
          <w:szCs w:val="24"/>
        </w:rPr>
        <w:t xml:space="preserve"> Arun et al., 2021)</w:t>
      </w:r>
      <w:r w:rsidRPr="00B261AF">
        <w:rPr>
          <w:rFonts w:ascii="Arial" w:hAnsi="Arial" w:cs="Arial"/>
          <w:sz w:val="24"/>
          <w:szCs w:val="24"/>
        </w:rPr>
        <w:fldChar w:fldCharType="end"/>
      </w:r>
      <w:r w:rsidRPr="00B261AF">
        <w:rPr>
          <w:rFonts w:ascii="Arial" w:hAnsi="Arial" w:cs="Arial"/>
          <w:sz w:val="24"/>
          <w:szCs w:val="24"/>
        </w:rPr>
        <w:t xml:space="preserve">. Of significant comparisons between hemispheres with adequate coverage, Cg networks showed ipsilateral right-hemisphere dominance across most major regions, except for the frontal cortex, which had significantly higher left-hemisphere connectivity in the ACC and MCC networks. Frontal asymmetries related to ACC and MCC network functions have been documented in functional imaging and electrophysiological studies, with left hemisphere frontal dominance being associated with gray matter volume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{"citationID":"uCvgBiCp","properties":{"formattedCitation":"(Saenger et al., 2012)","plainCitation":"(Saenger et al., 2012)","noteIndex":0},"citationItems":[{"id":4288,"uris":["http://zotero.org/users/7023408/items/6V6YQ4D7"],"itemData":{"id":4288,"type":"article-journal","abstract":"Resting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(Saenger et al., 2012)</w:t>
      </w:r>
      <w:r w:rsidRPr="00B261AF">
        <w:rPr>
          <w:rFonts w:ascii="Arial" w:hAnsi="Arial" w:cs="Arial"/>
          <w:sz w:val="24"/>
          <w:szCs w:val="24"/>
        </w:rPr>
        <w:fldChar w:fldCharType="end"/>
      </w:r>
      <w:r w:rsidRPr="00B261AF">
        <w:rPr>
          <w:rFonts w:ascii="Arial" w:hAnsi="Arial" w:cs="Arial"/>
          <w:sz w:val="24"/>
          <w:szCs w:val="24"/>
        </w:rPr>
        <w:t xml:space="preserve">, emotion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{"citationID":"vC1NkmBs","properties":{"formattedCitation":"(Palmiero &amp; Piccardi, 2017)","plainCitation":"(Palmiero &amp; Piccardi, 2017)","noteIndex":0},"citationItems":[{"id":4289,"uris":["http://zotero.org/users/7023408/items/DSIKQH6F"],"itemData":{"id":4289,"type":"article-journal","abstract":"The present mini-review was aimed at exploring the frontal EEG asymmetry of mood. With respect to emotion, interpreted as a discrete affective process, mood is more controllable, more nebulous, and more related to mind/cognition; in addition, causes are less well-defined than those eliciting emotion. Therefore, firstly, the rational for the distinction between emotion and mood was provided. Then, the main frontal EEG asymmetry models were presented, such as the motivational approach/withdrawal, valence/arousal, capability, and inhibition asymmetric models. Afterward, the frontal EEG asymmetry of mood was investigated following three research lines, that is considering studies involving different mood induction procedures, dispositional mood (positive and negative affect), and mood alterations in both healthy and clinical populations. In general, results were found to be contradictory, no model is unequivocally supported regardless the research line considered. Different methodological issues were raised, such as: the composition of samples used across studies, in particular, gender and age were found to be critical variables that should be better addressed in future studies; the importance of third variables that might mediate the relationship between frontal EEG asymmetries and mood, for example bodily states and hormonal responses; the role of cognition, namely the interplay between mood and executive functions. In light of these issues, future research directions were proposed. Amongst others, the need to explore the neural connectivity that underpins EEG asymmetries, and the need to include both positive and negative mood conditions in the experimental designs have been highlighted.","container-title":"Frontiers in Behavioral Neuroscience","DOI":"10.3389/fnbeh.2017.00224","ISSN":"1662-5153","journalAbbreviation":"Front Behav Neurosci","note":"PMID: 29209180\nPMCID: PMC5701669","page":"224","source":"PubMed Central","title":"Frontal EEG Asymmetry of Mood: A Mini-Review","title-short":"Frontal EEG Asymmetry of Mood","volume":"11","author":[{"family":"Palmiero","given":"Massimiliano"},{"family":"Piccardi","given":"Laura"}],"issued":{"date-parts":[["2017",11,6]]},"citation-key":"palmieroFrontalEEGAsymmetry2017"}}],"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 xml:space="preserve">(Palmiero &amp; </w:t>
      </w:r>
      <w:proofErr w:type="spellStart"/>
      <w:r w:rsidR="00B261AF">
        <w:rPr>
          <w:rFonts w:ascii="Arial" w:hAnsi="Arial" w:cs="Arial"/>
          <w:sz w:val="24"/>
          <w:szCs w:val="24"/>
        </w:rPr>
        <w:t>Piccardi</w:t>
      </w:r>
      <w:proofErr w:type="spellEnd"/>
      <w:r w:rsidR="00B261AF">
        <w:rPr>
          <w:rFonts w:ascii="Arial" w:hAnsi="Arial" w:cs="Arial"/>
          <w:sz w:val="24"/>
          <w:szCs w:val="24"/>
        </w:rPr>
        <w:t>, 2017)</w:t>
      </w:r>
      <w:r w:rsidRPr="00B261AF">
        <w:rPr>
          <w:rFonts w:ascii="Arial" w:hAnsi="Arial" w:cs="Arial"/>
          <w:sz w:val="24"/>
          <w:szCs w:val="24"/>
        </w:rPr>
        <w:fldChar w:fldCharType="end"/>
      </w:r>
      <w:r w:rsidRPr="00B261AF">
        <w:rPr>
          <w:rFonts w:ascii="Arial" w:hAnsi="Arial" w:cs="Arial"/>
          <w:sz w:val="24"/>
          <w:szCs w:val="24"/>
        </w:rPr>
        <w:t xml:space="preserve">, pain perception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{"citationID":"H0HHl8io","properties":{"formattedCitation":"(Demarest et al., 2023; Rustamov et al., 2021)","plainCitation":"(Demarest et al., 2023; Rustamov et al., 2021)","noteIndex":0},"citationItems":[{"id":3641,"uris":["http://zotero.org/users/7023408/items/9VF3SJBR"],"itemData":{"id":3641,"type":"manuscript","note":"DOI: 10.21203/rs.3.rs-2973437/v1","title":"A novel theta-controlled vibrotactile brain-computer interface to treat chronic pain: A pilot study","URL":"https://www.researchsquare.com/article/rs-2973437/v1","author":[{"family":"Demarest","given":"Phillip"},{"family":"Rustamov","given":"Nabi"},{"family":"Swift","given":"James"},{"family":"Tao","given":"Xie"},{"family":"Adamek","given":"Markus"},{"family":"Cho","given":"Hohyun"},{"family":"Wilson","given":"Elizabeth"},{"family":"Han","given":"Zhuangyu"},{"family":"Belsten","given":"Alexander"},{"family":"Luczak","given":"Nicholas"},{"family":"Brunner","given":"Peter"},{"family":"Haroutounian","given":"Simon"},{"family":"Leuthardt","given":"Eric"}],"issued":{"date-parts":[["2023",5]]},"citation-key":"demarestNovelThetacontrolledVibrotactile2023"}},{"id":6,"uris":["http://zotero.org/users/7023408/items/5I44UEFZ"],"itemData":{"id":6,"type":"article-journal","abstract":"The objective of this study was to comprehensively investigate patterns of brain activities associated with pain recovery following experimental tonic pain in humans. Specific electrophysiological features of pain recovery may either be monitored or be modulated through neurofeedback (NF) as a novel chronic pain treatment. The cold pressor test was applied with simultaneous electroencephalogram (EEG) recording. EEG data were acquired, and analyzed to define: (1) EEG power topography patterns of pain recovery; (2) source generators of pain recovery at cortical level; (3) changes in functional connectivity associated with pain recovery; (4) features of phase-amplitude coupling (PAC) as it relates to pain recovery. The novel finding of this study is that recovery from pain was characterized by significant theta power rebound at the left fronto-central area. The sources of theta power over-recovery were located in the left dorsolateral prefrontal cortex (DLPFC), cingulate cortex, left insula and contralateral sensorimotor cortex. These effects were paralleled by theta band connectivity increase within hemispheres in a prefrontal–somatosensory network and interhemispherically between prefrontal and parietal areas. In addition, this study revealed significant reduction in PAC between theta/alpha and gamma oscillations during recovery period following tonic pain. These findings have largely been replicated across two identical sessions. Our study emphasizes the association between pain recovery and left lateral prefrontal theta power rebound, and significant over-recovery of functional connectivity in prefrontal-sensorimotor neural network synchronized at theta frequencies. These findings may provide basis for chronic pain treatment by modulating neural oscillations at theta frequencies in left prefrontal cortex.","container-title":"Neuroscience","DOI":"10.1016/j.neuroscience.2021.04.008","ISSN":"0306-4522","journalAbbreviation":"Neuroscience","language":"en","page":"23-37","source":"ScienceDirect","title":"Spatial and Frequency-specific Electrophysiological Signatures of Tonic Pain Recovery in Humans","volume":"465","author":[{"family":"Rustamov","given":"Nabi"},{"family":"Sharma","given":"Lokesh"},{"family":"Chiang","given":"Sarah N."},{"family":"Burk","given":"Carrie"},{"family":"Haroutounian","given":"Simon"},{"family":"Leuthardt","given":"Eric C."}],"issued":{"date-parts":[["2021",6,15]]},"citation-key":"rustamovSpatialFrequencyspecificElectrophysiological2021"}}],"schema":"https://github.com/citation-style-language/schema/raw/master/csl-citation.json"}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(Demarest et al., 2023; Rustamov et al., 2021)</w:t>
      </w:r>
      <w:r w:rsidRPr="00B261AF">
        <w:rPr>
          <w:rFonts w:ascii="Arial" w:hAnsi="Arial" w:cs="Arial"/>
          <w:sz w:val="24"/>
          <w:szCs w:val="24"/>
        </w:rPr>
        <w:fldChar w:fldCharType="end"/>
      </w:r>
      <w:r w:rsidRPr="00B261AF">
        <w:rPr>
          <w:rFonts w:ascii="Arial" w:hAnsi="Arial" w:cs="Arial"/>
          <w:sz w:val="24"/>
          <w:szCs w:val="24"/>
        </w:rPr>
        <w:t xml:space="preserve">, and cognition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{"citationID":"eBAzf9wD","properties":{"formattedCitation":"(Smith et al., 2017)","plainCitation":"(Smith et al., 2017)","noteIndex":0},"citationItems":[{"id":4290,"uris":["http://zotero.org/users/7023408/items/5NEETSJG"],"itemData":{"id":4290,"type":"article-journal","abstract":"Frontal electroencephalographic (EEG) alpha asymmetry is widely researched in studies of emotion, motivation, and psychopathology, yet it is a metric that has been quantified and analyzed using diverse procedures, and diversity in procedures muddles cross-study interpretation. The aim of this article is to provide an updated tutorial for EEG alpha asymmetry recording, processing, analysis, and interpretation, with an eye towards improving consistency of results across studies. First, a brief background in alpha asymmetry findings is provided. Then, some guidelines for recording, processing, and analyzing alpha asymmetry are presented with an emphasis on the creation of asymmetry scores, referencing choices, and artifact removal. Processing steps are explained in detail, and references to MATLAB-based toolboxes that are helpful for creating and investigating alpha asymmetry are noted. Then, conceptual challenges and interpretative issues are reviewed, including a discussion of alpha asymmetry as a mediator/moderator of emotion and psychopathology. Finally, the effects of two automated component-based artifact correction algorithms—MARA and ADJUST—on frontal alpha asymmetry are evaluated.","container-title":"International journal of psychophysiology : official journal of the International Organization of Psychophysiology","DOI":"10.1016/j.ijpsycho.2016.11.005","ISSN":"0167-8760","journalAbbreviation":"Int J Psychophysiol","note":"PMID: 27865882\nPMCID: PMC6449497","page":"98-114","source":"PubMed Central","title":"Assessing and Conceptualizing Frontal EEG Asymmetry: An Updated Primer on Recording, Processing, Analyzing, and Interpreting Frontal Alpha Asymmetry","title-short":"Assessing and Conceptualizing Frontal EEG Asymmetry","volume":"111","author":[{"family":"Smith","given":"Ezra E."},{"family":"Reznik","given":"Samantha J."},{"family":"Stewart","given":"Jennifer L."},{"family":"Allen","given":"John J. B."}],"issued":{"date-parts":[["2017",1]]},"citation-key":"smithAssessingConceptualizingFrontal2017"}}],"schema":"https://github.com/citation-style-language/schema/raw/master/csl-citation.json"}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(Smith et al., 2017)</w:t>
      </w:r>
      <w:r w:rsidRPr="00B261AF">
        <w:rPr>
          <w:rFonts w:ascii="Arial" w:hAnsi="Arial" w:cs="Arial"/>
          <w:sz w:val="24"/>
          <w:szCs w:val="24"/>
        </w:rPr>
        <w:fldChar w:fldCharType="end"/>
      </w:r>
      <w:r w:rsidRPr="00B261AF">
        <w:rPr>
          <w:rFonts w:ascii="Arial" w:hAnsi="Arial" w:cs="Arial"/>
          <w:sz w:val="24"/>
          <w:szCs w:val="24"/>
        </w:rPr>
        <w:t xml:space="preserve">. Our observations of significant ipsilateral right-hemisphere dominance coincide with previous evaluations of hemispheric asymmetries in the DMN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{"citationID":"GPGs9oFo","properties":{"formattedCitation":"(Saenger et al., 2012)","plainCitation":"(Saenger et al., 2012)","noteIndex":0},"citationItems":[{"id":4288,"uris":["http://zotero.org/users/7023408/items/6V6YQ4D7"],"itemData":{"id":4288,"type":"article-journal","abstract":"Resting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(Saenger et al., 2012)</w:t>
      </w:r>
      <w:r w:rsidRPr="00B261AF">
        <w:rPr>
          <w:rFonts w:ascii="Arial" w:hAnsi="Arial" w:cs="Arial"/>
          <w:sz w:val="24"/>
          <w:szCs w:val="24"/>
        </w:rPr>
        <w:fldChar w:fldCharType="end"/>
      </w:r>
      <w:r w:rsidRPr="00B261AF">
        <w:rPr>
          <w:rFonts w:ascii="Arial" w:hAnsi="Arial" w:cs="Arial"/>
          <w:sz w:val="24"/>
          <w:szCs w:val="24"/>
        </w:rPr>
        <w:t xml:space="preserve">. In contrast, another study characterizing the asymmetries of cingulum bundle connections revealed left-hemisphere dominance across most cortical regions; however, their stimulation targets, stimulation parameters, and measures of connectivity differed from ours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{"citationID":"DWpnxt70","properties":{"formattedCitation":"(Danstrom et al., 2025)","plainCitation":"(Danstrom et al., 2025)","noteIndex":0},"citationItems":[{"id":4291,"uris":["http://zotero.org/users/7023408/items/GBPK9RLF"],"itemData":{"id":4291,"type":"article-journal","abstract":"The cingulum bundle (CB) is a group of axons supporting connectivity among several functional brain networks relevant in healthy and diseased states. The paracingulate sulcus (PCS) is present in at least one cerebral hemisphere across 70% of the population. PCS presence versus absence is linked to differences in structure and function of the anterior cingulate cortex, though the influence of PCS on the white matter of the CB remains unknown. The objective of this work was to define the CB electrographic connectivity profile and determine the impact of PCS morphology on CB engagement. Single</w:instrText>
      </w:r>
      <w:r w:rsidR="00B261AF">
        <w:rPr>
          <w:rFonts w:ascii="Cambria Math" w:hAnsi="Cambria Math" w:cs="Cambria Math"/>
          <w:sz w:val="24"/>
          <w:szCs w:val="24"/>
        </w:rPr>
        <w:instrText>‐</w:instrText>
      </w:r>
      <w:r w:rsidR="00B261AF">
        <w:rPr>
          <w:rFonts w:ascii="Arial" w:hAnsi="Arial" w:cs="Arial"/>
          <w:sz w:val="24"/>
          <w:szCs w:val="24"/>
        </w:rPr>
        <w:instrText>pulse electrical stimulation in combination with stereo</w:instrText>
      </w:r>
      <w:r w:rsidR="00B261AF">
        <w:rPr>
          <w:rFonts w:ascii="Cambria Math" w:hAnsi="Cambria Math" w:cs="Cambria Math"/>
          <w:sz w:val="24"/>
          <w:szCs w:val="24"/>
        </w:rPr>
        <w:instrText>‐</w:instrText>
      </w:r>
      <w:r w:rsidR="00B261AF">
        <w:rPr>
          <w:rFonts w:ascii="Arial" w:hAnsi="Arial" w:cs="Arial"/>
          <w:sz w:val="24"/>
          <w:szCs w:val="24"/>
        </w:rPr>
        <w:instrText>electroencephalography recordings was used to measure neural responses to left and right CB stimulation in 19 patients undergoing intracranial monitoring for treatment of refractory epilepsy. Evoked potential responses were extracted from brain areas, and a connectivity robustness ratio was computed. Network</w:instrText>
      </w:r>
      <w:r w:rsidR="00B261AF">
        <w:rPr>
          <w:rFonts w:ascii="Cambria Math" w:hAnsi="Cambria Math" w:cs="Cambria Math"/>
          <w:sz w:val="24"/>
          <w:szCs w:val="24"/>
        </w:rPr>
        <w:instrText>‐</w:instrText>
      </w:r>
      <w:r w:rsidR="00B261AF">
        <w:rPr>
          <w:rFonts w:ascii="Arial" w:hAnsi="Arial" w:cs="Arial"/>
          <w:sz w:val="24"/>
          <w:szCs w:val="24"/>
        </w:rPr>
        <w:instrText xml:space="preserve">level responses were compared across left and right CB, and with consideration of PCS morphology. CB electrographic connectivity demonstrated leftward dominance, but this was strongly impacted by PCS morphology in both cerebral hemispheres. Maximal left CB connectivity was observed in the presence of left PCS morphology, while right CB connectivity was strongest in its absence. These data strongly suggest that bilateral CB engagement is modulated by PCS morphology in the left hemisphere. These findings are particularly relevant when considering the CB as a target for treating neuropsychiatric disorders., Electrical stimulation reveals hemispheric asymmetry in cingulum bundle connectivity, which is further modulated by variability in paracingulate sulcus morphology. Differences in cingulum bundle connectivity across hemispheres may support functional specialization, and the impact of paracingulate sulcus morphology may suggest differences in fiber organization.","container-title":"Human Brain Mapping","DOI":"10.1002/hbm.70230","ISSN":"1065-9471","issue":"9","journalAbbreviation":"Hum Brain Mapp","note":"PMID: 40525815\nPMCID: PMC12172119","page":"e70230","source":"PubMed Central","title":"Asymmetric Cingulum Bundle Connectivity Is Modulated by Paracingulate Sulcus Morphology","volume":"46","author":[{"family":"Danstrom","given":"Isabel A."},{"family":"Adkinson","given":"Joshua A."},{"family":"Robinson","given":"Meghan E."},{"family":"Lin","given":"Lu"},{"family":"Maheshwari","given":"Atul"},{"family":"Shofty","given":"Ben"},{"family":"Banks","given":"Garrett"},{"family":"Hasen","given":"Mohammed"},{"family":"Sheth","given":"Sameer A."},{"family":"Goldman","given":"Alica M."},{"family":"Bartoli","given":"Eleonora"},{"family":"Heilbronner","given":"Sarah R."},{"family":"Bijanki","given":"Kelly R."}],"issued":{"date-parts":[["2025",6,17]]},"citation-key":"danstromAsymmetricCingulumBundle2025"}}],"schema":"https://github.com/citation-style-language/schema/raw/master/csl-citation.json"}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Danstrom</w:t>
      </w:r>
      <w:proofErr w:type="spellEnd"/>
      <w:r w:rsidR="00B261AF">
        <w:rPr>
          <w:rFonts w:ascii="Arial" w:hAnsi="Arial" w:cs="Arial"/>
          <w:sz w:val="24"/>
          <w:szCs w:val="24"/>
        </w:rPr>
        <w:t xml:space="preserve"> et al., 2025)</w:t>
      </w:r>
      <w:r w:rsidRPr="00B261AF">
        <w:rPr>
          <w:rFonts w:ascii="Arial" w:hAnsi="Arial" w:cs="Arial"/>
          <w:sz w:val="24"/>
          <w:szCs w:val="24"/>
        </w:rPr>
        <w:fldChar w:fldCharType="end"/>
      </w:r>
      <w:r w:rsidRPr="00B261AF">
        <w:rPr>
          <w:rFonts w:ascii="Arial" w:hAnsi="Arial" w:cs="Arial"/>
          <w:sz w:val="24"/>
          <w:szCs w:val="24"/>
        </w:rPr>
        <w:t xml:space="preserve">. While our results reinforce the utility of effective modeling in understanding the overlap between functional and anatomical connectivity and further elucidate the spatial dimension of Cg effective connectivity, future work with higher spatial sampling and symmetrical coverage will be necessary to better understand hemispheric asymmetries of Cg networks. </w:t>
      </w:r>
    </w:p>
    <w:p w14:paraId="1F8BA5AE" w14:textId="38E4BC16"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Studies of effective connectivity resulting from the analysis of CCEPs are often constrained to a subset of approaches that specifically evaluate the interactions between sites of stimulation and recording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{"citationID":"0kDj8DgG","properties":{"formattedCitation":"(Keller et al., 2014; Miller et al., 2021)","plainCitation":"(Keller et al., 2014; Miller et al., 2021)","noteIndex":0},"citationItems":[{"id":3036,"uris":["http://zotero.org/users/7023408/items/CUSVQH4H"],"itemData":{"id":3036,"type":"article-journal","abstract":"Brain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(Keller et al., 2014; Miller et al., 2021)</w:t>
      </w:r>
      <w:r w:rsidRPr="00B261AF">
        <w:rPr>
          <w:rFonts w:ascii="Arial" w:hAnsi="Arial" w:cs="Arial"/>
          <w:sz w:val="24"/>
          <w:szCs w:val="24"/>
        </w:rPr>
        <w:fldChar w:fldCharType="end"/>
      </w:r>
      <w:r w:rsidRPr="00B261AF">
        <w:rPr>
          <w:rFonts w:ascii="Arial" w:hAnsi="Arial" w:cs="Arial"/>
          <w:sz w:val="24"/>
          <w:szCs w:val="24"/>
        </w:rPr>
        <w:t xml:space="preserve">. Since the morphological content of CCEPs is critical to modeling effective networks, we implemented an inter-regional model of morphological similarity and used a threshold-optimized hierarchical clustering approach to identify prevalent waveforms across Cg subregion networks. This also allowed us to cluster regions by CCEP morphology, further contributing to the utility of our comprehensive effective connectivity profiles of the Cg. Specifically, while divergent models of connectivity are often complicated due to the number of data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{"citationID":"TuWA51QS","properties":{"formattedCitation":"(Miller et al., 2021)","plainCitation":"(Miller et al., 2021)","noteIndex":0},"citationItems":[{"id":3036,"uris":["http://zotero.org/users/7023408/items/CUSVQH4H"],"itemData":{"id":3036,"type":"article-journal","abstract":"Brain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(Miller et al., 2021)</w:t>
      </w:r>
      <w:r w:rsidRPr="00B261AF">
        <w:rPr>
          <w:rFonts w:ascii="Arial" w:hAnsi="Arial" w:cs="Arial"/>
          <w:sz w:val="24"/>
          <w:szCs w:val="24"/>
        </w:rPr>
        <w:fldChar w:fldCharType="end"/>
      </w:r>
      <w:r w:rsidRPr="00B261AF">
        <w:rPr>
          <w:rFonts w:ascii="Arial" w:hAnsi="Arial" w:cs="Arial"/>
          <w:sz w:val="24"/>
          <w:szCs w:val="24"/>
        </w:rPr>
        <w:t xml:space="preserve">, this inter-regional model allowed us to reduce the dimensionality of our divergent model to identify groups of regions with shared </w:t>
      </w:r>
      <w:r w:rsidRPr="00B261AF">
        <w:rPr>
          <w:rFonts w:ascii="Arial" w:hAnsi="Arial" w:cs="Arial"/>
          <w:sz w:val="24"/>
          <w:szCs w:val="24"/>
        </w:rPr>
        <w:lastRenderedPageBreak/>
        <w:t xml:space="preserve">CCEP morphology. Thus, this analysis has tremendous utility in identifying regions of interest for hypothesis pre-selected studies, or for characterizing network-wide and region-specific changes in CCEP morphological content.  </w:t>
      </w:r>
    </w:p>
    <w:p w14:paraId="4B5FCCD1" w14:textId="152F6F4E"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The intuition behind this analysis is that the inter-regional landscape of morphological similarity can reveal additional information about the diversity of CCEPs within networks, which presents insights into the neural interactions and functions underlying effective networks. We found that the MCC network contained the highest morphological similarity between regions and the largest cluster of regions of the three Cg networks. While all three Cg subregions perform highly diverse and complex functions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{"citationID":"mjq9pbWS","properties":{"formattedCitation":"(Oane et al., 2022)","plainCitation":"(Oane et al., 2022)","noteIndex":0},"citationItems":[{"id":3368,"uris":["http://zotero.org/users/7023408/items/9NJXW7ZV"],"itemData":{"id":3368,"type":"article-journal","abstract":"Summary: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w:t>
      </w:r>
      <w:proofErr w:type="spellStart"/>
      <w:r w:rsidR="00B261AF">
        <w:rPr>
          <w:rFonts w:ascii="Arial" w:hAnsi="Arial" w:cs="Arial"/>
          <w:sz w:val="24"/>
          <w:szCs w:val="24"/>
        </w:rPr>
        <w:t>Oane</w:t>
      </w:r>
      <w:proofErr w:type="spellEnd"/>
      <w:r w:rsidR="00B261AF">
        <w:rPr>
          <w:rFonts w:ascii="Arial" w:hAnsi="Arial" w:cs="Arial"/>
          <w:sz w:val="24"/>
          <w:szCs w:val="24"/>
        </w:rPr>
        <w:t xml:space="preserve"> et al., 2022)</w:t>
      </w:r>
      <w:r w:rsidRPr="00B261AF">
        <w:rPr>
          <w:rFonts w:ascii="Arial" w:hAnsi="Arial" w:cs="Arial"/>
          <w:sz w:val="24"/>
          <w:szCs w:val="24"/>
        </w:rPr>
        <w:fldChar w:fldCharType="end"/>
      </w:r>
      <w:r w:rsidRPr="00B261AF">
        <w:rPr>
          <w:rFonts w:ascii="Arial" w:hAnsi="Arial" w:cs="Arial"/>
          <w:sz w:val="24"/>
          <w:szCs w:val="24"/>
        </w:rPr>
        <w:t xml:space="preserve">, the MCC’s role in behaviors requiring rapid response selection (for example, response to pain, and orienting the body to stimuli) may support the notion that it requires sets of stereotyped neural interactions with other regions to produce rapid, stereotyped behaviors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{"citationID":"iQ7JUoWH","properties":{"formattedCitation":"(Vogt, 2016)","plainCitation":"(Vogt, 2016)","noteIndex":0},"citationItems":[{"id":3640,"uris":["http://zotero.org/users/7023408/items/IA9TP3UA"],"itemData":{"id":3640,"type":"article-journal","abstract":"Midcingulate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(Vogt, 2016)</w:t>
      </w:r>
      <w:r w:rsidRPr="00B261AF">
        <w:rPr>
          <w:rFonts w:ascii="Arial" w:hAnsi="Arial" w:cs="Arial"/>
          <w:sz w:val="24"/>
          <w:szCs w:val="24"/>
        </w:rPr>
        <w:fldChar w:fldCharType="end"/>
      </w:r>
      <w:r w:rsidRPr="00B261AF">
        <w:rPr>
          <w:rFonts w:ascii="Arial" w:hAnsi="Arial" w:cs="Arial"/>
          <w:sz w:val="24"/>
          <w:szCs w:val="24"/>
        </w:rPr>
        <w:t>. Interestingly, temporal analysis revealed that CCEPs in the MCC condition were low-latency and homogenous, which further supports this idea. Thus, it is possible that out of the three Cg subregions, the MCC network has the most stereotyped set of communication characteristics and thus requires less diversity in how it communicates with other regions when compared to the ACC or PCC. This, of course, is preliminary and speculative, and does not account for the battery of complex cognitive functions of the MCC, which likely require diverse communication protocols between regions. However, such studies evaluating the relationship between network function and diversity of inter-regional neural interactions can be supported through this analysis.</w:t>
      </w:r>
    </w:p>
    <w:p w14:paraId="354153A4" w14:textId="76F9B97F"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This inter-regional analysis also presents CCEP clusters organized by morphological similarity between regions. We found that the morphology of some clusters followed the N1/N2 shape often described in contemporary analyses of CCEPs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{"citationID":"eVC5tDOh","properties":{"formattedCitation":"(Keller et al., 2014; Kubota et al., 2013; Lemar\\uc0\\u233{}chal et al., 2022; Levinson et al., 2024)","plainCitation":"(Keller et al., 2014; Kubota et al., 2013; Lemaréchal et al., 2022; Levinson et al., 2024)","noteIndex":0},"citationItems":[{"id":4268,"uris":["http://zotero.org/users/7023408/items/ZAVRVS7A"],"itemData":{"id":4268,"type":"article-journal","abstract":"Background\nCortico-cortical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D."}],"issued":{"date-parts":[["2014",10,5]]},"citation-key":"kellerMappingHumanBrain2014"}},{"id":3366,"uris":["http://zotero.org/users/7023408/items/IT2T88K7"],"itemData":{"id":3366,"type":"article-journal","abstract":"Objective\nTo investigate the human limbic system using cortico-cortical evoked potential (CCEP), which reveals the brain networks.\nMethods\nFive patients with nonlesional medically intractable focal epilepsy with ictal onset outside the limbic system were enrolled. All patients underwent stereoelectroencephalogram electrode implantation in order to delineate the epileptogenic zone. Alternating 1Hz electrical stimuli were delivered to the hippocampus and posterior cingulate gyrus. A total of sixty stimuli were averaged in each trial to obtain CCEP responses.\nResults\nHippocampal stimulation elicited prominent CCEP responses in the posterior cingulate gyrus. The latencies of early (N1) and late (N2) negative peak ranged 20–60ms and 102–175ms respectively. In addition, CCEP responses were observed in the posterior parahippocampal gyrus, medial superior frontal gyrus (SFG) and orbitofrontal cortex. Stimulation of posterior cingulate contacts induced CCEPs in the hippocampus with N1 and N2 latencies of 25–43ms and 90–234ms respectively in all five patients.\nConclusion\nThis finding supports the assertion that the hippocampus is connected with the posterior cingulate gyrus, posterior parahippocampal gyrus, medial SFG and orbitofrontal cortex. The hippocampus and posterior cingulate gyrus have a bidirectional network through the cingulum.\nSignificance\nThe present study provides new insight into the human limbic network.","container-title":"Clinical Neurophysiology","DOI":"10.1016/j.clinph.2013.01.024","ISSN":"1388-2457","issue":"8","journalAbbreviation":"Clinical Neurophysiology","language":"en","page":"1547-1556","source":"ScienceDirect","title":"In vivo human hippocampal cingulate connectivity: A corticocortical evoked potentials (CCEPs) study","title-short":"In vivo human hippocampal cingulate connectivity","volume":"124","author":[{"family":"Kubota","given":"Yuichi"},{"family":"Enatsu","given":"Rei"},{"family":"Gonzalez-Martinez","given":"Jorge"},{"family":"Bulacio","given":"Juan"},{"family":"Mosher","given":"John"},{"family":"Burgess","given":"Richard C."},{"family":"Nair","given":"Dileep R."}],"issued":{"date-parts":[["2013",8,1]]},"citation-key":"kubotaVivoHumanHippocampal2013"}},{"id":4294,"uris":["http://zotero.org/users/7023408/items/G9VYCQ54"],"itemData":{"id":4294,"type":"article-journal","abstract":"Epilepsy presurgical investigation may include focal intracortical single-pulse electrical stimulations with depth electrodes, which induce cortico-cortical evoked potentials at distant sites because of white matter connectivity. Cortico-cortical evoked potentials provide a unique window on functional brain networks because they contain sufficient information to infer dynamical properties of large-scale brain connectivity, such as preferred directionality and propagation latencies.  Here, we developed a biologically informed modelling approach to estimate the neural physiological parameters of brain functional networks from the cortico-cortical evoked potentials recorded in a large multicentric database. Specifically, we considered each cortico-cortical evoked potential as the output of a transient stimulus entering the stimulated region, which directly propagated to the recording region. Both regions were modelled as coupled neural mass models, the parameters of which were estimated from the first cortico-cortical evoked potential component, occurring before 80 ms, using dynamic causal modelling and Bayesian model inversion. This methodology was applied to the data of 780 patients with epilepsy from the F-TRACT database, providing a total of 34 354 bipolar stimulations and 774 445 cortico-cortical evoked potentials. The cortical mapping of the local excitatory and inhibitory synaptic time constants and of the axonal conduction delays between cortical regions was obtained at the population level using anatomy-based averaging procedures, based on the Lausanne2008 and the HCP-MMP1 parcellation schemes, containing 130 and 360 parcels, respectively. To rule out brain maturation effects, a separate analysis was performed for older (&gt;15 years) and younger patients (&lt;15 years). In the group of older subjects, we found that the cortico-cortical axonal conduction delays between parcels were globally short (median = 10.2 ms) and only 16% were larger than 20 ms. This was associated to a median velocity of 3.9 m/s. Although a general lengthening of these delays with the distance between the stimulating and recording contacts was observed across the cortex, some regions were less affected by this rule, such as the insula for which almost all efferent and afferent connections were faster than 10 ms. Synaptic time constants were found to be shorter in the sensorimotor, medial occipital and latero-temporal regions, than in other cortical areas. Finally, we found that axonal conduction delays were significantly larger in the group of subjects younger than 15 years, which corroborates that brain maturation increases the speed of brain dynamics. To our knowledge, this study is the first to provide a local estimation of axonal conduction delays and synaptic time constants across the whole human cortex in vivo, based on intracerebral electrophysiological recordings.","container-title":"Brain: A Journal of Neurology","DOI":"10.1093/brain/awab362","ISSN":"1460-2156","issue":"5","journalAbbreviation":"Brain","language":"eng","note":"PMID: 35416942\nPMCID: PMC9166555","page":"1653-1667","source":"PubMed","title":"A brain atlas of axonal and synaptic delays based on modelling of cortico-cortical evoked potentials","volume":"145","author":[{"family":"Lemaréchal","given":"Jean-Didier"},{"family":"Jedynak","given":"Maciej"},{"family":"Trebaul","given":"Lena"},{"family":"Boyer","given":"Anthony"},{"family":"Tadel","given":"François"},{"family":"Bhattacharjee","given":"Manik"},{"family":"Deman","given":"Pierre"},{"family":"Tuyisenge","given":"Viateur"},{"family":"Ayoubian","given":"Leila"},{"family":"Hugues","given":"Etienne"},{"family":"Chanteloup-Forêt","given":"Blandine"},{"family":"Saubat","given":"Carole"},{"family":"Zouglech","given":"Raouf"},{"family":"Reyes Mejia","given":"Gina Catalina"},{"family":"Tourbier","given":"Sébastien"},{"family":"Hagmann","given":"Patric"},{"family":"Adam","given":"Claude"},{"family":"Barba","given":"Carmen"},{"family":"Bartolomei","given":"Fabrice"},{"family":"Blauwblomme","given":"Thomas"},{"family":"Curot","given":"Jonathan"},{"family":"Dubeau","given":"François"},{"family":"Francione","given":"Stefano"},{"family":"Garcés","given":"Mercedes"},{"family":"Hirsch","given":"Edouard"},{"family":"Landré","given":"Elizabeth"},{"family":"Liu","given":"Sinclair"},{"family":"Maillard","given":"Louis"},{"family":"Metsähonkala","given":"Eeva-Liisa"},{"family":"Mindruta","given":"Ioana"},{"family":"Nica","given":"Anca"},{"family":"Pail","given":"Martin"},{"family":"Petrescu","given":"Ana Maria"},{"family":"Rheims","given":"Sylvain"},{"family":"Rocamora","given":"Rodrigo"},{"family":"Schulze-Bonhage","given":"Andreas"},{"family":"Szurhaj","given":"William"},{"family":"Taussig","given":"Delphine"},{"family":"Valentin","given":"Antonio"},{"family":"Wang","given":"Haixiang"},{"family":"Kahane","given":"Philippe"},{"family":"George","given":"Nathalie"},{"family":"David","given":"Olivier"},{"literal":"F-TRACT consortium"}],"issued":{"date-parts":[["2022",6,3]]},"citation-key":"lemarechalBrainAtlasAxonal2022"}}],"schema":"https://github.com/citation-style-language/schema/raw/master/csl-citation.json"} </w:instrText>
      </w:r>
      <w:r w:rsidRPr="00B261AF">
        <w:rPr>
          <w:rFonts w:ascii="Arial" w:hAnsi="Arial" w:cs="Arial"/>
          <w:sz w:val="24"/>
          <w:szCs w:val="24"/>
        </w:rPr>
        <w:fldChar w:fldCharType="separate"/>
      </w:r>
      <w:r w:rsidR="00B261AF" w:rsidRPr="00B261AF">
        <w:rPr>
          <w:rFonts w:ascii="Arial" w:hAnsi="Arial" w:cs="Arial"/>
          <w:sz w:val="24"/>
        </w:rPr>
        <w:t xml:space="preserve">(Keller et al., 2014; Kubota et al., 2013; </w:t>
      </w:r>
      <w:proofErr w:type="spellStart"/>
      <w:r w:rsidR="00B261AF" w:rsidRPr="00B261AF">
        <w:rPr>
          <w:rFonts w:ascii="Arial" w:hAnsi="Arial" w:cs="Arial"/>
          <w:sz w:val="24"/>
        </w:rPr>
        <w:t>Lemaréchal</w:t>
      </w:r>
      <w:proofErr w:type="spellEnd"/>
      <w:r w:rsidR="00B261AF" w:rsidRPr="00B261AF">
        <w:rPr>
          <w:rFonts w:ascii="Arial" w:hAnsi="Arial" w:cs="Arial"/>
          <w:sz w:val="24"/>
        </w:rPr>
        <w:t xml:space="preserve"> et al., 2022; Levinson et al., 2024)</w:t>
      </w:r>
      <w:r w:rsidRPr="00B261AF">
        <w:rPr>
          <w:rFonts w:ascii="Arial" w:hAnsi="Arial" w:cs="Arial"/>
          <w:sz w:val="24"/>
          <w:szCs w:val="24"/>
        </w:rPr>
        <w:fldChar w:fldCharType="end"/>
      </w:r>
      <w:r w:rsidRPr="00B261AF">
        <w:rPr>
          <w:rFonts w:ascii="Arial" w:hAnsi="Arial" w:cs="Arial"/>
          <w:sz w:val="24"/>
          <w:szCs w:val="24"/>
        </w:rPr>
        <w:t xml:space="preserve">, especially clusters with the highest inter-regional morphological similarity. However, other clusters expressed CCEP morphologies beyond the commonly assumed N1/N2 shape. Others have noted CCEP morphologies that do not rely on pre-defined assumptions about shape, the limitations of such assumptions on characterizing effective networks, and the utility of assumption-free approaches for formalizing CCEP analysis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{"citationID":"Gi599aCE","properties":{"formattedCitation":"(Huang et al., 2024; Miller et al., 2023; Ojeda Valencia et al., 2023)","plainCitation":"(Huang et al., 2024; Miller et al., 2023; Ojeda Valencia et al., 2023)","noteIndex":0},"citationItems":[{"id":4293,"uris":["http://zotero.org/users/7023408/items/DUZJRH6R"],"itemData":{"id":4293,"type":"article-journal","abstract":"Single-pulse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id":4295,"uris":["http://zotero.org/users/7023408/items/3L4MQ25G"],"itemData":{"id":4295,"type":"article-journal","abstract":"Theta-burst stimulation (TBS), a patterned brain stimulation technique that mimics rhythmic bursts of 3-8 Hz endogenous brain rhythms, has emerged as a promising therapeutic approach for treating a wide range of brain disorders, though the neural mechanism of TBS action remains poorly understood. We investigated the neural effects of TBS using intracranial EEG (iEEG) in 10 pre-surgical epilepsy participants undergoing intracranial monitoring. Here we show that individual bursts of direct electrical TBS at 29 frontal and temporal sites evoked strong neural responses spanning broad cortical regions. These responses exhibited dynamic local field potential voltage changes over the course of stimulation presentations, including either increasing or decreasing responses, suggestive of short-term plasticity. Stronger stimulation augmented the mean TBS response amplitude and spread with more recording sites demonstrating short-term plasticity. TBS responses were stimulation site-specific with stronger TBS responses observed in regions with strong baseline stimulation effective (cortico-cortical evoked potentials) and functional (low frequency phase locking) connectivity. Further, we could use these measures to predict stable and varying (e.g. short-term plasticity) TBS response locations. Future work may integrate pre-treatment connectivity alongside other biophysical factors to personalize stimulation parameters, thereby optimizing induction of neuroplasticity within disease-relevant brain networks.","container-title":"Nature Communications","DOI":"10.1038/s41467-024-51443-1","ISSN":"2041-1723","issue":"1","journalAbbreviation":"Nat Commun","language":"eng","note":"PMID: 39143083\nPMCID: PMC11324911","page":"6982","source":"PubMed","title":"Theta-burst direct electrical stimulation remodels human brain networks","volume":"15","author":[{"family":"Huang","given":"Yuhao"},{"family":"Zelmann","given":"Rina"},{"family":"Hadar","given":"Peter"},{"family":"Dezha-Peralta","given":"Jaquelin"},{"family":"Richardson","given":"R. Mark"},{"family":"Williams","given":"Ziv M."},{"family":"Cash","given":"Sydney S."},{"family":"Keller","given":"Corey J."},{"family":"Paulk","given":"Angelique C."}],"issued":{"date-parts":[["2024",8,14]]},"citation-key":"huangThetaburstDirectElectrical2024"}}],"schema":"https://github.com/citation-style-language/schema/raw/master/csl-citation.json"}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(Huang et al., 2024; Miller et al., 2023; Ojeda Valencia et al., 2023)</w:t>
      </w:r>
      <w:r w:rsidRPr="00B261AF">
        <w:rPr>
          <w:rFonts w:ascii="Arial" w:hAnsi="Arial" w:cs="Arial"/>
          <w:sz w:val="24"/>
          <w:szCs w:val="24"/>
        </w:rPr>
        <w:fldChar w:fldCharType="end"/>
      </w:r>
      <w:r w:rsidRPr="00B261AF">
        <w:rPr>
          <w:rFonts w:ascii="Arial" w:hAnsi="Arial" w:cs="Arial"/>
          <w:sz w:val="24"/>
          <w:szCs w:val="24"/>
        </w:rPr>
        <w:t xml:space="preserve">. This aligns with our findings; however, to our knowledge, no other study has directly supported this notion with quantitative evidence. To this end, we used a random forest model to assess the predictive strength across a panel of CCEP features for classifying which cingulate subregion was stimulated. This approach revealed the CCEP features with the highest predictive strength for characterizing Cg effective networks. We found that assumption-based waveform features consisting of qualities of N1 and N2 peaks had the lowest predictor strength for classifying the stimulated Cg subregion. This result </w:t>
      </w:r>
      <w:r w:rsidRPr="00B261AF">
        <w:rPr>
          <w:rFonts w:ascii="Arial" w:hAnsi="Arial" w:cs="Arial"/>
          <w:sz w:val="24"/>
          <w:szCs w:val="24"/>
        </w:rPr>
        <w:lastRenderedPageBreak/>
        <w:t xml:space="preserve">indicates that the quantitative content represented by these assumption-based features is inferior to other measures (such as coherence or magnitude) in differentiating Cg networks. This further supports previous assertions that formalized, assumption-free methods of analyzing CCEPs will be essential to characterize and compare effective networks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{"citationID":"1NXi1vGh","properties":{"formattedCitation":"(Miller et al., 2023)","plainCitation":"(Miller et al., 2023)","noteIndex":0},"citationItems":[{"id":4293,"uris":["http://zotero.org/users/7023408/items/DUZJRH6R"],"itemData":{"id":4293,"type":"article-journal","abstract":"Single-pulse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(Miller et al., 2023)</w:t>
      </w:r>
      <w:r w:rsidRPr="00B261AF">
        <w:rPr>
          <w:rFonts w:ascii="Arial" w:hAnsi="Arial" w:cs="Arial"/>
          <w:sz w:val="24"/>
          <w:szCs w:val="24"/>
        </w:rPr>
        <w:fldChar w:fldCharType="end"/>
      </w:r>
      <w:r w:rsidRPr="00B261AF">
        <w:rPr>
          <w:rFonts w:ascii="Arial" w:hAnsi="Arial" w:cs="Arial"/>
          <w:sz w:val="24"/>
          <w:szCs w:val="24"/>
        </w:rPr>
        <w:t>.</w:t>
      </w:r>
    </w:p>
    <w:p w14:paraId="2632976B"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When evaluating the classification accuracy of our model across cortical regions, we hypothesized that Cg “hub” regions, i.e., regions with near identical primary measures of effective connectivity, would have the lowest classification accuracy, especially due to the similarity of how connected these regions are to each Cg subregion. We did not observe this in our results, indicating that the statistical content of features beyond primary measures of effective connectivity is useful for distinguishing CC subregion networks. Instead, hippocampal and amygdala structures had the lowest classification accuracy, demonstrating low distinguishability between the statistical content extracted from CCEPs in this region. Interestingly, when comparing the frequency of statistical significance between correctly and incorrectly classified CCEPs, we found that while statistical significance was more prevalent in correctly classified responses, only 18-26% of these responses showed statistical significance. This finding may challenge the notion that traditional statistics are sufficient to fully describe effective networks, and instead, multi-modal approaches consisting of a breadth of features will be necessary in characterizing them.</w:t>
      </w:r>
    </w:p>
    <w:p w14:paraId="7DE7995E" w14:textId="6AAB2CE5" w:rsidR="00B52B3B" w:rsidRPr="00B261AF" w:rsidRDefault="00B261AF" w:rsidP="00B52B3B">
      <w:pPr>
        <w:spacing w:line="276" w:lineRule="auto"/>
        <w:rPr>
          <w:rFonts w:ascii="Arial" w:hAnsi="Arial" w:cs="Arial"/>
          <w:i/>
          <w:iCs/>
          <w:sz w:val="24"/>
          <w:szCs w:val="24"/>
        </w:rPr>
      </w:pPr>
      <w:r w:rsidRPr="00B261AF">
        <w:rPr>
          <w:rFonts w:ascii="Arial" w:hAnsi="Arial" w:cs="Arial"/>
          <w:i/>
          <w:iCs/>
          <w:sz w:val="24"/>
          <w:szCs w:val="24"/>
        </w:rPr>
        <w:t xml:space="preserve">4.1 </w:t>
      </w:r>
      <w:r w:rsidR="00B52B3B" w:rsidRPr="00B261AF">
        <w:rPr>
          <w:rFonts w:ascii="Arial" w:hAnsi="Arial" w:cs="Arial"/>
          <w:i/>
          <w:iCs/>
          <w:sz w:val="24"/>
          <w:szCs w:val="24"/>
        </w:rPr>
        <w:t>Limitations and Future Directions</w:t>
      </w:r>
    </w:p>
    <w:p w14:paraId="38F39F83" w14:textId="3AA34BFE" w:rsidR="00B52B3B" w:rsidRPr="00B261AF" w:rsidRDefault="00B52B3B" w:rsidP="00B52B3B">
      <w:pPr>
        <w:spacing w:line="276" w:lineRule="auto"/>
        <w:rPr>
          <w:rFonts w:ascii="Arial" w:hAnsi="Arial" w:cs="Arial"/>
          <w:sz w:val="24"/>
          <w:szCs w:val="24"/>
        </w:rPr>
      </w:pPr>
      <w:r w:rsidRPr="00B261AF">
        <w:rPr>
          <w:rFonts w:ascii="Arial" w:hAnsi="Arial" w:cs="Arial"/>
          <w:sz w:val="24"/>
          <w:szCs w:val="24"/>
        </w:rPr>
        <w:tab/>
        <w:t xml:space="preserve">Our study included patients with medically refractory epilepsy requiring invasive monitoring via SEEG. It is possible that excessive epileptiform activity could have an impact on the physiology underlying models of effective networks. Regardless, invasively monitored patients with epilepsy have remained a strong model of normal human physiology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{"citationID":"pA0nYX6Z","properties":{"formattedCitation":"(Keller et al., 2014)","plainCitation":"(Keller et al., 2014)","noteIndex":0},"citationItems":[{"id":3516,"uris":["http://zotero.org/users/7023408/items/PIPUQARN"],"itemData":{"id":3516,"type":"article-journal","abstract":"The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(Keller et al., 2014)</w:t>
      </w:r>
      <w:r w:rsidRPr="00B261AF">
        <w:rPr>
          <w:rFonts w:ascii="Arial" w:hAnsi="Arial" w:cs="Arial"/>
          <w:sz w:val="24"/>
          <w:szCs w:val="24"/>
        </w:rPr>
        <w:fldChar w:fldCharType="end"/>
      </w:r>
      <w:r w:rsidRPr="00B261AF">
        <w:rPr>
          <w:rFonts w:ascii="Arial" w:hAnsi="Arial" w:cs="Arial"/>
          <w:sz w:val="24"/>
          <w:szCs w:val="24"/>
        </w:rPr>
        <w:t>.</w:t>
      </w:r>
    </w:p>
    <w:p w14:paraId="753B41DF" w14:textId="1890BA4F"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Our study provides a comprehensive profile of the Cg effective connectivity networks. These profiles were constructed using a divergent model of effective connectivity, meaning that the characteristics of the features we extracted reflect the connections from the Cg subregion to regions of the cortex. Since effective networks consist of complex, often multidirectional neural interactions, our results do not reflect a complete model of the human Cg effective networks. To form a complete model of the human cingulate cortex’s effective connectivity, future convergent models following similar frameworks will be necessary to characterize all directional patterns of neural interactions </w:t>
      </w:r>
      <w:r w:rsidRPr="00B261AF">
        <w:rPr>
          <w:rFonts w:ascii="Arial" w:hAnsi="Arial" w:cs="Arial"/>
          <w:sz w:val="24"/>
          <w:szCs w:val="24"/>
        </w:rPr>
        <w:fldChar w:fldCharType="begin"/>
      </w:r>
      <w:r w:rsidR="00B261AF">
        <w:rPr>
          <w:rFonts w:ascii="Arial" w:hAnsi="Arial" w:cs="Arial"/>
          <w:sz w:val="24"/>
          <w:szCs w:val="24"/>
        </w:rPr>
        <w:instrText xml:space="preserve"> ADDIN ZOTERO_ITEM CSL_CITATION {"citationID":"ErrpNGwl","properties":{"formattedCitation":"(Miller et al., 2021)","plainCitation":"(Miller et al., 2021)","noteIndex":0},"citationItems":[{"id":3036,"uris":["http://zotero.org/users/7023408/items/CUSVQH4H"],"itemData":{"id":3036,"type":"article-journal","abstract":"Brain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B261AF">
        <w:rPr>
          <w:rFonts w:ascii="Arial" w:hAnsi="Arial" w:cs="Arial"/>
          <w:sz w:val="24"/>
          <w:szCs w:val="24"/>
        </w:rPr>
        <w:fldChar w:fldCharType="separate"/>
      </w:r>
      <w:r w:rsidR="00B261AF">
        <w:rPr>
          <w:rFonts w:ascii="Arial" w:hAnsi="Arial" w:cs="Arial"/>
          <w:sz w:val="24"/>
          <w:szCs w:val="24"/>
        </w:rPr>
        <w:t>(Miller et al., 2021)</w:t>
      </w:r>
      <w:r w:rsidRPr="00B261AF">
        <w:rPr>
          <w:rFonts w:ascii="Arial" w:hAnsi="Arial" w:cs="Arial"/>
          <w:sz w:val="24"/>
          <w:szCs w:val="24"/>
        </w:rPr>
        <w:fldChar w:fldCharType="end"/>
      </w:r>
      <w:r w:rsidRPr="00B261AF">
        <w:rPr>
          <w:rFonts w:ascii="Arial" w:hAnsi="Arial" w:cs="Arial"/>
          <w:sz w:val="24"/>
          <w:szCs w:val="24"/>
        </w:rPr>
        <w:t xml:space="preserve">. </w:t>
      </w:r>
    </w:p>
    <w:p w14:paraId="7D5B0DAE" w14:textId="7777777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 xml:space="preserve">Further, “one-to-all” (divergent) and “all-to-one” (convergent) studies produce data that are often high-dimensional, making interpretation of specific connections </w:t>
      </w:r>
      <w:r w:rsidRPr="00B261AF">
        <w:rPr>
          <w:rFonts w:ascii="Arial" w:hAnsi="Arial" w:cs="Arial"/>
          <w:sz w:val="24"/>
          <w:szCs w:val="24"/>
        </w:rPr>
        <w:lastRenderedPageBreak/>
        <w:t>difficult. While our present work provides a profile of Cg effective connectivity indexing across all available regions, we do not present detailed qualities of single connections. We believe that future work, centered on single or a few effective pathways, will be essential to approaching a comprehensive understanding of the Cg’s effective networks. However, our work provides a comprehensive, methodologically sound profile that we believe will be useful to any future work evaluating Cg connectivity or function.</w:t>
      </w:r>
    </w:p>
    <w:p w14:paraId="1C216117" w14:textId="5F0EA757" w:rsidR="00B52B3B" w:rsidRPr="00B261AF" w:rsidRDefault="00B52B3B" w:rsidP="00B52B3B">
      <w:pPr>
        <w:spacing w:line="276" w:lineRule="auto"/>
        <w:ind w:firstLine="720"/>
        <w:rPr>
          <w:rFonts w:ascii="Arial" w:hAnsi="Arial" w:cs="Arial"/>
          <w:sz w:val="24"/>
          <w:szCs w:val="24"/>
        </w:rPr>
      </w:pPr>
      <w:r w:rsidRPr="00B261AF">
        <w:rPr>
          <w:rFonts w:ascii="Arial" w:hAnsi="Arial" w:cs="Arial"/>
          <w:sz w:val="24"/>
          <w:szCs w:val="24"/>
        </w:rPr>
        <w:t>Another limitation of this study is contact coverage. Invasive studies of human effective connectivity are limited by several factors, including biases in contact placement due to clinical needs. While our study addresses other confounding factors, the resolution of our Cg networks is limited by the placement and density of contacts. The subregions of the Cg consist of parcellations more granular than the level of resolution presented in this study. However, as the formalization of CCEP analysis and effective network modeling improves within the field, we will be able to produce effective connectivity models with higher resolution and investigate the profile of the Cg in greater detail.</w:t>
      </w:r>
    </w:p>
    <w:p w14:paraId="736AE83B" w14:textId="4D213DDE" w:rsidR="00B52B3B" w:rsidRPr="00B261AF" w:rsidRDefault="00B261AF" w:rsidP="00B261AF">
      <w:pPr>
        <w:spacing w:line="276" w:lineRule="auto"/>
        <w:rPr>
          <w:rFonts w:ascii="Arial" w:hAnsi="Arial" w:cs="Arial"/>
          <w:b/>
          <w:bCs/>
          <w:sz w:val="24"/>
          <w:szCs w:val="24"/>
        </w:rPr>
      </w:pPr>
      <w:r w:rsidRPr="00B261AF">
        <w:rPr>
          <w:rFonts w:ascii="Arial" w:hAnsi="Arial" w:cs="Arial"/>
          <w:b/>
          <w:bCs/>
          <w:sz w:val="24"/>
          <w:szCs w:val="24"/>
        </w:rPr>
        <w:t>Data and Code Availability</w:t>
      </w:r>
    </w:p>
    <w:p w14:paraId="705F2D9B" w14:textId="7922FC4A" w:rsidR="00B261AF" w:rsidRPr="00B261AF" w:rsidRDefault="00B261AF" w:rsidP="00B261AF">
      <w:pPr>
        <w:spacing w:line="276" w:lineRule="auto"/>
        <w:rPr>
          <w:rFonts w:ascii="Arial" w:hAnsi="Arial" w:cs="Arial"/>
          <w:sz w:val="24"/>
          <w:szCs w:val="24"/>
        </w:rPr>
      </w:pPr>
      <w:r w:rsidRPr="00B261AF">
        <w:rPr>
          <w:rFonts w:ascii="Arial" w:hAnsi="Arial" w:cs="Arial"/>
          <w:b/>
          <w:bCs/>
          <w:sz w:val="24"/>
          <w:szCs w:val="24"/>
        </w:rPr>
        <w:tab/>
      </w:r>
      <w:r w:rsidRPr="00B261AF">
        <w:rPr>
          <w:rFonts w:ascii="Arial" w:hAnsi="Arial" w:cs="Arial"/>
          <w:sz w:val="24"/>
          <w:szCs w:val="24"/>
        </w:rPr>
        <w:t xml:space="preserve">All code used to process, analyze, and visualize data is available on GitHub [link]. </w:t>
      </w:r>
    </w:p>
    <w:p w14:paraId="387E97A8" w14:textId="77777777" w:rsidR="00B261AF" w:rsidRPr="00B261AF" w:rsidRDefault="00B261AF" w:rsidP="00B261AF">
      <w:pPr>
        <w:rPr>
          <w:rFonts w:ascii="Arial" w:hAnsi="Arial" w:cs="Arial"/>
          <w:b/>
          <w:sz w:val="24"/>
          <w:szCs w:val="24"/>
        </w:rPr>
      </w:pPr>
      <w:r w:rsidRPr="00B261AF">
        <w:rPr>
          <w:rFonts w:ascii="Arial" w:hAnsi="Arial" w:cs="Arial"/>
          <w:b/>
          <w:sz w:val="24"/>
          <w:szCs w:val="24"/>
        </w:rPr>
        <w:t>Author Contributions:</w:t>
      </w:r>
    </w:p>
    <w:p w14:paraId="6B8CD295"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Conceptualization: PD, JTW, PB, ECL</w:t>
      </w:r>
    </w:p>
    <w:p w14:paraId="14779412" w14:textId="77777777" w:rsidR="00B261AF" w:rsidRPr="00B261AF" w:rsidRDefault="00B261AF" w:rsidP="00B261AF">
      <w:pPr>
        <w:pStyle w:val="Acknowledgement"/>
        <w:spacing w:before="0"/>
        <w:rPr>
          <w:rFonts w:ascii="Arial" w:hAnsi="Arial" w:cs="Arial"/>
        </w:rPr>
      </w:pPr>
      <w:r w:rsidRPr="00B261AF">
        <w:rPr>
          <w:rFonts w:ascii="Arial" w:hAnsi="Arial" w:cs="Arial"/>
        </w:rPr>
        <w:t>Methodology: PD, PL, GT, XL, TX, HC, JS, WE, SH, MA, LNE, ASG, JTW, PB, ECL</w:t>
      </w:r>
    </w:p>
    <w:p w14:paraId="4A782645"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Investigation: PD, PL, JTW, PB, ECL</w:t>
      </w:r>
    </w:p>
    <w:p w14:paraId="7E60F396"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Visualization: PD, PL, GT, SSS, JTW, PB, ECL</w:t>
      </w:r>
    </w:p>
    <w:p w14:paraId="686DCF7B"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Supervision: JTW, PB, ECL</w:t>
      </w:r>
    </w:p>
    <w:p w14:paraId="57BD839D"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Writing—original draft: PD, ECL</w:t>
      </w:r>
    </w:p>
    <w:p w14:paraId="1C6F0763" w14:textId="77777777" w:rsidR="00B261AF" w:rsidRPr="00B261AF" w:rsidRDefault="00B261AF" w:rsidP="00B261AF">
      <w:pPr>
        <w:pStyle w:val="Acknowledgement"/>
        <w:spacing w:before="0"/>
        <w:rPr>
          <w:rFonts w:ascii="Arial" w:hAnsi="Arial" w:cs="Arial"/>
        </w:rPr>
      </w:pPr>
      <w:r w:rsidRPr="00B261AF">
        <w:rPr>
          <w:rFonts w:ascii="Arial" w:hAnsi="Arial" w:cs="Arial"/>
        </w:rPr>
        <w:t>Writing—review &amp; editing: PD, PL, GT, XL, SSS, TX, HC, JS, WE, SH, MA, LNE, ASG, JTW, PB, ECL</w:t>
      </w:r>
    </w:p>
    <w:p w14:paraId="7DA04F0E" w14:textId="77777777" w:rsidR="00B261AF" w:rsidRPr="00B261AF" w:rsidRDefault="00B261AF" w:rsidP="00B261AF">
      <w:pPr>
        <w:pStyle w:val="Acknowledgement"/>
        <w:spacing w:before="0"/>
        <w:rPr>
          <w:rFonts w:ascii="Arial" w:hAnsi="Arial" w:cs="Arial"/>
        </w:rPr>
      </w:pPr>
    </w:p>
    <w:p w14:paraId="0B547267" w14:textId="77777777" w:rsidR="00B261AF" w:rsidRPr="00B261AF" w:rsidRDefault="00B261AF" w:rsidP="00B261AF">
      <w:pPr>
        <w:rPr>
          <w:rFonts w:ascii="Arial" w:hAnsi="Arial" w:cs="Arial"/>
          <w:sz w:val="24"/>
          <w:szCs w:val="24"/>
        </w:rPr>
      </w:pPr>
      <w:r w:rsidRPr="00B261AF">
        <w:rPr>
          <w:rFonts w:ascii="Arial" w:hAnsi="Arial" w:cs="Arial"/>
          <w:b/>
          <w:sz w:val="24"/>
          <w:szCs w:val="24"/>
        </w:rPr>
        <w:t xml:space="preserve">Competing Interest Statement: </w:t>
      </w:r>
      <w:r w:rsidRPr="00B261AF">
        <w:rPr>
          <w:rFonts w:ascii="Arial" w:hAnsi="Arial" w:cs="Arial"/>
          <w:sz w:val="24"/>
          <w:szCs w:val="24"/>
        </w:rPr>
        <w:t>The Authors declare that they have no competing interests.</w:t>
      </w:r>
    </w:p>
    <w:p w14:paraId="0B292490" w14:textId="77777777" w:rsidR="00B261AF" w:rsidRPr="00B261AF" w:rsidRDefault="00B261AF" w:rsidP="00B261AF">
      <w:pPr>
        <w:pStyle w:val="Acknowledgement"/>
        <w:spacing w:before="0"/>
        <w:rPr>
          <w:rFonts w:ascii="Arial" w:hAnsi="Arial" w:cs="Arial"/>
        </w:rPr>
      </w:pPr>
    </w:p>
    <w:p w14:paraId="3C9B1C1A" w14:textId="77777777" w:rsidR="00B261AF" w:rsidRPr="00B261AF" w:rsidRDefault="00B261AF" w:rsidP="00B261AF">
      <w:pPr>
        <w:pBdr>
          <w:top w:val="nil"/>
          <w:left w:val="nil"/>
          <w:bottom w:val="nil"/>
          <w:right w:val="nil"/>
          <w:between w:val="nil"/>
        </w:pBdr>
        <w:contextualSpacing/>
        <w:rPr>
          <w:rFonts w:ascii="Arial" w:hAnsi="Arial" w:cs="Arial"/>
          <w:b/>
          <w:color w:val="000000"/>
          <w:sz w:val="24"/>
          <w:szCs w:val="24"/>
        </w:rPr>
      </w:pPr>
      <w:r w:rsidRPr="00B261AF">
        <w:rPr>
          <w:rFonts w:ascii="Arial" w:hAnsi="Arial" w:cs="Arial"/>
          <w:b/>
          <w:color w:val="000000"/>
          <w:sz w:val="24"/>
          <w:szCs w:val="24"/>
        </w:rPr>
        <w:t>Acknowledgments</w:t>
      </w:r>
    </w:p>
    <w:p w14:paraId="2591D482" w14:textId="77777777" w:rsidR="00B261AF" w:rsidRPr="00B261AF" w:rsidRDefault="00B261AF" w:rsidP="00B261AF">
      <w:pPr>
        <w:pBdr>
          <w:top w:val="nil"/>
          <w:left w:val="nil"/>
          <w:bottom w:val="nil"/>
          <w:right w:val="nil"/>
          <w:between w:val="nil"/>
        </w:pBdr>
        <w:contextualSpacing/>
        <w:rPr>
          <w:rFonts w:ascii="Arial" w:hAnsi="Arial" w:cs="Arial"/>
          <w:b/>
          <w:color w:val="000000"/>
          <w:sz w:val="24"/>
          <w:szCs w:val="24"/>
        </w:rPr>
      </w:pPr>
    </w:p>
    <w:p w14:paraId="66924881" w14:textId="77777777" w:rsidR="00B261AF" w:rsidRPr="00B261AF" w:rsidRDefault="00B261AF" w:rsidP="00B261AF">
      <w:pPr>
        <w:pStyle w:val="Acknowledgement"/>
        <w:spacing w:before="0"/>
        <w:ind w:left="0" w:firstLine="0"/>
        <w:rPr>
          <w:rFonts w:ascii="Arial" w:hAnsi="Arial" w:cs="Arial"/>
        </w:rPr>
      </w:pPr>
      <w:r w:rsidRPr="00B261AF">
        <w:rPr>
          <w:rFonts w:ascii="Arial" w:hAnsi="Arial" w:cs="Arial"/>
        </w:rPr>
        <w:t xml:space="preserve">We thank the diligent team members of the Barnes-Jewish Hospital epilepsy monitoring unit and the clinical teams that have made this research possible. We thank </w:t>
      </w:r>
      <w:proofErr w:type="gramStart"/>
      <w:r w:rsidRPr="00B261AF">
        <w:rPr>
          <w:rFonts w:ascii="Arial" w:hAnsi="Arial" w:cs="Arial"/>
        </w:rPr>
        <w:t>all of</w:t>
      </w:r>
      <w:proofErr w:type="gramEnd"/>
      <w:r w:rsidRPr="00B261AF">
        <w:rPr>
          <w:rFonts w:ascii="Arial" w:hAnsi="Arial" w:cs="Arial"/>
        </w:rPr>
        <w:t xml:space="preserve"> the amazing patients who contributed their time and effort to advance our understanding of the human brain, even when facing their own clinical challenges. We would also like to thank research team members for their feedback and support throughout the development of this manuscript, especially to Ki Yun (Kay) Park and Kara Donovan. We </w:t>
      </w:r>
      <w:r w:rsidRPr="00B261AF">
        <w:rPr>
          <w:rFonts w:ascii="Arial" w:hAnsi="Arial" w:cs="Arial"/>
        </w:rPr>
        <w:lastRenderedPageBreak/>
        <w:t xml:space="preserve">would also like to thank </w:t>
      </w:r>
      <w:proofErr w:type="spellStart"/>
      <w:r w:rsidRPr="00B261AF">
        <w:rPr>
          <w:rFonts w:ascii="Arial" w:hAnsi="Arial" w:cs="Arial"/>
        </w:rPr>
        <w:t>Shuran</w:t>
      </w:r>
      <w:proofErr w:type="spellEnd"/>
      <w:r w:rsidRPr="00B261AF">
        <w:rPr>
          <w:rFonts w:ascii="Arial" w:hAnsi="Arial" w:cs="Arial"/>
        </w:rPr>
        <w:t xml:space="preserve"> (Rayna) Tang, Maple, and Sooty for being an especially supportive presence throughout the actualization of this work. </w:t>
      </w:r>
    </w:p>
    <w:p w14:paraId="14F46F6E" w14:textId="77777777" w:rsidR="00B261AF" w:rsidRPr="00B261AF" w:rsidRDefault="00B261AF" w:rsidP="00B261AF">
      <w:pPr>
        <w:pBdr>
          <w:top w:val="nil"/>
          <w:left w:val="nil"/>
          <w:bottom w:val="nil"/>
          <w:right w:val="nil"/>
          <w:between w:val="nil"/>
        </w:pBdr>
        <w:contextualSpacing/>
        <w:rPr>
          <w:rFonts w:ascii="Arial" w:hAnsi="Arial" w:cs="Arial"/>
          <w:color w:val="000000"/>
          <w:sz w:val="24"/>
          <w:szCs w:val="24"/>
        </w:rPr>
      </w:pPr>
    </w:p>
    <w:p w14:paraId="00639E64" w14:textId="77777777" w:rsidR="00B261AF" w:rsidRPr="00B261AF" w:rsidRDefault="00B261AF" w:rsidP="00B261AF">
      <w:pPr>
        <w:pBdr>
          <w:top w:val="nil"/>
          <w:left w:val="nil"/>
          <w:bottom w:val="nil"/>
          <w:right w:val="nil"/>
          <w:between w:val="nil"/>
        </w:pBdr>
        <w:contextualSpacing/>
        <w:rPr>
          <w:rFonts w:ascii="Arial" w:hAnsi="Arial" w:cs="Arial"/>
          <w:color w:val="000000"/>
          <w:sz w:val="24"/>
          <w:szCs w:val="24"/>
        </w:rPr>
      </w:pPr>
    </w:p>
    <w:p w14:paraId="08C00420" w14:textId="77777777" w:rsidR="00B261AF" w:rsidRPr="00B261AF" w:rsidRDefault="00B261AF" w:rsidP="00B261AF">
      <w:pPr>
        <w:pBdr>
          <w:top w:val="nil"/>
          <w:left w:val="nil"/>
          <w:bottom w:val="nil"/>
          <w:right w:val="nil"/>
          <w:between w:val="nil"/>
        </w:pBdr>
        <w:contextualSpacing/>
        <w:rPr>
          <w:rFonts w:ascii="Arial" w:hAnsi="Arial" w:cs="Arial"/>
          <w:color w:val="000000"/>
          <w:sz w:val="24"/>
          <w:szCs w:val="24"/>
        </w:rPr>
      </w:pPr>
      <w:r w:rsidRPr="00B261AF">
        <w:rPr>
          <w:rFonts w:ascii="Arial" w:hAnsi="Arial" w:cs="Arial"/>
          <w:b/>
          <w:color w:val="000000"/>
          <w:sz w:val="24"/>
          <w:szCs w:val="24"/>
        </w:rPr>
        <w:t>References</w:t>
      </w:r>
    </w:p>
    <w:p w14:paraId="496AF008" w14:textId="77777777" w:rsidR="00B261AF" w:rsidRPr="00B261AF" w:rsidRDefault="00B261AF" w:rsidP="00B261AF">
      <w:pPr>
        <w:pBdr>
          <w:top w:val="nil"/>
          <w:left w:val="nil"/>
          <w:bottom w:val="nil"/>
          <w:right w:val="nil"/>
          <w:between w:val="nil"/>
        </w:pBdr>
        <w:contextualSpacing/>
        <w:rPr>
          <w:rFonts w:ascii="Arial" w:hAnsi="Arial" w:cs="Arial"/>
          <w:color w:val="000000"/>
          <w:sz w:val="24"/>
          <w:szCs w:val="24"/>
        </w:rPr>
      </w:pPr>
    </w:p>
    <w:p w14:paraId="720460B5" w14:textId="77777777" w:rsidR="00B261AF" w:rsidRPr="00B261AF" w:rsidRDefault="00B261AF" w:rsidP="00B261AF">
      <w:pPr>
        <w:pStyle w:val="Bibliography"/>
      </w:pPr>
      <w:r w:rsidRPr="00B261AF">
        <w:rPr>
          <w:rFonts w:ascii="Arial" w:hAnsi="Arial" w:cs="Arial"/>
          <w:color w:val="000000"/>
          <w:sz w:val="24"/>
          <w:szCs w:val="24"/>
        </w:rPr>
        <w:fldChar w:fldCharType="begin"/>
      </w:r>
      <w:r>
        <w:rPr>
          <w:rFonts w:ascii="Arial" w:hAnsi="Arial" w:cs="Arial"/>
          <w:color w:val="000000"/>
          <w:sz w:val="24"/>
          <w:szCs w:val="24"/>
        </w:rPr>
        <w:instrText xml:space="preserve"> ADDIN ZOTERO_BIBL {"uncited":[],"omitted":[],"custom":[]} CSL_BIBLIOGRAPHY </w:instrText>
      </w:r>
      <w:r w:rsidRPr="00B261AF">
        <w:rPr>
          <w:rFonts w:ascii="Arial" w:hAnsi="Arial" w:cs="Arial"/>
          <w:color w:val="000000"/>
          <w:sz w:val="24"/>
          <w:szCs w:val="24"/>
        </w:rPr>
        <w:fldChar w:fldCharType="separate"/>
      </w:r>
      <w:r w:rsidRPr="00B261AF">
        <w:t xml:space="preserve">Adamek, M., Swift, James, R., &amp; Brunner, P. (2022). </w:t>
      </w:r>
      <w:r w:rsidRPr="00B261AF">
        <w:rPr>
          <w:i/>
          <w:iCs/>
        </w:rPr>
        <w:t>VERA - a versatile electrode localization framework</w:t>
      </w:r>
      <w:r w:rsidRPr="00B261AF">
        <w:t xml:space="preserve"> (Version 1.0.0) [Computer software]. https://doi.org/10.5281/zenodo.7486842</w:t>
      </w:r>
    </w:p>
    <w:p w14:paraId="2CFEF4B8" w14:textId="77777777" w:rsidR="00B261AF" w:rsidRPr="00B261AF" w:rsidRDefault="00B261AF" w:rsidP="00B261AF">
      <w:pPr>
        <w:pStyle w:val="Bibliography"/>
      </w:pPr>
      <w:proofErr w:type="spellStart"/>
      <w:r w:rsidRPr="00B261AF">
        <w:t>Anbuhl</w:t>
      </w:r>
      <w:proofErr w:type="spellEnd"/>
      <w:r w:rsidRPr="00B261AF">
        <w:t xml:space="preserve">, K. L., Diez Castro, M., Lee, N. A., Lee, V. S., &amp; Sanes, D. H. (2023). Cingulate cortex facilitates auditory perception under challenging listening conditions. </w:t>
      </w:r>
      <w:proofErr w:type="spellStart"/>
      <w:r w:rsidRPr="00B261AF">
        <w:rPr>
          <w:i/>
          <w:iCs/>
        </w:rPr>
        <w:t>bioRxiv</w:t>
      </w:r>
      <w:proofErr w:type="spellEnd"/>
      <w:r w:rsidRPr="00B261AF">
        <w:rPr>
          <w:i/>
          <w:iCs/>
        </w:rPr>
        <w:t>: The Preprint Server for Biology</w:t>
      </w:r>
      <w:r w:rsidRPr="00B261AF">
        <w:t>, 2023.11.10.566668. https://doi.org/10.1101/2023.11.10.566668</w:t>
      </w:r>
    </w:p>
    <w:p w14:paraId="4BFEFF26" w14:textId="77777777" w:rsidR="00B261AF" w:rsidRPr="00B261AF" w:rsidRDefault="00B261AF" w:rsidP="00B261AF">
      <w:pPr>
        <w:pStyle w:val="Bibliography"/>
      </w:pPr>
      <w:r w:rsidRPr="00B261AF">
        <w:t xml:space="preserve">Assem, M., Glasser, M. F., Van Essen, D. C., &amp; Duncan, J. (2020). A Domain-General Cognitive Core Defined in Multimodally Parcellated Human Cortex. </w:t>
      </w:r>
      <w:r w:rsidRPr="00B261AF">
        <w:rPr>
          <w:i/>
          <w:iCs/>
        </w:rPr>
        <w:t>Cerebral Cortex (New York, N.Y.: 1991)</w:t>
      </w:r>
      <w:r w:rsidRPr="00B261AF">
        <w:t xml:space="preserve">, </w:t>
      </w:r>
      <w:r w:rsidRPr="00B261AF">
        <w:rPr>
          <w:i/>
          <w:iCs/>
        </w:rPr>
        <w:t>30</w:t>
      </w:r>
      <w:r w:rsidRPr="00B261AF">
        <w:t>(8), 4361–4380. https://doi.org/10.1093/cercor/bhaa023</w:t>
      </w:r>
    </w:p>
    <w:p w14:paraId="108F3983" w14:textId="77777777" w:rsidR="00B261AF" w:rsidRPr="00B261AF" w:rsidRDefault="00B261AF" w:rsidP="00B261AF">
      <w:pPr>
        <w:pStyle w:val="Bibliography"/>
      </w:pPr>
      <w:r w:rsidRPr="00B261AF">
        <w:t xml:space="preserve">Beckmann, M., Johansen-Berg, H., &amp; Rushworth, M. F. S. (2009). Connectivity-based parcellation of human cingulate cortex and its relation to functional specialization. </w:t>
      </w:r>
      <w:r w:rsidRPr="00B261AF">
        <w:rPr>
          <w:i/>
          <w:iCs/>
        </w:rPr>
        <w:t>The Journal of Neuroscience: The Official Journal of the Society for Neuroscience</w:t>
      </w:r>
      <w:r w:rsidRPr="00B261AF">
        <w:t xml:space="preserve">, </w:t>
      </w:r>
      <w:r w:rsidRPr="00B261AF">
        <w:rPr>
          <w:i/>
          <w:iCs/>
        </w:rPr>
        <w:t>29</w:t>
      </w:r>
      <w:r w:rsidRPr="00B261AF">
        <w:t>(4), 1175–1190. https://doi.org/10.1523/JNEUROSCI.3328-08.2009</w:t>
      </w:r>
    </w:p>
    <w:p w14:paraId="619E0EDC" w14:textId="77777777" w:rsidR="00B261AF" w:rsidRPr="00B261AF" w:rsidRDefault="00B261AF" w:rsidP="00B261AF">
      <w:pPr>
        <w:pStyle w:val="Bibliography"/>
      </w:pPr>
      <w:proofErr w:type="spellStart"/>
      <w:r w:rsidRPr="00B261AF">
        <w:t>Bijanki</w:t>
      </w:r>
      <w:proofErr w:type="spellEnd"/>
      <w:r w:rsidRPr="00B261AF">
        <w:t xml:space="preserve">, K. R., Manns, J. R., Inman, C. S., Choi, K. S., </w:t>
      </w:r>
      <w:proofErr w:type="spellStart"/>
      <w:r w:rsidRPr="00B261AF">
        <w:t>Harati</w:t>
      </w:r>
      <w:proofErr w:type="spellEnd"/>
      <w:r w:rsidRPr="00B261AF">
        <w:t xml:space="preserve">, S., Pedersen, N. P., Drane, D. L., Waters, A. C., Fasano, R. E., </w:t>
      </w:r>
      <w:proofErr w:type="spellStart"/>
      <w:r w:rsidRPr="00B261AF">
        <w:t>Mayberg</w:t>
      </w:r>
      <w:proofErr w:type="spellEnd"/>
      <w:r w:rsidRPr="00B261AF">
        <w:t xml:space="preserve">, H. S., &amp; Willie, J. T. (n.d.). Cingulum stimulation enhances positive affect and anxiolysis to facilitate awake craniotomy. </w:t>
      </w:r>
      <w:r w:rsidRPr="00B261AF">
        <w:rPr>
          <w:i/>
          <w:iCs/>
        </w:rPr>
        <w:t>The Journal of Clinical Investigation</w:t>
      </w:r>
      <w:r w:rsidRPr="00B261AF">
        <w:t xml:space="preserve">, </w:t>
      </w:r>
      <w:r w:rsidRPr="00B261AF">
        <w:rPr>
          <w:i/>
          <w:iCs/>
        </w:rPr>
        <w:t>129</w:t>
      </w:r>
      <w:r w:rsidRPr="00B261AF">
        <w:t>(3), 1152–1166. https://doi.org/10.1172/JCI120110</w:t>
      </w:r>
    </w:p>
    <w:p w14:paraId="07ACF793" w14:textId="77777777" w:rsidR="00B261AF" w:rsidRPr="00B261AF" w:rsidRDefault="00B261AF" w:rsidP="00B261AF">
      <w:pPr>
        <w:pStyle w:val="Bibliography"/>
      </w:pPr>
      <w:r w:rsidRPr="00B261AF">
        <w:t xml:space="preserve">Boccard, S. G. J., Pereira, E. A. C., &amp; Aziz, T. Z. (2015). Deep brain stimulation for chronic pain. </w:t>
      </w:r>
      <w:r w:rsidRPr="00B261AF">
        <w:rPr>
          <w:i/>
          <w:iCs/>
        </w:rPr>
        <w:t>Journal of Clinical Neuroscience</w:t>
      </w:r>
      <w:r w:rsidRPr="00B261AF">
        <w:t xml:space="preserve">, </w:t>
      </w:r>
      <w:r w:rsidRPr="00B261AF">
        <w:rPr>
          <w:i/>
          <w:iCs/>
        </w:rPr>
        <w:t>22</w:t>
      </w:r>
      <w:r w:rsidRPr="00B261AF">
        <w:t>(10), 1537–1543. https://doi.org/10.1016/j.jocn.2015.04.005</w:t>
      </w:r>
    </w:p>
    <w:p w14:paraId="11A27A3A" w14:textId="77777777" w:rsidR="00B261AF" w:rsidRPr="00B261AF" w:rsidRDefault="00B261AF" w:rsidP="00B261AF">
      <w:pPr>
        <w:pStyle w:val="Bibliography"/>
      </w:pPr>
      <w:proofErr w:type="spellStart"/>
      <w:r w:rsidRPr="00B261AF">
        <w:t>Breiman</w:t>
      </w:r>
      <w:proofErr w:type="spellEnd"/>
      <w:r w:rsidRPr="00B261AF">
        <w:t xml:space="preserve">, L. (2001). Random Forests. </w:t>
      </w:r>
      <w:r w:rsidRPr="00B261AF">
        <w:rPr>
          <w:i/>
          <w:iCs/>
        </w:rPr>
        <w:t>Machine Learning</w:t>
      </w:r>
      <w:r w:rsidRPr="00B261AF">
        <w:t xml:space="preserve">, </w:t>
      </w:r>
      <w:r w:rsidRPr="00B261AF">
        <w:rPr>
          <w:i/>
          <w:iCs/>
        </w:rPr>
        <w:t>45</w:t>
      </w:r>
      <w:r w:rsidRPr="00B261AF">
        <w:t>(1), 5–32. https://doi.org/10.1023/A:1010933404324</w:t>
      </w:r>
    </w:p>
    <w:p w14:paraId="2137C2E9" w14:textId="77777777" w:rsidR="00B261AF" w:rsidRPr="00B261AF" w:rsidRDefault="00B261AF" w:rsidP="00B261AF">
      <w:pPr>
        <w:pStyle w:val="Bibliography"/>
      </w:pPr>
      <w:r w:rsidRPr="00B261AF">
        <w:lastRenderedPageBreak/>
        <w:t xml:space="preserve">Brodmann, K. (1909). </w:t>
      </w:r>
      <w:proofErr w:type="spellStart"/>
      <w:r w:rsidRPr="00B261AF">
        <w:rPr>
          <w:i/>
          <w:iCs/>
        </w:rPr>
        <w:t>Vergleichende</w:t>
      </w:r>
      <w:proofErr w:type="spellEnd"/>
      <w:r w:rsidRPr="00B261AF">
        <w:rPr>
          <w:i/>
          <w:iCs/>
        </w:rPr>
        <w:t xml:space="preserve"> </w:t>
      </w:r>
      <w:proofErr w:type="spellStart"/>
      <w:r w:rsidRPr="00B261AF">
        <w:rPr>
          <w:i/>
          <w:iCs/>
        </w:rPr>
        <w:t>Lokalisationslehre</w:t>
      </w:r>
      <w:proofErr w:type="spellEnd"/>
      <w:r w:rsidRPr="00B261AF">
        <w:rPr>
          <w:i/>
          <w:iCs/>
        </w:rPr>
        <w:t xml:space="preserve"> der </w:t>
      </w:r>
      <w:proofErr w:type="spellStart"/>
      <w:r w:rsidRPr="00B261AF">
        <w:rPr>
          <w:i/>
          <w:iCs/>
        </w:rPr>
        <w:t>Grosshirnrinde</w:t>
      </w:r>
      <w:proofErr w:type="spellEnd"/>
      <w:r w:rsidRPr="00B261AF">
        <w:rPr>
          <w:i/>
          <w:iCs/>
        </w:rPr>
        <w:t xml:space="preserve"> in </w:t>
      </w:r>
      <w:proofErr w:type="spellStart"/>
      <w:r w:rsidRPr="00B261AF">
        <w:rPr>
          <w:i/>
          <w:iCs/>
        </w:rPr>
        <w:t>ihren</w:t>
      </w:r>
      <w:proofErr w:type="spellEnd"/>
      <w:r w:rsidRPr="00B261AF">
        <w:rPr>
          <w:i/>
          <w:iCs/>
        </w:rPr>
        <w:t xml:space="preserve"> </w:t>
      </w:r>
      <w:proofErr w:type="spellStart"/>
      <w:r w:rsidRPr="00B261AF">
        <w:rPr>
          <w:i/>
          <w:iCs/>
        </w:rPr>
        <w:t>Prinzipien</w:t>
      </w:r>
      <w:proofErr w:type="spellEnd"/>
      <w:r w:rsidRPr="00B261AF">
        <w:rPr>
          <w:i/>
          <w:iCs/>
        </w:rPr>
        <w:t xml:space="preserve"> </w:t>
      </w:r>
      <w:proofErr w:type="spellStart"/>
      <w:r w:rsidRPr="00B261AF">
        <w:rPr>
          <w:i/>
          <w:iCs/>
        </w:rPr>
        <w:t>dargestellt</w:t>
      </w:r>
      <w:proofErr w:type="spellEnd"/>
      <w:r w:rsidRPr="00B261AF">
        <w:rPr>
          <w:i/>
          <w:iCs/>
        </w:rPr>
        <w:t xml:space="preserve"> auf Grund des </w:t>
      </w:r>
      <w:proofErr w:type="spellStart"/>
      <w:r w:rsidRPr="00B261AF">
        <w:rPr>
          <w:i/>
          <w:iCs/>
        </w:rPr>
        <w:t>Zellenbaues</w:t>
      </w:r>
      <w:proofErr w:type="spellEnd"/>
      <w:r w:rsidRPr="00B261AF">
        <w:t>. Barth.</w:t>
      </w:r>
    </w:p>
    <w:p w14:paraId="733D3531" w14:textId="77777777" w:rsidR="00B261AF" w:rsidRPr="00B261AF" w:rsidRDefault="00B261AF" w:rsidP="00B261AF">
      <w:pPr>
        <w:pStyle w:val="Bibliography"/>
      </w:pPr>
      <w:r w:rsidRPr="00B261AF">
        <w:t xml:space="preserve">Chen, Y. (2013). New Approaches for Calculating Moran’s Index of Spatial Autocorrelation. </w:t>
      </w:r>
      <w:proofErr w:type="spellStart"/>
      <w:r w:rsidRPr="00B261AF">
        <w:rPr>
          <w:i/>
          <w:iCs/>
        </w:rPr>
        <w:t>PLoS</w:t>
      </w:r>
      <w:proofErr w:type="spellEnd"/>
      <w:r w:rsidRPr="00B261AF">
        <w:rPr>
          <w:i/>
          <w:iCs/>
        </w:rPr>
        <w:t xml:space="preserve"> ONE</w:t>
      </w:r>
      <w:r w:rsidRPr="00B261AF">
        <w:t xml:space="preserve">, </w:t>
      </w:r>
      <w:r w:rsidRPr="00B261AF">
        <w:rPr>
          <w:i/>
          <w:iCs/>
        </w:rPr>
        <w:t>8</w:t>
      </w:r>
      <w:r w:rsidRPr="00B261AF">
        <w:t>(7), e68336. https://doi.org/10.1371/journal.pone.0068336</w:t>
      </w:r>
    </w:p>
    <w:p w14:paraId="0E2E7CC2" w14:textId="77777777" w:rsidR="00B261AF" w:rsidRPr="00B261AF" w:rsidRDefault="00B261AF" w:rsidP="00B261AF">
      <w:pPr>
        <w:pStyle w:val="Bibliography"/>
      </w:pPr>
      <w:proofErr w:type="spellStart"/>
      <w:r w:rsidRPr="00B261AF">
        <w:t>Cifre</w:t>
      </w:r>
      <w:proofErr w:type="spellEnd"/>
      <w:r w:rsidRPr="00B261AF">
        <w:t>, I., Sitges, C., Fraiman, D., Muñoz, M. Á., Balenzuela, P., González-Roldán, A., Martínez-</w:t>
      </w:r>
      <w:proofErr w:type="spellStart"/>
      <w:r w:rsidRPr="00B261AF">
        <w:t>Jauand</w:t>
      </w:r>
      <w:proofErr w:type="spellEnd"/>
      <w:r w:rsidRPr="00B261AF">
        <w:t xml:space="preserve">, M., Birbaumer, N., </w:t>
      </w:r>
      <w:proofErr w:type="spellStart"/>
      <w:r w:rsidRPr="00B261AF">
        <w:t>Chialvo</w:t>
      </w:r>
      <w:proofErr w:type="spellEnd"/>
      <w:r w:rsidRPr="00B261AF">
        <w:t xml:space="preserve">, D. R., &amp; Montoya, P. (2012). Disrupted functional connectivity of the pain network in fibromyalgia. </w:t>
      </w:r>
      <w:r w:rsidRPr="00B261AF">
        <w:rPr>
          <w:i/>
          <w:iCs/>
        </w:rPr>
        <w:t>Psychosomatic Medicine</w:t>
      </w:r>
      <w:r w:rsidRPr="00B261AF">
        <w:t xml:space="preserve">, </w:t>
      </w:r>
      <w:r w:rsidRPr="00B261AF">
        <w:rPr>
          <w:i/>
          <w:iCs/>
        </w:rPr>
        <w:t>74</w:t>
      </w:r>
      <w:r w:rsidRPr="00B261AF">
        <w:t>(1), 55–62. https://doi.org/10.1097/PSY.0b013e3182408f04</w:t>
      </w:r>
    </w:p>
    <w:p w14:paraId="2874DDCB" w14:textId="77777777" w:rsidR="00B261AF" w:rsidRPr="00B261AF" w:rsidRDefault="00B261AF" w:rsidP="00B261AF">
      <w:pPr>
        <w:pStyle w:val="Bibliography"/>
      </w:pPr>
      <w:r w:rsidRPr="00B261AF">
        <w:t xml:space="preserve">Critchley, H. D., Mathias, C. J., Josephs, O., O’Doherty, J., Zanini, S., Dewar, B.-K., Cipolotti, L., Shallice, T., &amp; Dolan, R. J. (2003). Human cingulate cortex and autonomic control: Converging neuroimaging and clinical evidence. </w:t>
      </w:r>
      <w:r w:rsidRPr="00B261AF">
        <w:rPr>
          <w:i/>
          <w:iCs/>
        </w:rPr>
        <w:t>Brain: A Journal of Neurology</w:t>
      </w:r>
      <w:r w:rsidRPr="00B261AF">
        <w:t xml:space="preserve">, </w:t>
      </w:r>
      <w:r w:rsidRPr="00B261AF">
        <w:rPr>
          <w:i/>
          <w:iCs/>
        </w:rPr>
        <w:t>126</w:t>
      </w:r>
      <w:r w:rsidRPr="00B261AF">
        <w:t>(Pt 10), 2139–2152. https://doi.org/10.1093/brain/awg216</w:t>
      </w:r>
    </w:p>
    <w:p w14:paraId="266D7AE2" w14:textId="77777777" w:rsidR="00B261AF" w:rsidRPr="00B261AF" w:rsidRDefault="00B261AF" w:rsidP="00B261AF">
      <w:pPr>
        <w:pStyle w:val="Bibliography"/>
      </w:pPr>
      <w:r w:rsidRPr="00B261AF">
        <w:t xml:space="preserve">Crowther, L. J., Brunner, P., Kapeller, C., Guger, C., Kamada, K., Bunch, M. E., Frawley, B. K., Lynch, T. M., Ritaccio, A. L., &amp; Schalk, G. (2019). A quantitative method for evaluating cortical responses to electrical stimulation. </w:t>
      </w:r>
      <w:r w:rsidRPr="00B261AF">
        <w:rPr>
          <w:i/>
          <w:iCs/>
        </w:rPr>
        <w:t>Journal of Neuroscience Methods</w:t>
      </w:r>
      <w:r w:rsidRPr="00B261AF">
        <w:t xml:space="preserve">, </w:t>
      </w:r>
      <w:r w:rsidRPr="00B261AF">
        <w:rPr>
          <w:i/>
          <w:iCs/>
        </w:rPr>
        <w:t>311</w:t>
      </w:r>
      <w:r w:rsidRPr="00B261AF">
        <w:t>, 67–75. https://doi.org/10.1016/j.jneumeth.2018.09.034</w:t>
      </w:r>
    </w:p>
    <w:p w14:paraId="510FE42D" w14:textId="77777777" w:rsidR="00B261AF" w:rsidRPr="00B261AF" w:rsidRDefault="00B261AF" w:rsidP="00B261AF">
      <w:pPr>
        <w:pStyle w:val="Bibliography"/>
      </w:pPr>
      <w:proofErr w:type="spellStart"/>
      <w:r w:rsidRPr="00B261AF">
        <w:t>Danstrom</w:t>
      </w:r>
      <w:proofErr w:type="spellEnd"/>
      <w:r w:rsidRPr="00B261AF">
        <w:t xml:space="preserve">, I. A., Adkinson, J. A., Robinson, M. E., Lin, L., Maheshwari, A., </w:t>
      </w:r>
      <w:proofErr w:type="spellStart"/>
      <w:r w:rsidRPr="00B261AF">
        <w:t>Shofty</w:t>
      </w:r>
      <w:proofErr w:type="spellEnd"/>
      <w:r w:rsidRPr="00B261AF">
        <w:t xml:space="preserve">, B., Banks, G., Hasen, M., Sheth, S. A., Goldman, A. M., Bartoli, E., Heilbronner, S. R., &amp; </w:t>
      </w:r>
      <w:proofErr w:type="spellStart"/>
      <w:r w:rsidRPr="00B261AF">
        <w:t>Bijanki</w:t>
      </w:r>
      <w:proofErr w:type="spellEnd"/>
      <w:r w:rsidRPr="00B261AF">
        <w:t xml:space="preserve">, K. R. (2025). Asymmetric Cingulum Bundle Connectivity Is Modulated by Paracingulate Sulcus Morphology. </w:t>
      </w:r>
      <w:r w:rsidRPr="00B261AF">
        <w:rPr>
          <w:i/>
          <w:iCs/>
        </w:rPr>
        <w:t>Human Brain Mapping</w:t>
      </w:r>
      <w:r w:rsidRPr="00B261AF">
        <w:t xml:space="preserve">, </w:t>
      </w:r>
      <w:r w:rsidRPr="00B261AF">
        <w:rPr>
          <w:i/>
          <w:iCs/>
        </w:rPr>
        <w:t>46</w:t>
      </w:r>
      <w:r w:rsidRPr="00B261AF">
        <w:t>(9), e70230. https://doi.org/10.1002/hbm.70230</w:t>
      </w:r>
    </w:p>
    <w:p w14:paraId="69B17567" w14:textId="77777777" w:rsidR="00B261AF" w:rsidRPr="00B261AF" w:rsidRDefault="00B261AF" w:rsidP="00B261AF">
      <w:pPr>
        <w:pStyle w:val="Bibliography"/>
      </w:pPr>
      <w:r w:rsidRPr="00B261AF">
        <w:t xml:space="preserve">Demarest, P., Rustamov, N., Swift, J., Tao, X., Adamek, M., Cho, H., Wilson, E., Han, Z., </w:t>
      </w:r>
      <w:proofErr w:type="spellStart"/>
      <w:r w:rsidRPr="00B261AF">
        <w:t>Belsten</w:t>
      </w:r>
      <w:proofErr w:type="spellEnd"/>
      <w:r w:rsidRPr="00B261AF">
        <w:t xml:space="preserve">, A., Luczak, N., Brunner, P., Haroutounian, S., &amp; </w:t>
      </w:r>
      <w:proofErr w:type="spellStart"/>
      <w:r w:rsidRPr="00B261AF">
        <w:t>Leuthardt</w:t>
      </w:r>
      <w:proofErr w:type="spellEnd"/>
      <w:r w:rsidRPr="00B261AF">
        <w:t xml:space="preserve">, E. (2023). </w:t>
      </w:r>
      <w:r w:rsidRPr="00B261AF">
        <w:rPr>
          <w:i/>
          <w:iCs/>
        </w:rPr>
        <w:t>A novel theta-controlled vibrotactile brain-computer interface to treat chronic pain: A pilot study</w:t>
      </w:r>
      <w:r w:rsidRPr="00B261AF">
        <w:t>. https://doi.org/10.21203/rs.3.rs-2973437/v1</w:t>
      </w:r>
    </w:p>
    <w:p w14:paraId="57F1CF33" w14:textId="77777777" w:rsidR="00B261AF" w:rsidRPr="00B261AF" w:rsidRDefault="00B261AF" w:rsidP="00B261AF">
      <w:pPr>
        <w:pStyle w:val="Bibliography"/>
      </w:pPr>
      <w:r w:rsidRPr="00B261AF">
        <w:lastRenderedPageBreak/>
        <w:t xml:space="preserve">DESTRIEUX, C., FISCHL, B., DALE, A., &amp; HALGREN, E. (2010). Automatic parcellation of human cortical gyri and sulci using standard anatomical nomenclature. </w:t>
      </w:r>
      <w:proofErr w:type="spellStart"/>
      <w:r w:rsidRPr="00B261AF">
        <w:rPr>
          <w:i/>
          <w:iCs/>
        </w:rPr>
        <w:t>NeuroImage</w:t>
      </w:r>
      <w:proofErr w:type="spellEnd"/>
      <w:r w:rsidRPr="00B261AF">
        <w:t xml:space="preserve">, </w:t>
      </w:r>
      <w:r w:rsidRPr="00B261AF">
        <w:rPr>
          <w:i/>
          <w:iCs/>
        </w:rPr>
        <w:t>53</w:t>
      </w:r>
      <w:r w:rsidRPr="00B261AF">
        <w:t>(1), 1–15. https://doi.org/10.1016/j.neuroimage.2010.06.010</w:t>
      </w:r>
    </w:p>
    <w:p w14:paraId="72A6CF1C" w14:textId="77777777" w:rsidR="00B261AF" w:rsidRPr="00B261AF" w:rsidRDefault="00B261AF" w:rsidP="00B261AF">
      <w:pPr>
        <w:pStyle w:val="Bibliography"/>
      </w:pPr>
      <w:r w:rsidRPr="00B261AF">
        <w:t xml:space="preserve">Edmonds, D., Salvo, J. J., Anderson, N., Lakshman, M., Yang, Q., Kay, K., Zelano, C., &amp; Braga, R. M. (2024). The human social cognitive network contains multiple regions within the amygdala. </w:t>
      </w:r>
      <w:r w:rsidRPr="00B261AF">
        <w:rPr>
          <w:i/>
          <w:iCs/>
        </w:rPr>
        <w:t>Science Advances</w:t>
      </w:r>
      <w:r w:rsidRPr="00B261AF">
        <w:t xml:space="preserve">, </w:t>
      </w:r>
      <w:r w:rsidRPr="00B261AF">
        <w:rPr>
          <w:i/>
          <w:iCs/>
        </w:rPr>
        <w:t>10</w:t>
      </w:r>
      <w:r w:rsidRPr="00B261AF">
        <w:t>(47), eadp0453. https://doi.org/10.1126/sciadv.adp0453</w:t>
      </w:r>
    </w:p>
    <w:p w14:paraId="0464617B" w14:textId="77777777" w:rsidR="00B261AF" w:rsidRPr="00B261AF" w:rsidRDefault="00B261AF" w:rsidP="00B261AF">
      <w:pPr>
        <w:pStyle w:val="Bibliography"/>
      </w:pPr>
      <w:r w:rsidRPr="00B261AF">
        <w:t xml:space="preserve">Fisher, A., Rudin, C., &amp; Dominici, F. (2019). All Models are Wrong, but Many are Useful: Learning a Variable’s Importance by Studying an Entire Class of Prediction Models Simultaneously. </w:t>
      </w:r>
      <w:r w:rsidRPr="00B261AF">
        <w:rPr>
          <w:i/>
          <w:iCs/>
        </w:rPr>
        <w:t xml:space="preserve">Journal of Machine Learning </w:t>
      </w:r>
      <w:proofErr w:type="gramStart"/>
      <w:r w:rsidRPr="00B261AF">
        <w:rPr>
          <w:i/>
          <w:iCs/>
        </w:rPr>
        <w:t>Research</w:t>
      </w:r>
      <w:r w:rsidRPr="00B261AF">
        <w:rPr>
          <w:rFonts w:ascii="Arial" w:hAnsi="Arial" w:cs="Arial"/>
          <w:i/>
          <w:iCs/>
        </w:rPr>
        <w:t> </w:t>
      </w:r>
      <w:r w:rsidRPr="00B261AF">
        <w:rPr>
          <w:i/>
          <w:iCs/>
        </w:rPr>
        <w:t>:</w:t>
      </w:r>
      <w:proofErr w:type="gramEnd"/>
      <w:r w:rsidRPr="00B261AF">
        <w:rPr>
          <w:i/>
          <w:iCs/>
        </w:rPr>
        <w:t xml:space="preserve"> JMLR</w:t>
      </w:r>
      <w:r w:rsidRPr="00B261AF">
        <w:t xml:space="preserve">, </w:t>
      </w:r>
      <w:r w:rsidRPr="00B261AF">
        <w:rPr>
          <w:i/>
          <w:iCs/>
        </w:rPr>
        <w:t>20</w:t>
      </w:r>
      <w:r w:rsidRPr="00B261AF">
        <w:t>, 177.</w:t>
      </w:r>
    </w:p>
    <w:p w14:paraId="19FC6C59" w14:textId="77777777" w:rsidR="00B261AF" w:rsidRPr="00B261AF" w:rsidRDefault="00B261AF" w:rsidP="00B261AF">
      <w:pPr>
        <w:pStyle w:val="Bibliography"/>
      </w:pPr>
      <w:r w:rsidRPr="00B261AF">
        <w:t xml:space="preserve">Friston, K. J. (2011). Functional and effective connectivity: A review. </w:t>
      </w:r>
      <w:r w:rsidRPr="00B261AF">
        <w:rPr>
          <w:i/>
          <w:iCs/>
        </w:rPr>
        <w:t>Brain Connectivity</w:t>
      </w:r>
      <w:r w:rsidRPr="00B261AF">
        <w:t xml:space="preserve">, </w:t>
      </w:r>
      <w:r w:rsidRPr="00B261AF">
        <w:rPr>
          <w:i/>
          <w:iCs/>
        </w:rPr>
        <w:t>1</w:t>
      </w:r>
      <w:r w:rsidRPr="00B261AF">
        <w:t>(1), 13–36. https://doi.org/10.1089/brain.2011.0008</w:t>
      </w:r>
    </w:p>
    <w:p w14:paraId="03D562CF" w14:textId="77777777" w:rsidR="00B261AF" w:rsidRPr="00B261AF" w:rsidRDefault="00B261AF" w:rsidP="00B261AF">
      <w:pPr>
        <w:pStyle w:val="Bibliography"/>
      </w:pPr>
      <w:r w:rsidRPr="00B261AF">
        <w:t xml:space="preserve">Gallagher, H. L., &amp; Frith, C. D. (2003). Functional imaging of “theory of mind.” </w:t>
      </w:r>
      <w:r w:rsidRPr="00B261AF">
        <w:rPr>
          <w:i/>
          <w:iCs/>
        </w:rPr>
        <w:t>Trends in Cognitive Sciences</w:t>
      </w:r>
      <w:r w:rsidRPr="00B261AF">
        <w:t xml:space="preserve">, </w:t>
      </w:r>
      <w:r w:rsidRPr="00B261AF">
        <w:rPr>
          <w:i/>
          <w:iCs/>
        </w:rPr>
        <w:t>7</w:t>
      </w:r>
      <w:r w:rsidRPr="00B261AF">
        <w:t>(2), 77–83. https://doi.org/10.1016/s1364-6613(02)00025-6</w:t>
      </w:r>
    </w:p>
    <w:p w14:paraId="2C3C55D3" w14:textId="77777777" w:rsidR="00B261AF" w:rsidRPr="00B261AF" w:rsidRDefault="00B261AF" w:rsidP="00B261AF">
      <w:pPr>
        <w:pStyle w:val="Bibliography"/>
      </w:pPr>
      <w:r w:rsidRPr="00B261AF">
        <w:t xml:space="preserve">Griffa, A., Baumann, P. S., </w:t>
      </w:r>
      <w:proofErr w:type="spellStart"/>
      <w:r w:rsidRPr="00B261AF">
        <w:t>Thiran</w:t>
      </w:r>
      <w:proofErr w:type="spellEnd"/>
      <w:r w:rsidRPr="00B261AF">
        <w:t xml:space="preserve">, J.-P., &amp; Hagmann, P. (2013). Structural </w:t>
      </w:r>
      <w:proofErr w:type="spellStart"/>
      <w:r w:rsidRPr="00B261AF">
        <w:t>connectomics</w:t>
      </w:r>
      <w:proofErr w:type="spellEnd"/>
      <w:r w:rsidRPr="00B261AF">
        <w:t xml:space="preserve"> in brain diseases. </w:t>
      </w:r>
      <w:proofErr w:type="spellStart"/>
      <w:r w:rsidRPr="00B261AF">
        <w:rPr>
          <w:i/>
          <w:iCs/>
        </w:rPr>
        <w:t>NeuroImage</w:t>
      </w:r>
      <w:proofErr w:type="spellEnd"/>
      <w:r w:rsidRPr="00B261AF">
        <w:t xml:space="preserve">, </w:t>
      </w:r>
      <w:r w:rsidRPr="00B261AF">
        <w:rPr>
          <w:i/>
          <w:iCs/>
        </w:rPr>
        <w:t>80</w:t>
      </w:r>
      <w:r w:rsidRPr="00B261AF">
        <w:t>, 515–526. https://doi.org/10.1016/j.neuroimage.2013.04.056</w:t>
      </w:r>
    </w:p>
    <w:p w14:paraId="21B54317" w14:textId="77777777" w:rsidR="00B261AF" w:rsidRPr="00B261AF" w:rsidRDefault="00B261AF" w:rsidP="00B261AF">
      <w:pPr>
        <w:pStyle w:val="Bibliography"/>
      </w:pPr>
      <w:r w:rsidRPr="00B261AF">
        <w:t xml:space="preserve">Harada, K., Ikuta, T., Nakashima, M., Watanuki, T., </w:t>
      </w:r>
      <w:proofErr w:type="spellStart"/>
      <w:r w:rsidRPr="00B261AF">
        <w:t>Hirotsu</w:t>
      </w:r>
      <w:proofErr w:type="spellEnd"/>
      <w:r w:rsidRPr="00B261AF">
        <w:t xml:space="preserve">, M., Matsubara, T., Yamagata, H., Watanabe, Y., &amp; Matsuo, K. (2018). Altered Connectivity of the Anterior Cingulate and the Posterior Superior Temporal Gyrus in a Longitudinal Study of Later-life Depression. </w:t>
      </w:r>
      <w:r w:rsidRPr="00B261AF">
        <w:rPr>
          <w:i/>
          <w:iCs/>
        </w:rPr>
        <w:t>Frontiers in Aging Neuroscience</w:t>
      </w:r>
      <w:r w:rsidRPr="00B261AF">
        <w:t xml:space="preserve">, </w:t>
      </w:r>
      <w:r w:rsidRPr="00B261AF">
        <w:rPr>
          <w:i/>
          <w:iCs/>
        </w:rPr>
        <w:t>10</w:t>
      </w:r>
      <w:r w:rsidRPr="00B261AF">
        <w:t>, 31. https://doi.org/10.3389/fnagi.2018.00031</w:t>
      </w:r>
    </w:p>
    <w:p w14:paraId="41DB8F1D" w14:textId="77777777" w:rsidR="00B261AF" w:rsidRPr="00B261AF" w:rsidRDefault="00B261AF" w:rsidP="00B261AF">
      <w:pPr>
        <w:pStyle w:val="Bibliography"/>
      </w:pPr>
      <w:r w:rsidRPr="00B261AF">
        <w:t xml:space="preserve">Hayden, B. Y., Heilbronner, S. R., Pearson, J. M., &amp; Platt, M. L. (2011). Surprise Signals in Anterior Cingulate Cortex: Neuronal Encoding of Unsigned Reward Prediction Errors Driving Adjustment in Behavior. </w:t>
      </w:r>
      <w:r w:rsidRPr="00B261AF">
        <w:rPr>
          <w:i/>
          <w:iCs/>
        </w:rPr>
        <w:t>The Journal of Neuroscience</w:t>
      </w:r>
      <w:r w:rsidRPr="00B261AF">
        <w:t xml:space="preserve">, </w:t>
      </w:r>
      <w:r w:rsidRPr="00B261AF">
        <w:rPr>
          <w:i/>
          <w:iCs/>
        </w:rPr>
        <w:t>31</w:t>
      </w:r>
      <w:r w:rsidRPr="00B261AF">
        <w:t>(11), 4178–4187. https://doi.org/10.1523/JNEUROSCI.4652-10.2011</w:t>
      </w:r>
    </w:p>
    <w:p w14:paraId="1F0E297F" w14:textId="77777777" w:rsidR="00B261AF" w:rsidRPr="00B261AF" w:rsidRDefault="00B261AF" w:rsidP="00B261AF">
      <w:pPr>
        <w:pStyle w:val="Bibliography"/>
      </w:pPr>
      <w:r w:rsidRPr="00B261AF">
        <w:lastRenderedPageBreak/>
        <w:t xml:space="preserve">Hays, M. A., Smith, R. J., Haridas, B., Coogan, C., Crone, N. E., &amp; Kang, J. Y. (2021). Effects of stimulation intensity on intracranial cortico-cortical evoked potentials: A titration study. </w:t>
      </w:r>
      <w:r w:rsidRPr="00B261AF">
        <w:rPr>
          <w:i/>
          <w:iCs/>
        </w:rPr>
        <w:t>Clinical Neurophysiology</w:t>
      </w:r>
      <w:r w:rsidRPr="00B261AF">
        <w:t xml:space="preserve">, </w:t>
      </w:r>
      <w:r w:rsidRPr="00B261AF">
        <w:rPr>
          <w:i/>
          <w:iCs/>
        </w:rPr>
        <w:t>132</w:t>
      </w:r>
      <w:r w:rsidRPr="00B261AF">
        <w:t>(11), 2766–2777. https://doi.org/10.1016/j.clinph.2021.08.008</w:t>
      </w:r>
    </w:p>
    <w:p w14:paraId="7D5ABE6E" w14:textId="77777777" w:rsidR="00B261AF" w:rsidRPr="00B261AF" w:rsidRDefault="00B261AF" w:rsidP="00B261AF">
      <w:pPr>
        <w:pStyle w:val="Bibliography"/>
      </w:pPr>
      <w:proofErr w:type="spellStart"/>
      <w:r w:rsidRPr="00B261AF">
        <w:t>Honnedevasthana</w:t>
      </w:r>
      <w:proofErr w:type="spellEnd"/>
      <w:r w:rsidRPr="00B261AF">
        <w:t xml:space="preserve"> Arun, A., Connelly, A., Smith, R. E., &amp; </w:t>
      </w:r>
      <w:proofErr w:type="spellStart"/>
      <w:r w:rsidRPr="00B261AF">
        <w:t>Calamante</w:t>
      </w:r>
      <w:proofErr w:type="spellEnd"/>
      <w:r w:rsidRPr="00B261AF">
        <w:t xml:space="preserve">, F. (2021). </w:t>
      </w:r>
      <w:proofErr w:type="spellStart"/>
      <w:r w:rsidRPr="00B261AF">
        <w:t>Characterisation</w:t>
      </w:r>
      <w:proofErr w:type="spellEnd"/>
      <w:r w:rsidRPr="00B261AF">
        <w:t xml:space="preserve"> of white matter asymmetries in the healthy human brain using diffusion MRI </w:t>
      </w:r>
      <w:proofErr w:type="spellStart"/>
      <w:r w:rsidRPr="00B261AF">
        <w:t>fixel</w:t>
      </w:r>
      <w:proofErr w:type="spellEnd"/>
      <w:r w:rsidRPr="00B261AF">
        <w:t xml:space="preserve">-based analysis. </w:t>
      </w:r>
      <w:proofErr w:type="spellStart"/>
      <w:r w:rsidRPr="00B261AF">
        <w:rPr>
          <w:i/>
          <w:iCs/>
        </w:rPr>
        <w:t>NeuroImage</w:t>
      </w:r>
      <w:proofErr w:type="spellEnd"/>
      <w:r w:rsidRPr="00B261AF">
        <w:t xml:space="preserve">, </w:t>
      </w:r>
      <w:r w:rsidRPr="00B261AF">
        <w:rPr>
          <w:i/>
          <w:iCs/>
        </w:rPr>
        <w:t>225</w:t>
      </w:r>
      <w:r w:rsidRPr="00B261AF">
        <w:t>, 117505. https://doi.org/10.1016/j.neuroimage.2020.117505</w:t>
      </w:r>
    </w:p>
    <w:p w14:paraId="1D48853D" w14:textId="77777777" w:rsidR="00B261AF" w:rsidRPr="00B261AF" w:rsidRDefault="00B261AF" w:rsidP="00B261AF">
      <w:pPr>
        <w:pStyle w:val="Bibliography"/>
      </w:pPr>
      <w:r w:rsidRPr="00B261AF">
        <w:t xml:space="preserve">Huang, Y., &amp; Keller, C. (2023). How Can I Investigate Causal Brain Networks with </w:t>
      </w:r>
      <w:proofErr w:type="spellStart"/>
      <w:r w:rsidRPr="00B261AF">
        <w:t>iEEG</w:t>
      </w:r>
      <w:proofErr w:type="spellEnd"/>
      <w:r w:rsidRPr="00B261AF">
        <w:t xml:space="preserve">? In N. Axmacher (Ed.), </w:t>
      </w:r>
      <w:r w:rsidRPr="00B261AF">
        <w:rPr>
          <w:i/>
          <w:iCs/>
        </w:rPr>
        <w:t>Intracranial EEG: A Guide for Cognitive Neuroscientists</w:t>
      </w:r>
      <w:r w:rsidRPr="00B261AF">
        <w:t xml:space="preserve"> (pp. 639–655). Springer International Publishing. https://doi.org/10.1007/978-3-031-20910-9_40</w:t>
      </w:r>
    </w:p>
    <w:p w14:paraId="022C31A2" w14:textId="77777777" w:rsidR="00B261AF" w:rsidRPr="00B261AF" w:rsidRDefault="00B261AF" w:rsidP="00B261AF">
      <w:pPr>
        <w:pStyle w:val="Bibliography"/>
      </w:pPr>
      <w:r w:rsidRPr="00B261AF">
        <w:t xml:space="preserve">Huang, Y., Zelmann, R., Hadar, P., Dezha-Peralta, J., Richardson, R. M., Williams, Z. M., Cash, S. S., Keller, C. J., &amp; Paulk, A. C. (2024). Theta-burst direct electrical stimulation remodels human brain networks. </w:t>
      </w:r>
      <w:r w:rsidRPr="00B261AF">
        <w:rPr>
          <w:i/>
          <w:iCs/>
        </w:rPr>
        <w:t>Nature Communications</w:t>
      </w:r>
      <w:r w:rsidRPr="00B261AF">
        <w:t xml:space="preserve">, </w:t>
      </w:r>
      <w:r w:rsidRPr="00B261AF">
        <w:rPr>
          <w:i/>
          <w:iCs/>
        </w:rPr>
        <w:t>15</w:t>
      </w:r>
      <w:r w:rsidRPr="00B261AF">
        <w:t>(1), 6982. https://doi.org/10.1038/s41467-024-51443-1</w:t>
      </w:r>
    </w:p>
    <w:p w14:paraId="7478B75D" w14:textId="77777777" w:rsidR="00B261AF" w:rsidRPr="00B261AF" w:rsidRDefault="00B261AF" w:rsidP="00B261AF">
      <w:pPr>
        <w:pStyle w:val="Bibliography"/>
      </w:pPr>
      <w:r w:rsidRPr="00B261AF">
        <w:t>Jin, F., Zheng, P., Liu, H., Guo, H., &amp; Sun, Z. (2018). Functional and anatomical connectivity</w:t>
      </w:r>
      <w:r w:rsidRPr="00B261AF">
        <w:rPr>
          <w:rFonts w:ascii="Cambria Math" w:hAnsi="Cambria Math" w:cs="Cambria Math"/>
        </w:rPr>
        <w:t>‐</w:t>
      </w:r>
      <w:r w:rsidRPr="00B261AF">
        <w:t xml:space="preserve">based parcellation of human cingulate cortex. </w:t>
      </w:r>
      <w:r w:rsidRPr="00B261AF">
        <w:rPr>
          <w:i/>
          <w:iCs/>
        </w:rPr>
        <w:t>Brain and Behavior</w:t>
      </w:r>
      <w:r w:rsidRPr="00B261AF">
        <w:t xml:space="preserve">, </w:t>
      </w:r>
      <w:r w:rsidRPr="00B261AF">
        <w:rPr>
          <w:i/>
          <w:iCs/>
        </w:rPr>
        <w:t>8</w:t>
      </w:r>
      <w:r w:rsidRPr="00B261AF">
        <w:t>(8), e01070. https://doi.org/10.1002/brb3.1070</w:t>
      </w:r>
    </w:p>
    <w:p w14:paraId="561F6EBC" w14:textId="77777777" w:rsidR="00B261AF" w:rsidRPr="00B261AF" w:rsidRDefault="00B261AF" w:rsidP="00B261AF">
      <w:pPr>
        <w:pStyle w:val="Bibliography"/>
      </w:pPr>
      <w:r w:rsidRPr="00B261AF">
        <w:t xml:space="preserve">Jorstad, N. L., Close, J., Johansen, N., Yanny, A. M., Barkan, E. R., Travaglini, K. J., Bertagnolli, D., Campos, J., Casper, T., Crichton, K., Dee, N., Ding, S.-L., Gelfand, E., Goldy, J., </w:t>
      </w:r>
      <w:proofErr w:type="spellStart"/>
      <w:r w:rsidRPr="00B261AF">
        <w:t>Hirschstein</w:t>
      </w:r>
      <w:proofErr w:type="spellEnd"/>
      <w:r w:rsidRPr="00B261AF">
        <w:t xml:space="preserve">, D., Kiick, K., Kroll, M., Kunst, M., Lathia, K., … Lein, E. S. (2023). Transcriptomic cytoarchitecture reveals principles of human neocortex organization. </w:t>
      </w:r>
      <w:r w:rsidRPr="00B261AF">
        <w:rPr>
          <w:i/>
          <w:iCs/>
        </w:rPr>
        <w:t>Science</w:t>
      </w:r>
      <w:r w:rsidRPr="00B261AF">
        <w:t xml:space="preserve">, </w:t>
      </w:r>
      <w:r w:rsidRPr="00B261AF">
        <w:rPr>
          <w:i/>
          <w:iCs/>
        </w:rPr>
        <w:t>382</w:t>
      </w:r>
      <w:r w:rsidRPr="00B261AF">
        <w:t>(6667), eadf6812. https://doi.org/10.1126/science.adf6812</w:t>
      </w:r>
    </w:p>
    <w:p w14:paraId="0EE80E1F" w14:textId="77777777" w:rsidR="00B261AF" w:rsidRPr="00B261AF" w:rsidRDefault="00B261AF" w:rsidP="00B261AF">
      <w:pPr>
        <w:pStyle w:val="Bibliography"/>
      </w:pPr>
      <w:proofErr w:type="spellStart"/>
      <w:r w:rsidRPr="00B261AF">
        <w:lastRenderedPageBreak/>
        <w:t>Kaboodvand</w:t>
      </w:r>
      <w:proofErr w:type="spellEnd"/>
      <w:r w:rsidRPr="00B261AF">
        <w:t xml:space="preserve">, N., Bäckman, L., Nyberg, L., &amp; Salami, A. (2018). The </w:t>
      </w:r>
      <w:proofErr w:type="spellStart"/>
      <w:r w:rsidRPr="00B261AF">
        <w:t>retrosplenial</w:t>
      </w:r>
      <w:proofErr w:type="spellEnd"/>
      <w:r w:rsidRPr="00B261AF">
        <w:t xml:space="preserve"> cortex: A memory gateway between the cortical default mode network and the medial temporal lobe. </w:t>
      </w:r>
      <w:r w:rsidRPr="00B261AF">
        <w:rPr>
          <w:i/>
          <w:iCs/>
        </w:rPr>
        <w:t>Human Brain Mapping</w:t>
      </w:r>
      <w:r w:rsidRPr="00B261AF">
        <w:t xml:space="preserve">, </w:t>
      </w:r>
      <w:r w:rsidRPr="00B261AF">
        <w:rPr>
          <w:i/>
          <w:iCs/>
        </w:rPr>
        <w:t>39</w:t>
      </w:r>
      <w:r w:rsidRPr="00B261AF">
        <w:t>(5), 2020–2034. https://doi.org/10.1002/hbm.23983</w:t>
      </w:r>
    </w:p>
    <w:p w14:paraId="77727D58" w14:textId="77777777" w:rsidR="00B261AF" w:rsidRPr="00B261AF" w:rsidRDefault="00B261AF" w:rsidP="00B261AF">
      <w:pPr>
        <w:pStyle w:val="Bibliography"/>
      </w:pPr>
      <w:r w:rsidRPr="00B261AF">
        <w:t xml:space="preserve">Keller, C. J., Honey, C. J., </w:t>
      </w:r>
      <w:proofErr w:type="spellStart"/>
      <w:r w:rsidRPr="00B261AF">
        <w:t>Mégevand</w:t>
      </w:r>
      <w:proofErr w:type="spellEnd"/>
      <w:r w:rsidRPr="00B261AF">
        <w:t xml:space="preserve">, P., Entz, L., Ulbert, I., &amp; Mehta, A. D. (2014). Mapping human brain networks with cortico-cortical evoked potentials. </w:t>
      </w:r>
      <w:r w:rsidRPr="00B261AF">
        <w:rPr>
          <w:i/>
          <w:iCs/>
        </w:rPr>
        <w:t>Philosophical Transactions of the Royal Society B: Biological Sciences</w:t>
      </w:r>
      <w:r w:rsidRPr="00B261AF">
        <w:t xml:space="preserve">, </w:t>
      </w:r>
      <w:r w:rsidRPr="00B261AF">
        <w:rPr>
          <w:i/>
          <w:iCs/>
        </w:rPr>
        <w:t>369</w:t>
      </w:r>
      <w:r w:rsidRPr="00B261AF">
        <w:t>(1653), 20130528. https://doi.org/10.1098/rstb.2013.0528</w:t>
      </w:r>
    </w:p>
    <w:p w14:paraId="7E3FA11C" w14:textId="77777777" w:rsidR="00B261AF" w:rsidRPr="00B261AF" w:rsidRDefault="00B261AF" w:rsidP="00B261AF">
      <w:pPr>
        <w:pStyle w:val="Bibliography"/>
      </w:pPr>
      <w:r w:rsidRPr="00B261AF">
        <w:t xml:space="preserve">Kokkinos, V. (2024). Interpretation of the Intracranial Electroencephalogram of the Human Hippocampus. </w:t>
      </w:r>
      <w:r w:rsidRPr="00B261AF">
        <w:rPr>
          <w:i/>
          <w:iCs/>
        </w:rPr>
        <w:t>Neurosurgery Clinics of North America</w:t>
      </w:r>
      <w:r w:rsidRPr="00B261AF">
        <w:t xml:space="preserve">, </w:t>
      </w:r>
      <w:r w:rsidRPr="00B261AF">
        <w:rPr>
          <w:i/>
          <w:iCs/>
        </w:rPr>
        <w:t>35</w:t>
      </w:r>
      <w:r w:rsidRPr="00B261AF">
        <w:t>(1), 73–82. https://doi.org/10.1016/j.nec.2023.08.004</w:t>
      </w:r>
    </w:p>
    <w:p w14:paraId="6A14B105" w14:textId="77777777" w:rsidR="00B261AF" w:rsidRPr="00B261AF" w:rsidRDefault="00B261AF" w:rsidP="00B261AF">
      <w:pPr>
        <w:pStyle w:val="Bibliography"/>
      </w:pPr>
      <w:r w:rsidRPr="00B261AF">
        <w:t xml:space="preserve">Krohn, S., Von Schwanenflug, N., Waschke, L., Romanello, A., Gell, M., Garrett, D. D., &amp; Finke, C. (2023). A spatiotemporal complexity architecture of human brain activity. </w:t>
      </w:r>
      <w:r w:rsidRPr="00B261AF">
        <w:rPr>
          <w:i/>
          <w:iCs/>
        </w:rPr>
        <w:t>Science Advances</w:t>
      </w:r>
      <w:r w:rsidRPr="00B261AF">
        <w:t xml:space="preserve">, </w:t>
      </w:r>
      <w:r w:rsidRPr="00B261AF">
        <w:rPr>
          <w:i/>
          <w:iCs/>
        </w:rPr>
        <w:t>9</w:t>
      </w:r>
      <w:r w:rsidRPr="00B261AF">
        <w:t>(5), eabq3851. https://doi.org/10.1126/sciadv.abq3851</w:t>
      </w:r>
    </w:p>
    <w:p w14:paraId="36D804C7" w14:textId="77777777" w:rsidR="00B261AF" w:rsidRPr="00B261AF" w:rsidRDefault="00B261AF" w:rsidP="00B261AF">
      <w:pPr>
        <w:pStyle w:val="Bibliography"/>
      </w:pPr>
      <w:r w:rsidRPr="00B261AF">
        <w:t xml:space="preserve">Kubota, Y., Enatsu, R., Gonzalez-Martinez, J., Bulacio, J., Mosher, J., Burgess, R. C., &amp; Nair, D. R. (2013). In vivo human hippocampal cingulate connectivity: A corticocortical evoked potentials (CCEPs) study. </w:t>
      </w:r>
      <w:r w:rsidRPr="00B261AF">
        <w:rPr>
          <w:i/>
          <w:iCs/>
        </w:rPr>
        <w:t>Clinical Neurophysiology</w:t>
      </w:r>
      <w:r w:rsidRPr="00B261AF">
        <w:t xml:space="preserve">, </w:t>
      </w:r>
      <w:r w:rsidRPr="00B261AF">
        <w:rPr>
          <w:i/>
          <w:iCs/>
        </w:rPr>
        <w:t>124</w:t>
      </w:r>
      <w:r w:rsidRPr="00B261AF">
        <w:t>(8), 1547–1556. https://doi.org/10.1016/j.clinph.2013.01.024</w:t>
      </w:r>
    </w:p>
    <w:p w14:paraId="183C18B8" w14:textId="77777777" w:rsidR="00B261AF" w:rsidRPr="00B261AF" w:rsidRDefault="00B261AF" w:rsidP="00B261AF">
      <w:pPr>
        <w:pStyle w:val="Bibliography"/>
      </w:pPr>
      <w:proofErr w:type="spellStart"/>
      <w:r w:rsidRPr="00B261AF">
        <w:t>Leech</w:t>
      </w:r>
      <w:proofErr w:type="spellEnd"/>
      <w:r w:rsidRPr="00B261AF">
        <w:t xml:space="preserve">, R., &amp; Sharp, D. J. (2014). The role of the posterior cingulate cortex in cognition and disease. </w:t>
      </w:r>
      <w:r w:rsidRPr="00B261AF">
        <w:rPr>
          <w:i/>
          <w:iCs/>
        </w:rPr>
        <w:t>Brain</w:t>
      </w:r>
      <w:r w:rsidRPr="00B261AF">
        <w:t xml:space="preserve">, </w:t>
      </w:r>
      <w:r w:rsidRPr="00B261AF">
        <w:rPr>
          <w:i/>
          <w:iCs/>
        </w:rPr>
        <w:t>137</w:t>
      </w:r>
      <w:r w:rsidRPr="00B261AF">
        <w:t>(1), 12–32. https://doi.org/10.1093/brain/awt162</w:t>
      </w:r>
    </w:p>
    <w:p w14:paraId="548CF6D3" w14:textId="77777777" w:rsidR="00B261AF" w:rsidRPr="00B261AF" w:rsidRDefault="00B261AF" w:rsidP="00B261AF">
      <w:pPr>
        <w:pStyle w:val="Bibliography"/>
      </w:pPr>
      <w:proofErr w:type="spellStart"/>
      <w:r w:rsidRPr="00B261AF">
        <w:t>Lemaréchal</w:t>
      </w:r>
      <w:proofErr w:type="spellEnd"/>
      <w:r w:rsidRPr="00B261AF">
        <w:t xml:space="preserve">, J.-D., Jedynak, M., </w:t>
      </w:r>
      <w:proofErr w:type="spellStart"/>
      <w:r w:rsidRPr="00B261AF">
        <w:t>Trebaul</w:t>
      </w:r>
      <w:proofErr w:type="spellEnd"/>
      <w:r w:rsidRPr="00B261AF">
        <w:t xml:space="preserve">, L., Boyer, A., Tadel, F., Bhattacharjee, M., Deman, P., </w:t>
      </w:r>
      <w:proofErr w:type="spellStart"/>
      <w:r w:rsidRPr="00B261AF">
        <w:t>Tuyisenge</w:t>
      </w:r>
      <w:proofErr w:type="spellEnd"/>
      <w:r w:rsidRPr="00B261AF">
        <w:t xml:space="preserve">, V., </w:t>
      </w:r>
      <w:proofErr w:type="spellStart"/>
      <w:r w:rsidRPr="00B261AF">
        <w:t>Ayoubian</w:t>
      </w:r>
      <w:proofErr w:type="spellEnd"/>
      <w:r w:rsidRPr="00B261AF">
        <w:t xml:space="preserve">, L., Hugues, E., </w:t>
      </w:r>
      <w:proofErr w:type="spellStart"/>
      <w:r w:rsidRPr="00B261AF">
        <w:t>Chanteloup</w:t>
      </w:r>
      <w:proofErr w:type="spellEnd"/>
      <w:r w:rsidRPr="00B261AF">
        <w:t xml:space="preserve">-Forêt, B., Saubat, C., </w:t>
      </w:r>
      <w:proofErr w:type="spellStart"/>
      <w:r w:rsidRPr="00B261AF">
        <w:t>Zouglech</w:t>
      </w:r>
      <w:proofErr w:type="spellEnd"/>
      <w:r w:rsidRPr="00B261AF">
        <w:t xml:space="preserve">, R., Reyes Mejia, G. C., </w:t>
      </w:r>
      <w:proofErr w:type="spellStart"/>
      <w:r w:rsidRPr="00B261AF">
        <w:t>Tourbier</w:t>
      </w:r>
      <w:proofErr w:type="spellEnd"/>
      <w:r w:rsidRPr="00B261AF">
        <w:t xml:space="preserve">, S., Hagmann, P., Adam, C., Barba, C., Bartolomei, F., … F-TRACT consortium. (2022). A brain atlas of axonal and synaptic delays based on modelling </w:t>
      </w:r>
      <w:r w:rsidRPr="00B261AF">
        <w:lastRenderedPageBreak/>
        <w:t xml:space="preserve">of cortico-cortical evoked potentials. </w:t>
      </w:r>
      <w:r w:rsidRPr="00B261AF">
        <w:rPr>
          <w:i/>
          <w:iCs/>
        </w:rPr>
        <w:t>Brain: A Journal of Neurology</w:t>
      </w:r>
      <w:r w:rsidRPr="00B261AF">
        <w:t xml:space="preserve">, </w:t>
      </w:r>
      <w:r w:rsidRPr="00B261AF">
        <w:rPr>
          <w:i/>
          <w:iCs/>
        </w:rPr>
        <w:t>145</w:t>
      </w:r>
      <w:r w:rsidRPr="00B261AF">
        <w:t>(5), 1653–1667. https://doi.org/10.1093/brain/awab362</w:t>
      </w:r>
    </w:p>
    <w:p w14:paraId="3EE5EE65" w14:textId="77777777" w:rsidR="00B261AF" w:rsidRPr="00B261AF" w:rsidRDefault="00B261AF" w:rsidP="00B261AF">
      <w:pPr>
        <w:pStyle w:val="Bibliography"/>
      </w:pPr>
      <w:r w:rsidRPr="00B261AF">
        <w:t xml:space="preserve">Lettieri, G., </w:t>
      </w:r>
      <w:proofErr w:type="spellStart"/>
      <w:r w:rsidRPr="00B261AF">
        <w:t>Handjaras</w:t>
      </w:r>
      <w:proofErr w:type="spellEnd"/>
      <w:r w:rsidRPr="00B261AF">
        <w:t xml:space="preserve">, G., Cappello, E. M., Setti, F., Bottari, D., Bruno, V., Diano, M., Leo, A., Tinti, C., Garbarini, F., Pietrini, P., Ricciardi, E., &amp; Cecchetti, L. (2024). Dissecting abstract, modality-specific and experience-dependent coding of affect in the human brain. </w:t>
      </w:r>
      <w:r w:rsidRPr="00B261AF">
        <w:rPr>
          <w:i/>
          <w:iCs/>
        </w:rPr>
        <w:t>Science Advances</w:t>
      </w:r>
      <w:r w:rsidRPr="00B261AF">
        <w:t xml:space="preserve">, </w:t>
      </w:r>
      <w:r w:rsidRPr="00B261AF">
        <w:rPr>
          <w:i/>
          <w:iCs/>
        </w:rPr>
        <w:t>10</w:t>
      </w:r>
      <w:r w:rsidRPr="00B261AF">
        <w:t>(10), eadk6840. https://doi.org/10.1126/sciadv.adk6840</w:t>
      </w:r>
    </w:p>
    <w:p w14:paraId="15F76831" w14:textId="77777777" w:rsidR="00B261AF" w:rsidRPr="00B261AF" w:rsidRDefault="00B261AF" w:rsidP="00B261AF">
      <w:pPr>
        <w:pStyle w:val="Bibliography"/>
      </w:pPr>
      <w:r w:rsidRPr="00B261AF">
        <w:t xml:space="preserve">Levinson, L. H., Sun, S., Paschall, C. J., Perks, K. M., Weaver, K. E., Perlmutter, S. I., Ko, A. L., </w:t>
      </w:r>
      <w:proofErr w:type="spellStart"/>
      <w:r w:rsidRPr="00B261AF">
        <w:t>Ojemann</w:t>
      </w:r>
      <w:proofErr w:type="spellEnd"/>
      <w:r w:rsidRPr="00B261AF">
        <w:t xml:space="preserve">, J. G., &amp; Herron, J. A. (2024). Data processing techniques impact quantification of cortico-cortical evoked potentials. </w:t>
      </w:r>
      <w:r w:rsidRPr="00B261AF">
        <w:rPr>
          <w:i/>
          <w:iCs/>
        </w:rPr>
        <w:t>Journal of Neuroscience Methods</w:t>
      </w:r>
      <w:r w:rsidRPr="00B261AF">
        <w:t xml:space="preserve">, </w:t>
      </w:r>
      <w:r w:rsidRPr="00B261AF">
        <w:rPr>
          <w:i/>
          <w:iCs/>
        </w:rPr>
        <w:t>408</w:t>
      </w:r>
      <w:r w:rsidRPr="00B261AF">
        <w:t>, 110130. https://doi.org/10.1016/j.jneumeth.2024.110130</w:t>
      </w:r>
    </w:p>
    <w:p w14:paraId="4F64EEED" w14:textId="77777777" w:rsidR="00B261AF" w:rsidRPr="00B261AF" w:rsidRDefault="00B261AF" w:rsidP="00B261AF">
      <w:pPr>
        <w:pStyle w:val="Bibliography"/>
      </w:pPr>
      <w:r w:rsidRPr="00B261AF">
        <w:t xml:space="preserve">Liu, A. A., Henin, S., </w:t>
      </w:r>
      <w:proofErr w:type="spellStart"/>
      <w:r w:rsidRPr="00B261AF">
        <w:t>Abbaspoor</w:t>
      </w:r>
      <w:proofErr w:type="spellEnd"/>
      <w:r w:rsidRPr="00B261AF">
        <w:t xml:space="preserve">, S., Bragin, A., Buffalo, E. A., Farrell, J. S., Foster, D. J., Frank, L. M., </w:t>
      </w:r>
      <w:proofErr w:type="spellStart"/>
      <w:r w:rsidRPr="00B261AF">
        <w:t>Gedankien</w:t>
      </w:r>
      <w:proofErr w:type="spellEnd"/>
      <w:r w:rsidRPr="00B261AF">
        <w:t xml:space="preserve">, T., </w:t>
      </w:r>
      <w:proofErr w:type="spellStart"/>
      <w:r w:rsidRPr="00B261AF">
        <w:t>Gotman</w:t>
      </w:r>
      <w:proofErr w:type="spellEnd"/>
      <w:r w:rsidRPr="00B261AF">
        <w:t xml:space="preserve">, J., Guidera, J. A., Hoffman, K. L., Jacobs, J., Kahana, M. J., Li, L., Liao, Z., Lin, J. J., Losonczy, A., Malach, R., … </w:t>
      </w:r>
      <w:proofErr w:type="spellStart"/>
      <w:r w:rsidRPr="00B261AF">
        <w:t>Buzsáki</w:t>
      </w:r>
      <w:proofErr w:type="spellEnd"/>
      <w:r w:rsidRPr="00B261AF">
        <w:t xml:space="preserve">, G. (2022). A consensus statement on detection of hippocampal sharp wave ripples and differentiation from other fast oscillations. </w:t>
      </w:r>
      <w:r w:rsidRPr="00B261AF">
        <w:rPr>
          <w:i/>
          <w:iCs/>
        </w:rPr>
        <w:t>Nature Communications</w:t>
      </w:r>
      <w:r w:rsidRPr="00B261AF">
        <w:t xml:space="preserve">, </w:t>
      </w:r>
      <w:r w:rsidRPr="00B261AF">
        <w:rPr>
          <w:i/>
          <w:iCs/>
        </w:rPr>
        <w:t>13</w:t>
      </w:r>
      <w:r w:rsidRPr="00B261AF">
        <w:t>(1), 6000. https://doi.org/10.1038/s41467-022-33536-x</w:t>
      </w:r>
    </w:p>
    <w:p w14:paraId="6E2ECCBE" w14:textId="77777777" w:rsidR="00B261AF" w:rsidRPr="00B261AF" w:rsidRDefault="00B261AF" w:rsidP="00B261AF">
      <w:pPr>
        <w:pStyle w:val="Bibliography"/>
      </w:pPr>
      <w:r w:rsidRPr="00B261AF">
        <w:t xml:space="preserve">Matsumoto, R., Kunieda, T., &amp; Nair, D. (2017). Single pulse electrical stimulation to probe functional and pathological connectivity in epilepsy. </w:t>
      </w:r>
      <w:r w:rsidRPr="00B261AF">
        <w:rPr>
          <w:i/>
          <w:iCs/>
        </w:rPr>
        <w:t>Seizure</w:t>
      </w:r>
      <w:r w:rsidRPr="00B261AF">
        <w:t xml:space="preserve">, </w:t>
      </w:r>
      <w:r w:rsidRPr="00B261AF">
        <w:rPr>
          <w:i/>
          <w:iCs/>
        </w:rPr>
        <w:t>44</w:t>
      </w:r>
      <w:r w:rsidRPr="00B261AF">
        <w:t>, 27–36. https://doi.org/10.1016/j.seizure.2016.11.003</w:t>
      </w:r>
    </w:p>
    <w:p w14:paraId="14717C47" w14:textId="77777777" w:rsidR="00B261AF" w:rsidRPr="00B261AF" w:rsidRDefault="00B261AF" w:rsidP="00B261AF">
      <w:pPr>
        <w:pStyle w:val="Bibliography"/>
      </w:pPr>
      <w:r w:rsidRPr="00B261AF">
        <w:t xml:space="preserve">Matsumoto, R., Nair, D. R., </w:t>
      </w:r>
      <w:proofErr w:type="spellStart"/>
      <w:r w:rsidRPr="00B261AF">
        <w:t>LaPresto</w:t>
      </w:r>
      <w:proofErr w:type="spellEnd"/>
      <w:r w:rsidRPr="00B261AF">
        <w:t xml:space="preserve">, E., Najm, I., Bingaman, W., Shibasaki, H., &amp; Lüders, H. O. (2004). Functional connectivity in the human language system: A cortico-cortical evoked potential study. </w:t>
      </w:r>
      <w:r w:rsidRPr="00B261AF">
        <w:rPr>
          <w:i/>
          <w:iCs/>
        </w:rPr>
        <w:t>Brain: A Journal of Neurology</w:t>
      </w:r>
      <w:r w:rsidRPr="00B261AF">
        <w:t xml:space="preserve">, </w:t>
      </w:r>
      <w:r w:rsidRPr="00B261AF">
        <w:rPr>
          <w:i/>
          <w:iCs/>
        </w:rPr>
        <w:t>127</w:t>
      </w:r>
      <w:r w:rsidRPr="00B261AF">
        <w:t>(Pt 10), 2316–2330. https://doi.org/10.1093/brain/awh246</w:t>
      </w:r>
    </w:p>
    <w:p w14:paraId="60B96ECE" w14:textId="77777777" w:rsidR="00B261AF" w:rsidRPr="00B261AF" w:rsidRDefault="00B261AF" w:rsidP="00B261AF">
      <w:pPr>
        <w:pStyle w:val="Bibliography"/>
      </w:pPr>
      <w:proofErr w:type="spellStart"/>
      <w:r w:rsidRPr="00B261AF">
        <w:lastRenderedPageBreak/>
        <w:t>Mayberg</w:t>
      </w:r>
      <w:proofErr w:type="spellEnd"/>
      <w:r w:rsidRPr="00B261AF">
        <w:t xml:space="preserve">, H. S., Lozano, A. M., Voon, V., McNeely, H. E., </w:t>
      </w:r>
      <w:proofErr w:type="spellStart"/>
      <w:r w:rsidRPr="00B261AF">
        <w:t>Seminowicz</w:t>
      </w:r>
      <w:proofErr w:type="spellEnd"/>
      <w:r w:rsidRPr="00B261AF">
        <w:t xml:space="preserve">, D., Hamani, C., Schwalb, J. M., &amp; Kennedy, S. H. (2005). Deep brain stimulation for treatment-resistant depression. </w:t>
      </w:r>
      <w:r w:rsidRPr="00B261AF">
        <w:rPr>
          <w:i/>
          <w:iCs/>
        </w:rPr>
        <w:t>Neuron</w:t>
      </w:r>
      <w:r w:rsidRPr="00B261AF">
        <w:t xml:space="preserve">, </w:t>
      </w:r>
      <w:r w:rsidRPr="00B261AF">
        <w:rPr>
          <w:i/>
          <w:iCs/>
        </w:rPr>
        <w:t>45</w:t>
      </w:r>
      <w:r w:rsidRPr="00B261AF">
        <w:t>(5), 651–660. https://doi.org/10.1016/j.neuron.2005.02.014</w:t>
      </w:r>
    </w:p>
    <w:p w14:paraId="44DCCBD2" w14:textId="77777777" w:rsidR="00B261AF" w:rsidRPr="00B261AF" w:rsidRDefault="00B261AF" w:rsidP="00B261AF">
      <w:pPr>
        <w:pStyle w:val="Bibliography"/>
      </w:pPr>
      <w:r w:rsidRPr="00B261AF">
        <w:t xml:space="preserve">Miller, K. J., Müller, K.-R., &amp; Hermes, D. (2021). Basis profile curve identification to understand electrical stimulation effects in human brain networks. </w:t>
      </w:r>
      <w:r w:rsidRPr="00B261AF">
        <w:rPr>
          <w:i/>
          <w:iCs/>
        </w:rPr>
        <w:t>PLOS Computational Biology</w:t>
      </w:r>
      <w:r w:rsidRPr="00B261AF">
        <w:t xml:space="preserve">, </w:t>
      </w:r>
      <w:r w:rsidRPr="00B261AF">
        <w:rPr>
          <w:i/>
          <w:iCs/>
        </w:rPr>
        <w:t>17</w:t>
      </w:r>
      <w:r w:rsidRPr="00B261AF">
        <w:t>(9), e1008710. https://doi.org/10.1371/journal.pcbi.1008710</w:t>
      </w:r>
    </w:p>
    <w:p w14:paraId="65842236" w14:textId="77777777" w:rsidR="00B261AF" w:rsidRPr="00B261AF" w:rsidRDefault="00B261AF" w:rsidP="00B261AF">
      <w:pPr>
        <w:pStyle w:val="Bibliography"/>
      </w:pPr>
      <w:r w:rsidRPr="00B261AF">
        <w:t xml:space="preserve">Miller, K. J., Müller, K.-R., Valencia, G. O., Huang, H., Gregg, N. M., Worrell, G. A., &amp; Hermes, D. (2023). Canonical Response Parameterization: Quantifying the structure of responses to single-pulse intracranial electrical brain stimulation. </w:t>
      </w:r>
      <w:proofErr w:type="spellStart"/>
      <w:r w:rsidRPr="00B261AF">
        <w:rPr>
          <w:i/>
          <w:iCs/>
        </w:rPr>
        <w:t>PLoS</w:t>
      </w:r>
      <w:proofErr w:type="spellEnd"/>
      <w:r w:rsidRPr="00B261AF">
        <w:rPr>
          <w:i/>
          <w:iCs/>
        </w:rPr>
        <w:t xml:space="preserve"> Computational Biology</w:t>
      </w:r>
      <w:r w:rsidRPr="00B261AF">
        <w:t xml:space="preserve">, </w:t>
      </w:r>
      <w:r w:rsidRPr="00B261AF">
        <w:rPr>
          <w:i/>
          <w:iCs/>
        </w:rPr>
        <w:t>19</w:t>
      </w:r>
      <w:r w:rsidRPr="00B261AF">
        <w:t>(5), e1011105. https://doi.org/10.1371/journal.pcbi.1011105</w:t>
      </w:r>
    </w:p>
    <w:p w14:paraId="1921532D" w14:textId="77777777" w:rsidR="00B261AF" w:rsidRPr="00B261AF" w:rsidRDefault="00B261AF" w:rsidP="00B261AF">
      <w:pPr>
        <w:pStyle w:val="Bibliography"/>
      </w:pPr>
      <w:r w:rsidRPr="00B261AF">
        <w:t xml:space="preserve">Oane, I., </w:t>
      </w:r>
      <w:proofErr w:type="spellStart"/>
      <w:r w:rsidRPr="00B261AF">
        <w:t>Barborica</w:t>
      </w:r>
      <w:proofErr w:type="spellEnd"/>
      <w:r w:rsidRPr="00B261AF">
        <w:t xml:space="preserve">, A., Chetan, F., Donos, C., </w:t>
      </w:r>
      <w:proofErr w:type="spellStart"/>
      <w:r w:rsidRPr="00B261AF">
        <w:t>Maliia</w:t>
      </w:r>
      <w:proofErr w:type="spellEnd"/>
      <w:r w:rsidRPr="00B261AF">
        <w:t xml:space="preserve">, M. D., </w:t>
      </w:r>
      <w:proofErr w:type="spellStart"/>
      <w:r w:rsidRPr="00B261AF">
        <w:t>Arbune</w:t>
      </w:r>
      <w:proofErr w:type="spellEnd"/>
      <w:r w:rsidRPr="00B261AF">
        <w:t xml:space="preserve">, A. A., </w:t>
      </w:r>
      <w:proofErr w:type="spellStart"/>
      <w:r w:rsidRPr="00B261AF">
        <w:t>Daneasa</w:t>
      </w:r>
      <w:proofErr w:type="spellEnd"/>
      <w:r w:rsidRPr="00B261AF">
        <w:t xml:space="preserve">, A., Pistol, C., Nica, A. E., </w:t>
      </w:r>
      <w:proofErr w:type="spellStart"/>
      <w:r w:rsidRPr="00B261AF">
        <w:t>Bajenaru</w:t>
      </w:r>
      <w:proofErr w:type="spellEnd"/>
      <w:r w:rsidRPr="00B261AF">
        <w:t xml:space="preserve">, O. A., &amp; </w:t>
      </w:r>
      <w:proofErr w:type="spellStart"/>
      <w:r w:rsidRPr="00B261AF">
        <w:t>Mindruta</w:t>
      </w:r>
      <w:proofErr w:type="spellEnd"/>
      <w:r w:rsidRPr="00B261AF">
        <w:t xml:space="preserve">, I. (2020). Cingulate cortex function and multi-modal connectivity mapped using intracranial stimulation. </w:t>
      </w:r>
      <w:proofErr w:type="spellStart"/>
      <w:r w:rsidRPr="00B261AF">
        <w:rPr>
          <w:i/>
          <w:iCs/>
        </w:rPr>
        <w:t>NeuroImage</w:t>
      </w:r>
      <w:proofErr w:type="spellEnd"/>
      <w:r w:rsidRPr="00B261AF">
        <w:t xml:space="preserve">, </w:t>
      </w:r>
      <w:r w:rsidRPr="00B261AF">
        <w:rPr>
          <w:i/>
          <w:iCs/>
        </w:rPr>
        <w:t>220</w:t>
      </w:r>
      <w:r w:rsidRPr="00B261AF">
        <w:t>, 117059. https://doi.org/10.1016/j.neuroimage.2020.117059</w:t>
      </w:r>
    </w:p>
    <w:p w14:paraId="2E80ABDB" w14:textId="77777777" w:rsidR="00B261AF" w:rsidRPr="00B261AF" w:rsidRDefault="00B261AF" w:rsidP="00B261AF">
      <w:pPr>
        <w:pStyle w:val="Bibliography"/>
      </w:pPr>
      <w:r w:rsidRPr="00B261AF">
        <w:t xml:space="preserve">Oane, I., </w:t>
      </w:r>
      <w:proofErr w:type="spellStart"/>
      <w:r w:rsidRPr="00B261AF">
        <w:t>Barborica</w:t>
      </w:r>
      <w:proofErr w:type="spellEnd"/>
      <w:r w:rsidRPr="00B261AF">
        <w:t xml:space="preserve">, A., &amp; </w:t>
      </w:r>
      <w:proofErr w:type="spellStart"/>
      <w:r w:rsidRPr="00B261AF">
        <w:t>Mindruta</w:t>
      </w:r>
      <w:proofErr w:type="spellEnd"/>
      <w:r w:rsidRPr="00B261AF">
        <w:t xml:space="preserve">, I. R. (2022). Cingulate Cortex: Anatomy, Structural and Functional Connectivity. </w:t>
      </w:r>
      <w:r w:rsidRPr="00B261AF">
        <w:rPr>
          <w:i/>
          <w:iCs/>
        </w:rPr>
        <w:t>Journal of Clinical Neurophysiology</w:t>
      </w:r>
      <w:r w:rsidRPr="00B261AF">
        <w:t>, 10.1097/WNP.0000000000000970. https://doi.org/10.1097/WNP.0000000000000970</w:t>
      </w:r>
    </w:p>
    <w:p w14:paraId="194DC77A" w14:textId="77777777" w:rsidR="00B261AF" w:rsidRPr="00B261AF" w:rsidRDefault="00B261AF" w:rsidP="00B261AF">
      <w:pPr>
        <w:pStyle w:val="Bibliography"/>
      </w:pPr>
      <w:r w:rsidRPr="00B261AF">
        <w:t xml:space="preserve">Ojeda Valencia, G., Gregg, N. M., Huang, H., Lundstrom, B. N., Brinkmann, B. H., Pal Attia, T., Van Gompel, J. J., Bernstein, M. A., In, M.-H., Huston, J., Worrell, G. A., Miller, K. J., &amp; Hermes, D. (2023). Signatures of Electrical Stimulation Driven Network Interactions in the Human Limbic System. </w:t>
      </w:r>
      <w:r w:rsidRPr="00B261AF">
        <w:rPr>
          <w:i/>
          <w:iCs/>
        </w:rPr>
        <w:t>The Journal of Neuroscience</w:t>
      </w:r>
      <w:r w:rsidRPr="00B261AF">
        <w:t xml:space="preserve">, </w:t>
      </w:r>
      <w:r w:rsidRPr="00B261AF">
        <w:rPr>
          <w:i/>
          <w:iCs/>
        </w:rPr>
        <w:t>43</w:t>
      </w:r>
      <w:r w:rsidRPr="00B261AF">
        <w:t>(39), 6697–6711. https://doi.org/10.1523/JNEUROSCI.2201-22.2023</w:t>
      </w:r>
    </w:p>
    <w:p w14:paraId="57EA61C5" w14:textId="77777777" w:rsidR="00B261AF" w:rsidRPr="00B261AF" w:rsidRDefault="00B261AF" w:rsidP="00B261AF">
      <w:pPr>
        <w:pStyle w:val="Bibliography"/>
      </w:pPr>
      <w:r w:rsidRPr="00B261AF">
        <w:t xml:space="preserve">Palmiero, M., &amp; </w:t>
      </w:r>
      <w:proofErr w:type="spellStart"/>
      <w:r w:rsidRPr="00B261AF">
        <w:t>Piccardi</w:t>
      </w:r>
      <w:proofErr w:type="spellEnd"/>
      <w:r w:rsidRPr="00B261AF">
        <w:t xml:space="preserve">, L. (2017). Frontal EEG Asymmetry of Mood: A Mini-Review. </w:t>
      </w:r>
      <w:r w:rsidRPr="00B261AF">
        <w:rPr>
          <w:i/>
          <w:iCs/>
        </w:rPr>
        <w:t>Frontiers in Behavioral Neuroscience</w:t>
      </w:r>
      <w:r w:rsidRPr="00B261AF">
        <w:t xml:space="preserve">, </w:t>
      </w:r>
      <w:r w:rsidRPr="00B261AF">
        <w:rPr>
          <w:i/>
          <w:iCs/>
        </w:rPr>
        <w:t>11</w:t>
      </w:r>
      <w:r w:rsidRPr="00B261AF">
        <w:t>, 224. https://doi.org/10.3389/fnbeh.2017.00224</w:t>
      </w:r>
    </w:p>
    <w:p w14:paraId="55B5A339" w14:textId="77777777" w:rsidR="00B261AF" w:rsidRPr="00B261AF" w:rsidRDefault="00B261AF" w:rsidP="00B261AF">
      <w:pPr>
        <w:pStyle w:val="Bibliography"/>
      </w:pPr>
      <w:proofErr w:type="spellStart"/>
      <w:r w:rsidRPr="00B261AF">
        <w:lastRenderedPageBreak/>
        <w:t>Palomero</w:t>
      </w:r>
      <w:proofErr w:type="spellEnd"/>
      <w:r w:rsidRPr="00B261AF">
        <w:t xml:space="preserve">-Gallagher, N., Vogt, B. A., Schleicher, A., </w:t>
      </w:r>
      <w:proofErr w:type="spellStart"/>
      <w:r w:rsidRPr="00B261AF">
        <w:t>Mayberg</w:t>
      </w:r>
      <w:proofErr w:type="spellEnd"/>
      <w:r w:rsidRPr="00B261AF">
        <w:t xml:space="preserve">, H. S., &amp; Zilles, K. (2009). Receptor architecture of human cingulate cortex: Evaluation of the four-region neurobiological model. </w:t>
      </w:r>
      <w:r w:rsidRPr="00B261AF">
        <w:rPr>
          <w:i/>
          <w:iCs/>
        </w:rPr>
        <w:t>Human Brain Mapping</w:t>
      </w:r>
      <w:r w:rsidRPr="00B261AF">
        <w:t xml:space="preserve">, </w:t>
      </w:r>
      <w:r w:rsidRPr="00B261AF">
        <w:rPr>
          <w:i/>
          <w:iCs/>
        </w:rPr>
        <w:t>30</w:t>
      </w:r>
      <w:r w:rsidRPr="00B261AF">
        <w:t>(8), 2336–2355. https://doi.org/10.1002/hbm.20667</w:t>
      </w:r>
    </w:p>
    <w:p w14:paraId="3443A7AF" w14:textId="77777777" w:rsidR="00B261AF" w:rsidRPr="00B261AF" w:rsidRDefault="00B261AF" w:rsidP="00B261AF">
      <w:pPr>
        <w:pStyle w:val="Bibliography"/>
      </w:pPr>
      <w:r w:rsidRPr="00B261AF">
        <w:t xml:space="preserve">Parmigiani, S., Mikulan, E., Russo, S., </w:t>
      </w:r>
      <w:proofErr w:type="spellStart"/>
      <w:r w:rsidRPr="00B261AF">
        <w:t>Sarasso</w:t>
      </w:r>
      <w:proofErr w:type="spellEnd"/>
      <w:r w:rsidRPr="00B261AF">
        <w:t xml:space="preserve">, S., </w:t>
      </w:r>
      <w:proofErr w:type="spellStart"/>
      <w:r w:rsidRPr="00B261AF">
        <w:t>Zauli</w:t>
      </w:r>
      <w:proofErr w:type="spellEnd"/>
      <w:r w:rsidRPr="00B261AF">
        <w:t xml:space="preserve">, F. M., Rubino, A., Cattani, A., </w:t>
      </w:r>
      <w:proofErr w:type="spellStart"/>
      <w:r w:rsidRPr="00B261AF">
        <w:t>Fecchio</w:t>
      </w:r>
      <w:proofErr w:type="spellEnd"/>
      <w:r w:rsidRPr="00B261AF">
        <w:t xml:space="preserve">, M., </w:t>
      </w:r>
      <w:proofErr w:type="spellStart"/>
      <w:r w:rsidRPr="00B261AF">
        <w:t>Giampiccolo</w:t>
      </w:r>
      <w:proofErr w:type="spellEnd"/>
      <w:r w:rsidRPr="00B261AF">
        <w:t xml:space="preserve">, D., Lanzone, J., D’Orio, P., Del Vecchio, M., </w:t>
      </w:r>
      <w:proofErr w:type="spellStart"/>
      <w:r w:rsidRPr="00B261AF">
        <w:t>Avanzini</w:t>
      </w:r>
      <w:proofErr w:type="spellEnd"/>
      <w:r w:rsidRPr="00B261AF">
        <w:t xml:space="preserve">, P., Nobili, L., Sartori, I., Massimini, M., &amp; </w:t>
      </w:r>
      <w:proofErr w:type="spellStart"/>
      <w:r w:rsidRPr="00B261AF">
        <w:t>Pigorini</w:t>
      </w:r>
      <w:proofErr w:type="spellEnd"/>
      <w:r w:rsidRPr="00B261AF">
        <w:t xml:space="preserve">, A. (2022). Simultaneous stereo-EEG and high-density scalp EEG recordings to study the effects of intracerebral stimulation parameters. </w:t>
      </w:r>
      <w:r w:rsidRPr="00B261AF">
        <w:rPr>
          <w:i/>
          <w:iCs/>
        </w:rPr>
        <w:t>Brain Stimulation</w:t>
      </w:r>
      <w:r w:rsidRPr="00B261AF">
        <w:t xml:space="preserve">, </w:t>
      </w:r>
      <w:r w:rsidRPr="00B261AF">
        <w:rPr>
          <w:i/>
          <w:iCs/>
        </w:rPr>
        <w:t>15</w:t>
      </w:r>
      <w:r w:rsidRPr="00B261AF">
        <w:t>(3), 664–675. https://doi.org/10.1016/j.brs.2022.04.007</w:t>
      </w:r>
    </w:p>
    <w:p w14:paraId="2284C695" w14:textId="77777777" w:rsidR="00B261AF" w:rsidRPr="00B261AF" w:rsidRDefault="00B261AF" w:rsidP="00B261AF">
      <w:pPr>
        <w:pStyle w:val="Bibliography"/>
      </w:pPr>
      <w:r w:rsidRPr="00B261AF">
        <w:t xml:space="preserve">Prime, D., Woolfe, M., O’Keefe, S., Rowlands, D., &amp; Dionisio, S. (2020). Quantifying volume conducted potential using stimulation artefact in cortico-cortical evoked potentials. </w:t>
      </w:r>
      <w:r w:rsidRPr="00B261AF">
        <w:rPr>
          <w:i/>
          <w:iCs/>
        </w:rPr>
        <w:t>Journal of Neuroscience Methods</w:t>
      </w:r>
      <w:r w:rsidRPr="00B261AF">
        <w:t xml:space="preserve">, </w:t>
      </w:r>
      <w:r w:rsidRPr="00B261AF">
        <w:rPr>
          <w:i/>
          <w:iCs/>
        </w:rPr>
        <w:t>337</w:t>
      </w:r>
      <w:r w:rsidRPr="00B261AF">
        <w:t>, 108639. https://doi.org/10.1016/j.jneumeth.2020.108639</w:t>
      </w:r>
    </w:p>
    <w:p w14:paraId="5AC30C15" w14:textId="77777777" w:rsidR="00B261AF" w:rsidRPr="00B261AF" w:rsidRDefault="00B261AF" w:rsidP="00B261AF">
      <w:pPr>
        <w:pStyle w:val="Bibliography"/>
      </w:pPr>
      <w:r w:rsidRPr="00B261AF">
        <w:t xml:space="preserve">Rustamov, N., Sharma, L., Chiang, S. N., Burk, C., Haroutounian, S., &amp; </w:t>
      </w:r>
      <w:proofErr w:type="spellStart"/>
      <w:r w:rsidRPr="00B261AF">
        <w:t>Leuthardt</w:t>
      </w:r>
      <w:proofErr w:type="spellEnd"/>
      <w:r w:rsidRPr="00B261AF">
        <w:t xml:space="preserve">, E. C. (2021). Spatial and Frequency-specific Electrophysiological Signatures of Tonic Pain Recovery in Humans. </w:t>
      </w:r>
      <w:r w:rsidRPr="00B261AF">
        <w:rPr>
          <w:i/>
          <w:iCs/>
        </w:rPr>
        <w:t>Neuroscience</w:t>
      </w:r>
      <w:r w:rsidRPr="00B261AF">
        <w:t xml:space="preserve">, </w:t>
      </w:r>
      <w:r w:rsidRPr="00B261AF">
        <w:rPr>
          <w:i/>
          <w:iCs/>
        </w:rPr>
        <w:t>465</w:t>
      </w:r>
      <w:r w:rsidRPr="00B261AF">
        <w:t>, 23–37. https://doi.org/10.1016/j.neuroscience.2021.04.008</w:t>
      </w:r>
    </w:p>
    <w:p w14:paraId="07B36630" w14:textId="77777777" w:rsidR="00B261AF" w:rsidRPr="00B261AF" w:rsidRDefault="00B261AF" w:rsidP="00B261AF">
      <w:pPr>
        <w:pStyle w:val="Bibliography"/>
      </w:pPr>
      <w:r w:rsidRPr="00B261AF">
        <w:t xml:space="preserve">Saenger, V. M., Barrios, F. A., Martínez-Gudiño, M. L., &amp; Alcauter, S. (2012). Hemispheric asymmetries of functional connectivity and grey matter volume in the default mode network. </w:t>
      </w:r>
      <w:proofErr w:type="spellStart"/>
      <w:r w:rsidRPr="00B261AF">
        <w:rPr>
          <w:i/>
          <w:iCs/>
        </w:rPr>
        <w:t>Neuropsychologia</w:t>
      </w:r>
      <w:proofErr w:type="spellEnd"/>
      <w:r w:rsidRPr="00B261AF">
        <w:t xml:space="preserve">, </w:t>
      </w:r>
      <w:r w:rsidRPr="00B261AF">
        <w:rPr>
          <w:i/>
          <w:iCs/>
        </w:rPr>
        <w:t>50</w:t>
      </w:r>
      <w:r w:rsidRPr="00B261AF">
        <w:t>(7), 1308–1315. https://doi.org/10.1016/j.neuropsychologia.2012.02.014</w:t>
      </w:r>
    </w:p>
    <w:p w14:paraId="0863E9C7" w14:textId="77777777" w:rsidR="00B261AF" w:rsidRPr="00B261AF" w:rsidRDefault="00B261AF" w:rsidP="00B261AF">
      <w:pPr>
        <w:pStyle w:val="Bibliography"/>
      </w:pPr>
      <w:r w:rsidRPr="00B261AF">
        <w:t xml:space="preserve">Salehinejad, M. A., </w:t>
      </w:r>
      <w:proofErr w:type="spellStart"/>
      <w:r w:rsidRPr="00B261AF">
        <w:t>Ghanavati</w:t>
      </w:r>
      <w:proofErr w:type="spellEnd"/>
      <w:r w:rsidRPr="00B261AF">
        <w:t>, E., Rashid, M. H. A., &amp; Nitsche, M. A. (2021). Hot and cold executive functions in the brain: A prefrontal-</w:t>
      </w:r>
      <w:proofErr w:type="spellStart"/>
      <w:r w:rsidRPr="00B261AF">
        <w:t>cingular</w:t>
      </w:r>
      <w:proofErr w:type="spellEnd"/>
      <w:r w:rsidRPr="00B261AF">
        <w:t xml:space="preserve"> network. </w:t>
      </w:r>
      <w:r w:rsidRPr="00B261AF">
        <w:rPr>
          <w:i/>
          <w:iCs/>
        </w:rPr>
        <w:t>Brain and Neuroscience Advances</w:t>
      </w:r>
      <w:r w:rsidRPr="00B261AF">
        <w:t xml:space="preserve">, </w:t>
      </w:r>
      <w:r w:rsidRPr="00B261AF">
        <w:rPr>
          <w:i/>
          <w:iCs/>
        </w:rPr>
        <w:t>5</w:t>
      </w:r>
      <w:r w:rsidRPr="00B261AF">
        <w:t>, 23982128211007769. https://doi.org/10.1177/23982128211007769</w:t>
      </w:r>
    </w:p>
    <w:p w14:paraId="7C0C1C74" w14:textId="77777777" w:rsidR="00B261AF" w:rsidRPr="00B261AF" w:rsidRDefault="00B261AF" w:rsidP="00B261AF">
      <w:pPr>
        <w:pStyle w:val="Bibliography"/>
      </w:pPr>
      <w:r w:rsidRPr="00B261AF">
        <w:lastRenderedPageBreak/>
        <w:t xml:space="preserve">Schalk, G., McFarland, D. J., Hinterberger, T., Birbaumer, N., &amp; </w:t>
      </w:r>
      <w:proofErr w:type="spellStart"/>
      <w:r w:rsidRPr="00B261AF">
        <w:t>Wolpaw</w:t>
      </w:r>
      <w:proofErr w:type="spellEnd"/>
      <w:r w:rsidRPr="00B261AF">
        <w:t xml:space="preserve">, J. R. (2004). BCI2000: A general-purpose brain-computer interface (BCI) system. </w:t>
      </w:r>
      <w:r w:rsidRPr="00B261AF">
        <w:rPr>
          <w:i/>
          <w:iCs/>
        </w:rPr>
        <w:t>IEEE Transactions on Biomedical Engineering</w:t>
      </w:r>
      <w:r w:rsidRPr="00B261AF">
        <w:t xml:space="preserve">, </w:t>
      </w:r>
      <w:r w:rsidRPr="00B261AF">
        <w:rPr>
          <w:i/>
          <w:iCs/>
        </w:rPr>
        <w:t>51</w:t>
      </w:r>
      <w:r w:rsidRPr="00B261AF">
        <w:t>(6), 1034–1043. https://doi.org/10.1109/TBME.2004.827072</w:t>
      </w:r>
    </w:p>
    <w:p w14:paraId="77AC91F0" w14:textId="77777777" w:rsidR="00B261AF" w:rsidRPr="00B261AF" w:rsidRDefault="00B261AF" w:rsidP="00B261AF">
      <w:pPr>
        <w:pStyle w:val="Bibliography"/>
      </w:pPr>
      <w:proofErr w:type="spellStart"/>
      <w:r w:rsidRPr="00B261AF">
        <w:t>Schmithorst</w:t>
      </w:r>
      <w:proofErr w:type="spellEnd"/>
      <w:r w:rsidRPr="00B261AF">
        <w:t xml:space="preserve">, V. J., Holland, S. K., &amp; Plante, E. (2011). Diffusion tensor imaging reveals white matter microstructure correlations with auditory processing ability. </w:t>
      </w:r>
      <w:r w:rsidRPr="00B261AF">
        <w:rPr>
          <w:i/>
          <w:iCs/>
        </w:rPr>
        <w:t>Ear and Hearing</w:t>
      </w:r>
      <w:r w:rsidRPr="00B261AF">
        <w:t xml:space="preserve">, </w:t>
      </w:r>
      <w:r w:rsidRPr="00B261AF">
        <w:rPr>
          <w:i/>
          <w:iCs/>
        </w:rPr>
        <w:t>32</w:t>
      </w:r>
      <w:r w:rsidRPr="00B261AF">
        <w:t>(2), 156–167. https://doi.org/10.1097/AUD.0b013e3181f7a481</w:t>
      </w:r>
    </w:p>
    <w:p w14:paraId="32679182" w14:textId="77777777" w:rsidR="00B261AF" w:rsidRPr="00B261AF" w:rsidRDefault="00B261AF" w:rsidP="00B261AF">
      <w:pPr>
        <w:pStyle w:val="Bibliography"/>
      </w:pPr>
      <w:r w:rsidRPr="00B261AF">
        <w:t xml:space="preserve">Schulz, K. P., Bédard, A.-C. V., Czarnecki, R., &amp; Fan, J. (2011). Preparatory Activity and Connectivity in Dorsal Anterior Cingulate Cortex for Cognitive Control. </w:t>
      </w:r>
      <w:proofErr w:type="spellStart"/>
      <w:r w:rsidRPr="00B261AF">
        <w:rPr>
          <w:i/>
          <w:iCs/>
        </w:rPr>
        <w:t>NeuroImage</w:t>
      </w:r>
      <w:proofErr w:type="spellEnd"/>
      <w:r w:rsidRPr="00B261AF">
        <w:t xml:space="preserve">, </w:t>
      </w:r>
      <w:r w:rsidRPr="00B261AF">
        <w:rPr>
          <w:i/>
          <w:iCs/>
        </w:rPr>
        <w:t>57</w:t>
      </w:r>
      <w:r w:rsidRPr="00B261AF">
        <w:t>(1), 242–250. https://doi.org/10.1016/j.neuroimage.2011.04.023</w:t>
      </w:r>
    </w:p>
    <w:p w14:paraId="4A4602AA" w14:textId="77777777" w:rsidR="00B261AF" w:rsidRPr="00B261AF" w:rsidRDefault="00B261AF" w:rsidP="00B261AF">
      <w:pPr>
        <w:pStyle w:val="Bibliography"/>
      </w:pPr>
      <w:proofErr w:type="spellStart"/>
      <w:r w:rsidRPr="00B261AF">
        <w:t>Shackman</w:t>
      </w:r>
      <w:proofErr w:type="spellEnd"/>
      <w:r w:rsidRPr="00B261AF">
        <w:t xml:space="preserve">, A. J., Salomons, T. V., Slagter, H. A., Fox, A. S., Winter, J. J., &amp; Davidson, R. J. (2011). The integration of negative affect, pain and cognitive control in the cingulate cortex. </w:t>
      </w:r>
      <w:r w:rsidRPr="00B261AF">
        <w:rPr>
          <w:i/>
          <w:iCs/>
        </w:rPr>
        <w:t>Nature Reviews Neuroscience</w:t>
      </w:r>
      <w:r w:rsidRPr="00B261AF">
        <w:t xml:space="preserve">, </w:t>
      </w:r>
      <w:r w:rsidRPr="00B261AF">
        <w:rPr>
          <w:i/>
          <w:iCs/>
        </w:rPr>
        <w:t>12</w:t>
      </w:r>
      <w:r w:rsidRPr="00B261AF">
        <w:t>(3), 154–167. https://doi.org/10.1038/nrn2994</w:t>
      </w:r>
    </w:p>
    <w:p w14:paraId="7AE116CF" w14:textId="77777777" w:rsidR="00B261AF" w:rsidRPr="00B261AF" w:rsidRDefault="00B261AF" w:rsidP="00B261AF">
      <w:pPr>
        <w:pStyle w:val="Bibliography"/>
      </w:pPr>
      <w:r w:rsidRPr="00B261AF">
        <w:t xml:space="preserve">Shen, Y., Cai, H., Mo, F., Yao, S., Yu, Y., &amp; Zhu, J. (2023). Functional connectivity gradients of the cingulate cortex. </w:t>
      </w:r>
      <w:r w:rsidRPr="00B261AF">
        <w:rPr>
          <w:i/>
          <w:iCs/>
        </w:rPr>
        <w:t>Communications Biology</w:t>
      </w:r>
      <w:r w:rsidRPr="00B261AF">
        <w:t xml:space="preserve">, </w:t>
      </w:r>
      <w:r w:rsidRPr="00B261AF">
        <w:rPr>
          <w:i/>
          <w:iCs/>
        </w:rPr>
        <w:t>6</w:t>
      </w:r>
      <w:r w:rsidRPr="00B261AF">
        <w:t>(1), 1–9. https://doi.org/10.1038/s42003-023-05029-0</w:t>
      </w:r>
    </w:p>
    <w:p w14:paraId="28350859" w14:textId="77777777" w:rsidR="00B261AF" w:rsidRPr="00B261AF" w:rsidRDefault="00B261AF" w:rsidP="00B261AF">
      <w:pPr>
        <w:pStyle w:val="Bibliography"/>
      </w:pPr>
      <w:r w:rsidRPr="00B261AF">
        <w:t xml:space="preserve">Silverstein, B. H., Asano, E., Sugiura, A., Sonoda, M., Lee, M.-H., &amp; Jeong, J.-W. (2020). Dynamic tractography: Integrating cortico-cortical evoked potentials and diffusion imaging. </w:t>
      </w:r>
      <w:proofErr w:type="spellStart"/>
      <w:r w:rsidRPr="00B261AF">
        <w:rPr>
          <w:i/>
          <w:iCs/>
        </w:rPr>
        <w:t>NeuroImage</w:t>
      </w:r>
      <w:proofErr w:type="spellEnd"/>
      <w:r w:rsidRPr="00B261AF">
        <w:t xml:space="preserve">, </w:t>
      </w:r>
      <w:r w:rsidRPr="00B261AF">
        <w:rPr>
          <w:i/>
          <w:iCs/>
        </w:rPr>
        <w:t>215</w:t>
      </w:r>
      <w:r w:rsidRPr="00B261AF">
        <w:t>, 116763. https://doi.org/10.1016/j.neuroimage.2020.116763</w:t>
      </w:r>
    </w:p>
    <w:p w14:paraId="158E0FA2" w14:textId="77777777" w:rsidR="00B261AF" w:rsidRPr="00B261AF" w:rsidRDefault="00B261AF" w:rsidP="00B261AF">
      <w:pPr>
        <w:pStyle w:val="Bibliography"/>
      </w:pPr>
      <w:r w:rsidRPr="00B261AF">
        <w:t xml:space="preserve">Smith, E. E., Reznik, S. J., Stewart, J. L., &amp; Allen, J. J. B. (2017). Assessing and Conceptualizing Frontal EEG Asymmetry: An Updated Primer on Recording, Processing, Analyzing, and Interpreting Frontal Alpha Asymmetry. </w:t>
      </w:r>
      <w:r w:rsidRPr="00B261AF">
        <w:rPr>
          <w:i/>
          <w:iCs/>
        </w:rPr>
        <w:t xml:space="preserve">International Journal of </w:t>
      </w:r>
      <w:proofErr w:type="gramStart"/>
      <w:r w:rsidRPr="00B261AF">
        <w:rPr>
          <w:i/>
          <w:iCs/>
        </w:rPr>
        <w:t>Psychophysiology</w:t>
      </w:r>
      <w:r w:rsidRPr="00B261AF">
        <w:rPr>
          <w:rFonts w:ascii="Arial" w:hAnsi="Arial" w:cs="Arial"/>
          <w:i/>
          <w:iCs/>
        </w:rPr>
        <w:t> </w:t>
      </w:r>
      <w:r w:rsidRPr="00B261AF">
        <w:rPr>
          <w:i/>
          <w:iCs/>
        </w:rPr>
        <w:t>:</w:t>
      </w:r>
      <w:proofErr w:type="gramEnd"/>
      <w:r w:rsidRPr="00B261AF">
        <w:rPr>
          <w:i/>
          <w:iCs/>
        </w:rPr>
        <w:t xml:space="preserve"> Official Journal of the International Organization of Psychophysiology</w:t>
      </w:r>
      <w:r w:rsidRPr="00B261AF">
        <w:t xml:space="preserve">, </w:t>
      </w:r>
      <w:r w:rsidRPr="00B261AF">
        <w:rPr>
          <w:i/>
          <w:iCs/>
        </w:rPr>
        <w:t>111</w:t>
      </w:r>
      <w:r w:rsidRPr="00B261AF">
        <w:t>, 98–114. https://doi.org/10.1016/j.ijpsycho.2016.11.005</w:t>
      </w:r>
    </w:p>
    <w:p w14:paraId="05FA7067" w14:textId="77777777" w:rsidR="00B261AF" w:rsidRPr="00B261AF" w:rsidRDefault="00B261AF" w:rsidP="00B261AF">
      <w:pPr>
        <w:pStyle w:val="Bibliography"/>
      </w:pPr>
      <w:r w:rsidRPr="00B261AF">
        <w:lastRenderedPageBreak/>
        <w:t xml:space="preserve">Spreng, R. N., Stevens, W. D., Chamberlain, J. P., Gilmore, A. W., &amp; Schacter, D. L. (2010). Default network activity, coupled with the frontoparietal control network, supports goal-directed cognition. </w:t>
      </w:r>
      <w:proofErr w:type="spellStart"/>
      <w:r w:rsidRPr="00B261AF">
        <w:rPr>
          <w:i/>
          <w:iCs/>
        </w:rPr>
        <w:t>NeuroImage</w:t>
      </w:r>
      <w:proofErr w:type="spellEnd"/>
      <w:r w:rsidRPr="00B261AF">
        <w:t xml:space="preserve">, </w:t>
      </w:r>
      <w:r w:rsidRPr="00B261AF">
        <w:rPr>
          <w:i/>
          <w:iCs/>
        </w:rPr>
        <w:t>53</w:t>
      </w:r>
      <w:r w:rsidRPr="00B261AF">
        <w:t>(1), 303–317. https://doi.org/10.1016/j.neuroimage.2010.06.016</w:t>
      </w:r>
    </w:p>
    <w:p w14:paraId="73B6DBE2" w14:textId="77777777" w:rsidR="00B261AF" w:rsidRPr="00B261AF" w:rsidRDefault="00B261AF" w:rsidP="00B261AF">
      <w:pPr>
        <w:pStyle w:val="Bibliography"/>
      </w:pPr>
      <w:r w:rsidRPr="00B261AF">
        <w:t xml:space="preserve">van Veen, V., Cohen, J. D., </w:t>
      </w:r>
      <w:proofErr w:type="spellStart"/>
      <w:r w:rsidRPr="00B261AF">
        <w:t>Botvinick</w:t>
      </w:r>
      <w:proofErr w:type="spellEnd"/>
      <w:r w:rsidRPr="00B261AF">
        <w:t xml:space="preserve">, M. M., Stenger, V. A., &amp; Carter, C. S. (2001). Anterior cingulate cortex, conflict monitoring, and levels of processing. </w:t>
      </w:r>
      <w:proofErr w:type="spellStart"/>
      <w:r w:rsidRPr="00B261AF">
        <w:rPr>
          <w:i/>
          <w:iCs/>
        </w:rPr>
        <w:t>NeuroImage</w:t>
      </w:r>
      <w:proofErr w:type="spellEnd"/>
      <w:r w:rsidRPr="00B261AF">
        <w:t xml:space="preserve">, </w:t>
      </w:r>
      <w:r w:rsidRPr="00B261AF">
        <w:rPr>
          <w:i/>
          <w:iCs/>
        </w:rPr>
        <w:t>14</w:t>
      </w:r>
      <w:r w:rsidRPr="00B261AF">
        <w:t>(6), 1302–1308. https://doi.org/10.1006/nimg.2001.0923</w:t>
      </w:r>
    </w:p>
    <w:p w14:paraId="491E5D58" w14:textId="77777777" w:rsidR="00B261AF" w:rsidRPr="00B261AF" w:rsidRDefault="00B261AF" w:rsidP="00B261AF">
      <w:pPr>
        <w:pStyle w:val="Bibliography"/>
      </w:pPr>
      <w:r w:rsidRPr="00B261AF">
        <w:t xml:space="preserve">Vogt, B. A. (2005). Pain and emotion interactions in subregions of the cingulate gyrus. </w:t>
      </w:r>
      <w:r w:rsidRPr="00B261AF">
        <w:rPr>
          <w:i/>
          <w:iCs/>
        </w:rPr>
        <w:t>Nature Reviews Neuroscience</w:t>
      </w:r>
      <w:r w:rsidRPr="00B261AF">
        <w:t xml:space="preserve">, </w:t>
      </w:r>
      <w:r w:rsidRPr="00B261AF">
        <w:rPr>
          <w:i/>
          <w:iCs/>
        </w:rPr>
        <w:t>6</w:t>
      </w:r>
      <w:r w:rsidRPr="00B261AF">
        <w:t>(7), 533–544. https://doi.org/10.1038/nrn1704</w:t>
      </w:r>
    </w:p>
    <w:p w14:paraId="2CEFD68E" w14:textId="77777777" w:rsidR="00B261AF" w:rsidRPr="00B261AF" w:rsidRDefault="00B261AF" w:rsidP="00B261AF">
      <w:pPr>
        <w:pStyle w:val="Bibliography"/>
      </w:pPr>
      <w:r w:rsidRPr="00B261AF">
        <w:t xml:space="preserve">Vogt, B. A. (2016). Midcingulate cortex: Structure, connections, homologies, functions and diseases. </w:t>
      </w:r>
      <w:r w:rsidRPr="00B261AF">
        <w:rPr>
          <w:i/>
          <w:iCs/>
        </w:rPr>
        <w:t>Journal of Chemical Neuroanatomy</w:t>
      </w:r>
      <w:r w:rsidRPr="00B261AF">
        <w:t xml:space="preserve">, </w:t>
      </w:r>
      <w:r w:rsidRPr="00B261AF">
        <w:rPr>
          <w:i/>
          <w:iCs/>
        </w:rPr>
        <w:t>74</w:t>
      </w:r>
      <w:r w:rsidRPr="00B261AF">
        <w:t>, 28–46. https://doi.org/10.1016/j.jchemneu.2016.01.010</w:t>
      </w:r>
    </w:p>
    <w:p w14:paraId="0806DA69" w14:textId="77777777" w:rsidR="00B261AF" w:rsidRPr="00B261AF" w:rsidRDefault="00B261AF" w:rsidP="00B261AF">
      <w:pPr>
        <w:pStyle w:val="Bibliography"/>
      </w:pPr>
      <w:r w:rsidRPr="00B261AF">
        <w:t xml:space="preserve">Vogt, B. A. (2019). The cingulate cortex in neurologic diseases: History, Structure, Overview. </w:t>
      </w:r>
      <w:r w:rsidRPr="00B261AF">
        <w:rPr>
          <w:i/>
          <w:iCs/>
        </w:rPr>
        <w:t>Handbook of Clinical Neurology</w:t>
      </w:r>
      <w:r w:rsidRPr="00B261AF">
        <w:t xml:space="preserve">, </w:t>
      </w:r>
      <w:r w:rsidRPr="00B261AF">
        <w:rPr>
          <w:i/>
          <w:iCs/>
        </w:rPr>
        <w:t>166</w:t>
      </w:r>
      <w:r w:rsidRPr="00B261AF">
        <w:t>, 3–21. https://doi.org/10.1016/B978-0-444-64196-0.00001-7</w:t>
      </w:r>
    </w:p>
    <w:p w14:paraId="09F592F0" w14:textId="77777777" w:rsidR="00B261AF" w:rsidRPr="00B261AF" w:rsidRDefault="00B261AF" w:rsidP="00B261AF">
      <w:pPr>
        <w:pStyle w:val="Bibliography"/>
      </w:pPr>
      <w:r w:rsidRPr="00B261AF">
        <w:t xml:space="preserve">Vogt, B. A., Nimchinsky, E. A., Vogt, L. J., &amp; Hof, P. R. (1995). Human cingulate cortex: Surface features, flat maps, and cytoarchitecture. </w:t>
      </w:r>
      <w:r w:rsidRPr="00B261AF">
        <w:rPr>
          <w:i/>
          <w:iCs/>
        </w:rPr>
        <w:t>The Journal of Comparative Neurology</w:t>
      </w:r>
      <w:r w:rsidRPr="00B261AF">
        <w:t xml:space="preserve">, </w:t>
      </w:r>
      <w:r w:rsidRPr="00B261AF">
        <w:rPr>
          <w:i/>
          <w:iCs/>
        </w:rPr>
        <w:t>359</w:t>
      </w:r>
      <w:r w:rsidRPr="00B261AF">
        <w:t>(3), 490–506. https://doi.org/10.1002/cne.903590310</w:t>
      </w:r>
    </w:p>
    <w:p w14:paraId="2D12BBC8" w14:textId="77777777" w:rsidR="00B261AF" w:rsidRPr="00B261AF" w:rsidRDefault="00B261AF" w:rsidP="00B261AF">
      <w:pPr>
        <w:pStyle w:val="Bibliography"/>
      </w:pPr>
      <w:r w:rsidRPr="00B261AF">
        <w:t xml:space="preserve">Willbrand, E. H., Parker, B. J., Voorhies, W. I., Miller, J. A., Lyu, I., Hallock, T., </w:t>
      </w:r>
      <w:proofErr w:type="spellStart"/>
      <w:r w:rsidRPr="00B261AF">
        <w:t>Aponik</w:t>
      </w:r>
      <w:proofErr w:type="spellEnd"/>
      <w:r w:rsidRPr="00B261AF">
        <w:t xml:space="preserve">-Gremillion, L., Koslov, S. R., Alzheimer’s Disease Neuroimaging Initiative, Bunge, S. A., Foster, B. L., &amp; Weiner, K. S. (2022). Uncovering a tripartite landmark in posterior cingulate cortex. </w:t>
      </w:r>
      <w:r w:rsidRPr="00B261AF">
        <w:rPr>
          <w:i/>
          <w:iCs/>
        </w:rPr>
        <w:t>Science Advances</w:t>
      </w:r>
      <w:r w:rsidRPr="00B261AF">
        <w:t xml:space="preserve">, </w:t>
      </w:r>
      <w:r w:rsidRPr="00B261AF">
        <w:rPr>
          <w:i/>
          <w:iCs/>
        </w:rPr>
        <w:t>8</w:t>
      </w:r>
      <w:r w:rsidRPr="00B261AF">
        <w:t>(36), eabn9516. https://doi.org/10.1126/sciadv.abn9516</w:t>
      </w:r>
    </w:p>
    <w:p w14:paraId="42BAC325" w14:textId="77777777" w:rsidR="00B261AF" w:rsidRPr="00B261AF" w:rsidRDefault="00B261AF" w:rsidP="00B261AF">
      <w:pPr>
        <w:pStyle w:val="Bibliography"/>
      </w:pPr>
      <w:r w:rsidRPr="00B261AF">
        <w:t xml:space="preserve">Yu, C., Zhou, Y., Liu, Y., Jiang, T., Dong, H., Zhang, Y., &amp; Walter, M. (2011). Functional segregation of the human cingulate cortex is confirmed by functional connectivity based neuroanatomical </w:t>
      </w:r>
      <w:r w:rsidRPr="00B261AF">
        <w:lastRenderedPageBreak/>
        <w:t xml:space="preserve">parcellation. </w:t>
      </w:r>
      <w:proofErr w:type="spellStart"/>
      <w:r w:rsidRPr="00B261AF">
        <w:rPr>
          <w:i/>
          <w:iCs/>
        </w:rPr>
        <w:t>NeuroImage</w:t>
      </w:r>
      <w:proofErr w:type="spellEnd"/>
      <w:r w:rsidRPr="00B261AF">
        <w:t xml:space="preserve">, </w:t>
      </w:r>
      <w:r w:rsidRPr="00B261AF">
        <w:rPr>
          <w:i/>
          <w:iCs/>
        </w:rPr>
        <w:t>54</w:t>
      </w:r>
      <w:r w:rsidRPr="00B261AF">
        <w:t>(4), 2571–2581. https://doi.org/10.1016/j.neuroimage.2010.11.018</w:t>
      </w:r>
    </w:p>
    <w:p w14:paraId="69D8AD55" w14:textId="6E1F562E" w:rsidR="00B261AF" w:rsidRPr="00B261AF" w:rsidRDefault="00B261AF" w:rsidP="00B261AF">
      <w:pPr>
        <w:spacing w:line="276" w:lineRule="auto"/>
        <w:rPr>
          <w:rFonts w:ascii="Arial" w:hAnsi="Arial" w:cs="Arial"/>
          <w:sz w:val="24"/>
          <w:szCs w:val="24"/>
        </w:rPr>
      </w:pPr>
      <w:r w:rsidRPr="00B261AF">
        <w:rPr>
          <w:rFonts w:ascii="Arial" w:hAnsi="Arial" w:cs="Arial"/>
          <w:color w:val="000000"/>
          <w:sz w:val="24"/>
          <w:szCs w:val="24"/>
        </w:rPr>
        <w:fldChar w:fldCharType="end"/>
      </w:r>
    </w:p>
    <w:p w14:paraId="76E86A6F" w14:textId="51022695" w:rsidR="00F2232E" w:rsidRPr="00B261AF" w:rsidRDefault="00F2232E" w:rsidP="00B52B3B">
      <w:pPr>
        <w:pStyle w:val="Paragraph"/>
        <w:spacing w:before="0" w:line="276" w:lineRule="auto"/>
        <w:ind w:firstLine="0"/>
        <w:rPr>
          <w:rFonts w:ascii="Arial" w:hAnsi="Arial" w:cs="Arial"/>
          <w:bCs/>
        </w:rPr>
      </w:pPr>
    </w:p>
    <w:p w14:paraId="72C14E71" w14:textId="77777777" w:rsidR="00DC4E45" w:rsidRPr="00B261AF" w:rsidRDefault="00DC4E45" w:rsidP="00B52B3B">
      <w:pPr>
        <w:spacing w:line="276" w:lineRule="auto"/>
        <w:rPr>
          <w:sz w:val="24"/>
          <w:szCs w:val="24"/>
        </w:rPr>
      </w:pPr>
    </w:p>
    <w:p w14:paraId="451FECF9" w14:textId="77777777" w:rsidR="00DC4E45" w:rsidRPr="00B261AF" w:rsidRDefault="00DC4E45" w:rsidP="00B52B3B">
      <w:pPr>
        <w:spacing w:line="276" w:lineRule="auto"/>
        <w:rPr>
          <w:sz w:val="24"/>
          <w:szCs w:val="24"/>
        </w:rPr>
      </w:pPr>
    </w:p>
    <w:sectPr w:rsidR="00DC4E45" w:rsidRPr="00B261AF" w:rsidSect="00A46DD5">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A1031"/>
    <w:multiLevelType w:val="hybridMultilevel"/>
    <w:tmpl w:val="204EC0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946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45"/>
    <w:rsid w:val="001100A2"/>
    <w:rsid w:val="001D7F02"/>
    <w:rsid w:val="00383111"/>
    <w:rsid w:val="00635E07"/>
    <w:rsid w:val="008F6A65"/>
    <w:rsid w:val="00A46DD5"/>
    <w:rsid w:val="00A57204"/>
    <w:rsid w:val="00B261AF"/>
    <w:rsid w:val="00B52B3B"/>
    <w:rsid w:val="00C3425B"/>
    <w:rsid w:val="00DC4E45"/>
    <w:rsid w:val="00DF1294"/>
    <w:rsid w:val="00E070E3"/>
    <w:rsid w:val="00EE6B1F"/>
    <w:rsid w:val="00F22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C12C"/>
  <w15:chartTrackingRefBased/>
  <w15:docId w15:val="{B77AE17E-35FC-C241-8D30-67D12492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E45"/>
    <w:pPr>
      <w:spacing w:after="200" w:line="240" w:lineRule="auto"/>
    </w:pPr>
    <w:rPr>
      <w:kern w:val="0"/>
      <w:sz w:val="22"/>
      <w:szCs w:val="22"/>
      <w14:ligatures w14:val="none"/>
    </w:rPr>
  </w:style>
  <w:style w:type="paragraph" w:styleId="Heading1">
    <w:name w:val="heading 1"/>
    <w:basedOn w:val="Normal"/>
    <w:next w:val="Normal"/>
    <w:link w:val="Heading1Char"/>
    <w:uiPriority w:val="9"/>
    <w:qFormat/>
    <w:rsid w:val="00DC4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45"/>
    <w:rPr>
      <w:rFonts w:eastAsiaTheme="majorEastAsia" w:cstheme="majorBidi"/>
      <w:color w:val="272727" w:themeColor="text1" w:themeTint="D8"/>
    </w:rPr>
  </w:style>
  <w:style w:type="paragraph" w:styleId="Title">
    <w:name w:val="Title"/>
    <w:basedOn w:val="Normal"/>
    <w:next w:val="Normal"/>
    <w:link w:val="TitleChar"/>
    <w:uiPriority w:val="10"/>
    <w:qFormat/>
    <w:rsid w:val="00DC4E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45"/>
    <w:pPr>
      <w:spacing w:before="160"/>
      <w:jc w:val="center"/>
    </w:pPr>
    <w:rPr>
      <w:i/>
      <w:iCs/>
      <w:color w:val="404040" w:themeColor="text1" w:themeTint="BF"/>
    </w:rPr>
  </w:style>
  <w:style w:type="character" w:customStyle="1" w:styleId="QuoteChar">
    <w:name w:val="Quote Char"/>
    <w:basedOn w:val="DefaultParagraphFont"/>
    <w:link w:val="Quote"/>
    <w:uiPriority w:val="29"/>
    <w:rsid w:val="00DC4E45"/>
    <w:rPr>
      <w:i/>
      <w:iCs/>
      <w:color w:val="404040" w:themeColor="text1" w:themeTint="BF"/>
    </w:rPr>
  </w:style>
  <w:style w:type="paragraph" w:styleId="ListParagraph">
    <w:name w:val="List Paragraph"/>
    <w:basedOn w:val="Normal"/>
    <w:uiPriority w:val="34"/>
    <w:qFormat/>
    <w:rsid w:val="00DC4E45"/>
    <w:pPr>
      <w:ind w:left="720"/>
      <w:contextualSpacing/>
    </w:pPr>
  </w:style>
  <w:style w:type="character" w:styleId="IntenseEmphasis">
    <w:name w:val="Intense Emphasis"/>
    <w:basedOn w:val="DefaultParagraphFont"/>
    <w:uiPriority w:val="21"/>
    <w:qFormat/>
    <w:rsid w:val="00DC4E45"/>
    <w:rPr>
      <w:i/>
      <w:iCs/>
      <w:color w:val="0F4761" w:themeColor="accent1" w:themeShade="BF"/>
    </w:rPr>
  </w:style>
  <w:style w:type="paragraph" w:styleId="IntenseQuote">
    <w:name w:val="Intense Quote"/>
    <w:basedOn w:val="Normal"/>
    <w:next w:val="Normal"/>
    <w:link w:val="IntenseQuoteChar"/>
    <w:uiPriority w:val="30"/>
    <w:qFormat/>
    <w:rsid w:val="00DC4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45"/>
    <w:rPr>
      <w:i/>
      <w:iCs/>
      <w:color w:val="0F4761" w:themeColor="accent1" w:themeShade="BF"/>
    </w:rPr>
  </w:style>
  <w:style w:type="character" w:styleId="IntenseReference">
    <w:name w:val="Intense Reference"/>
    <w:basedOn w:val="DefaultParagraphFont"/>
    <w:uiPriority w:val="32"/>
    <w:qFormat/>
    <w:rsid w:val="00DC4E45"/>
    <w:rPr>
      <w:b/>
      <w:bCs/>
      <w:smallCaps/>
      <w:color w:val="0F4761" w:themeColor="accent1" w:themeShade="BF"/>
      <w:spacing w:val="5"/>
    </w:rPr>
  </w:style>
  <w:style w:type="paragraph" w:customStyle="1" w:styleId="Paragraph">
    <w:name w:val="Paragraph"/>
    <w:basedOn w:val="Normal"/>
    <w:rsid w:val="00DC4E45"/>
    <w:pPr>
      <w:spacing w:before="120" w:after="0"/>
      <w:ind w:firstLine="720"/>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52B3B"/>
    <w:rPr>
      <w:rFonts w:ascii="Times New Roman" w:eastAsia="Times New Roman" w:hAnsi="Times New Roman" w:cs="Times New Roman"/>
      <w:i/>
      <w:iCs/>
      <w:color w:val="0E2841" w:themeColor="text2"/>
      <w:sz w:val="18"/>
      <w:szCs w:val="18"/>
    </w:rPr>
  </w:style>
  <w:style w:type="paragraph" w:customStyle="1" w:styleId="Acknowledgement">
    <w:name w:val="Acknowledgement"/>
    <w:basedOn w:val="Normal"/>
    <w:rsid w:val="00B261AF"/>
    <w:pPr>
      <w:spacing w:before="120" w:after="0"/>
      <w:ind w:left="720" w:hanging="720"/>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B261AF"/>
    <w:pPr>
      <w:spacing w:after="0" w:line="480" w:lineRule="auto"/>
      <w:ind w:left="720" w:hanging="720"/>
    </w:pPr>
  </w:style>
  <w:style w:type="character" w:styleId="LineNumber">
    <w:name w:val="line number"/>
    <w:basedOn w:val="DefaultParagraphFont"/>
    <w:uiPriority w:val="99"/>
    <w:semiHidden/>
    <w:unhideWhenUsed/>
    <w:rsid w:val="00A46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FD10B-E0BA-CD48-9E30-4D01759F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40</Pages>
  <Words>55102</Words>
  <Characters>314084</Characters>
  <Application>Microsoft Office Word</Application>
  <DocSecurity>0</DocSecurity>
  <Lines>2617</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dc:creator>
  <cp:keywords/>
  <dc:description/>
  <cp:lastModifiedBy>Phil</cp:lastModifiedBy>
  <cp:revision>2</cp:revision>
  <dcterms:created xsi:type="dcterms:W3CDTF">2026-03-05T19:16:00Z</dcterms:created>
  <dcterms:modified xsi:type="dcterms:W3CDTF">2026-03-05T20:08:00Z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id="X5nrqfDs"/&gt;&lt;style id="http://www.zotero.org/styles/apa" locale="en-US" hasBibliography="1" bibliographyStyleHasBeenSet="1"/&gt;&lt;prefs&gt;&lt;pref name="fieldType" value="Field"/&gt;&lt;/prefs&gt;&lt;/data&gt;</vt:lpwstr>
  </property>
</Properties>
</file>