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9150C" w14:textId="52D5C3A6" w:rsidR="00184C59" w:rsidRPr="00184C59" w:rsidRDefault="00184C59">
      <w:pPr>
        <w:spacing w:before="360" w:after="60" w:line="360" w:lineRule="auto"/>
        <w:ind w:firstLine="0"/>
        <w:jc w:val="left"/>
        <w:rPr>
          <w:sz w:val="24"/>
          <w:szCs w:val="24"/>
        </w:rPr>
      </w:pPr>
      <w:r>
        <w:rPr>
          <w:b/>
          <w:bCs/>
          <w:sz w:val="24"/>
          <w:szCs w:val="24"/>
        </w:rPr>
        <w:t xml:space="preserve">Presenter: </w:t>
      </w:r>
      <w:proofErr w:type="spellStart"/>
      <w:r>
        <w:rPr>
          <w:sz w:val="24"/>
          <w:szCs w:val="24"/>
        </w:rPr>
        <w:t>Ève</w:t>
      </w:r>
      <w:proofErr w:type="spellEnd"/>
      <w:r>
        <w:rPr>
          <w:sz w:val="24"/>
          <w:szCs w:val="24"/>
        </w:rPr>
        <w:t xml:space="preserve"> Poudrier, School of Music, University of British Columbia, Canada</w:t>
      </w:r>
    </w:p>
    <w:p w14:paraId="00000001" w14:textId="174C5802" w:rsidR="00477150" w:rsidRDefault="00000000">
      <w:pPr>
        <w:spacing w:before="360" w:after="60" w:line="360" w:lineRule="auto"/>
        <w:ind w:firstLine="0"/>
        <w:jc w:val="left"/>
        <w:rPr>
          <w:sz w:val="24"/>
          <w:szCs w:val="24"/>
        </w:rPr>
      </w:pPr>
      <w:r>
        <w:rPr>
          <w:b/>
          <w:bCs/>
          <w:sz w:val="24"/>
          <w:szCs w:val="24"/>
        </w:rPr>
        <w:t xml:space="preserve">Title: </w:t>
      </w:r>
      <w:r>
        <w:rPr>
          <w:sz w:val="24"/>
          <w:szCs w:val="24"/>
        </w:rPr>
        <w:t>Modeling Polyrhythmic Experience: A Corpus of 20th-Century Polyphonic Music</w:t>
      </w:r>
    </w:p>
    <w:p w14:paraId="00000002" w14:textId="77777777" w:rsidR="00477150" w:rsidRDefault="00000000">
      <w:pPr>
        <w:spacing w:before="360" w:after="60" w:line="360" w:lineRule="auto"/>
        <w:ind w:firstLine="0"/>
        <w:rPr>
          <w:sz w:val="24"/>
          <w:szCs w:val="24"/>
        </w:rPr>
      </w:pPr>
      <w:r>
        <w:rPr>
          <w:b/>
          <w:bCs/>
          <w:sz w:val="24"/>
          <w:szCs w:val="24"/>
        </w:rPr>
        <w:t>Abstract:</w:t>
      </w:r>
      <w:r>
        <w:rPr>
          <w:sz w:val="24"/>
          <w:szCs w:val="24"/>
        </w:rPr>
        <w:t xml:space="preserve"> This presentation features an interdisciplinary research project that investigated listeners’ experience of complex rhythmic structures characteristic of the first half of the 20th-century music in Europe and North America. Harnessing advances in computational representation and analysis of music, the </w:t>
      </w:r>
      <w:r>
        <w:rPr>
          <w:i/>
          <w:iCs/>
          <w:sz w:val="24"/>
          <w:szCs w:val="24"/>
        </w:rPr>
        <w:t>Polyrhythm Project</w:t>
      </w:r>
      <w:r>
        <w:rPr>
          <w:sz w:val="24"/>
          <w:szCs w:val="24"/>
        </w:rPr>
        <w:t xml:space="preserve"> (</w:t>
      </w:r>
      <w:hyperlink r:id="rId4">
        <w:r>
          <w:rPr>
            <w:color w:val="1155CC"/>
            <w:sz w:val="24"/>
            <w:szCs w:val="24"/>
            <w:u w:val="single"/>
          </w:rPr>
          <w:t>https://polyrhythm.humdrum.org</w:t>
        </w:r>
      </w:hyperlink>
      <w:r>
        <w:rPr>
          <w:sz w:val="24"/>
          <w:szCs w:val="24"/>
        </w:rPr>
        <w:t xml:space="preserve">) offers a digital corpus of 725 polyrhythmic excerpts drawn from 450 works by 20 representative composers. Following best practices in digital scholarship, each example includes over seventy metadata fields—spanning duration, time signature, tempo, instrumentation, and music production. The corpus is published as an open-access web platform with detailed documentation, including references to scores and recordings used during the encoding and analysis phases of the project. Users can interactively filter and browse examples by metadata, explore music production with interactive maps, visualize composite and coincidence rhythms that highlight polyrhythmic features, and listen to high-quality synthetic audio generated using </w:t>
      </w:r>
      <w:proofErr w:type="spellStart"/>
      <w:r>
        <w:rPr>
          <w:sz w:val="24"/>
          <w:szCs w:val="24"/>
        </w:rPr>
        <w:t>EastWest</w:t>
      </w:r>
      <w:proofErr w:type="spellEnd"/>
      <w:r>
        <w:rPr>
          <w:sz w:val="24"/>
          <w:szCs w:val="24"/>
        </w:rPr>
        <w:t xml:space="preserve"> Sounds libraries. Hosted on GitHub Pages with a Leaflet-based mapping interface and dynamic data visualizations, the platform supports public access and future extension for both research, pedagogical, and creative applications. </w:t>
      </w:r>
    </w:p>
    <w:p w14:paraId="00000003" w14:textId="77777777" w:rsidR="00477150" w:rsidRDefault="00000000">
      <w:pPr>
        <w:spacing w:before="360" w:after="60" w:line="360" w:lineRule="auto"/>
        <w:ind w:firstLine="720"/>
        <w:rPr>
          <w:sz w:val="24"/>
          <w:szCs w:val="24"/>
        </w:rPr>
      </w:pPr>
      <w:r>
        <w:rPr>
          <w:sz w:val="24"/>
          <w:szCs w:val="24"/>
        </w:rPr>
        <w:t>To quantify rhythmic complexity, we developed a composite analysis tool that extracts event onsets and computes measures of polyrhythmic activity overall and between parts, all integrated into the online platform. These data supported the design of a series of experimental studies with ecological stimuli that aimed to characterize listeners’ perception of four emotional dimensions (mood, energy, movement, dissonance, and tension). The findings point to significant effects of selected rhythmic variables unveiled by the composite tool, such as the nested ratio (proportion of coinciding events across parts), event density ratio (calculated in notes per second in human performance), and the differential in note-to-note variability between component rhythmic layers. Effects of pitch-related features such as sonority dissonance and pitch height were also observed.</w:t>
      </w:r>
    </w:p>
    <w:p w14:paraId="00000004" w14:textId="77777777" w:rsidR="00477150" w:rsidRDefault="00000000">
      <w:pPr>
        <w:spacing w:before="360" w:after="60" w:line="360" w:lineRule="auto"/>
        <w:ind w:firstLine="720"/>
        <w:rPr>
          <w:sz w:val="24"/>
          <w:szCs w:val="24"/>
        </w:rPr>
      </w:pPr>
      <w:r>
        <w:rPr>
          <w:sz w:val="24"/>
          <w:szCs w:val="24"/>
        </w:rPr>
        <w:lastRenderedPageBreak/>
        <w:t>The presentation will conclude with an introduction of “Folklore vivant,” a new research and public outreach project for community resilience through creative engagement with Francophone songs. Both projects demonstrate how new technologies can enhance research practices, knowledge mobilization, and accessible dissemination, and thus contribute to preservation of, and creative interaction with, diverse musical cultures.</w:t>
      </w:r>
    </w:p>
    <w:p w14:paraId="00000005" w14:textId="77777777" w:rsidR="00477150" w:rsidRDefault="00000000">
      <w:pPr>
        <w:spacing w:before="360" w:after="60" w:line="360" w:lineRule="auto"/>
        <w:ind w:firstLine="0"/>
        <w:rPr>
          <w:sz w:val="24"/>
          <w:szCs w:val="24"/>
        </w:rPr>
      </w:pPr>
      <w:r>
        <w:rPr>
          <w:b/>
          <w:bCs/>
          <w:sz w:val="24"/>
          <w:szCs w:val="24"/>
        </w:rPr>
        <w:t xml:space="preserve">Bio: </w:t>
      </w:r>
      <w:r>
        <w:rPr>
          <w:color w:val="1C1C1E"/>
          <w:sz w:val="24"/>
          <w:szCs w:val="24"/>
        </w:rPr>
        <w:t xml:space="preserve">I am an Associate Professor in music theory at the School of Music of the University of British Columbia, where I teach courses on European 18th- and 19-century compositional practice, techniques of graphic linear analysis, empirical aesthetics, Francophone music, and digital technology. My research has been presented at interdisciplinary conferences in North America, Europe, and the Middle East, and featured in </w:t>
      </w:r>
      <w:r>
        <w:rPr>
          <w:i/>
          <w:iCs/>
          <w:color w:val="1C1C1E"/>
          <w:sz w:val="24"/>
          <w:szCs w:val="24"/>
        </w:rPr>
        <w:t>Music Perception</w:t>
      </w:r>
      <w:r>
        <w:rPr>
          <w:color w:val="1C1C1E"/>
          <w:sz w:val="24"/>
          <w:szCs w:val="24"/>
        </w:rPr>
        <w:t xml:space="preserve">, </w:t>
      </w:r>
      <w:r>
        <w:rPr>
          <w:i/>
          <w:iCs/>
          <w:color w:val="1C1C1E"/>
          <w:sz w:val="24"/>
          <w:szCs w:val="24"/>
        </w:rPr>
        <w:t>Empirical Musicology Review</w:t>
      </w:r>
      <w:r>
        <w:rPr>
          <w:color w:val="1C1C1E"/>
          <w:sz w:val="24"/>
          <w:szCs w:val="24"/>
        </w:rPr>
        <w:t xml:space="preserve">, </w:t>
      </w:r>
      <w:r>
        <w:rPr>
          <w:i/>
          <w:iCs/>
          <w:color w:val="1C1C1E"/>
          <w:sz w:val="24"/>
          <w:szCs w:val="24"/>
        </w:rPr>
        <w:t>Action, Perception &amp; Cognition</w:t>
      </w:r>
      <w:r>
        <w:rPr>
          <w:color w:val="1C1C1E"/>
          <w:sz w:val="24"/>
          <w:szCs w:val="24"/>
        </w:rPr>
        <w:t xml:space="preserve">, and the </w:t>
      </w:r>
      <w:r>
        <w:rPr>
          <w:i/>
          <w:iCs/>
          <w:color w:val="1C1C1E"/>
          <w:sz w:val="24"/>
          <w:szCs w:val="24"/>
        </w:rPr>
        <w:t>Journal of New Music Research</w:t>
      </w:r>
      <w:r>
        <w:rPr>
          <w:color w:val="1C1C1E"/>
          <w:sz w:val="24"/>
          <w:szCs w:val="24"/>
        </w:rPr>
        <w:t>. Current projects focus on empirical aesthetics, rhythmic polyphony, and folk music of French-Canada, combining methods of close study, computational musicology, ethnography, and behavioral experimentation.</w:t>
      </w:r>
    </w:p>
    <w:sectPr w:rsidR="004771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0A2441B-A861-E140-8254-C6666CF96EA6}"/>
    <w:embedBold r:id="rId2" w:fontKey="{19B6347E-F220-9640-8142-721553B10875}"/>
    <w:embedItalic r:id="rId3" w:fontKey="{F040D25C-4C84-BA41-82A2-FA16B3494077}"/>
    <w:embedBoldItalic r:id="rId4" w:fontKey="{25F15E38-41A5-344D-856A-0392D93C848F}"/>
  </w:font>
  <w:font w:name="Georgia">
    <w:panose1 w:val="02040502050405020303"/>
    <w:charset w:val="00"/>
    <w:family w:val="roman"/>
    <w:pitch w:val="variable"/>
    <w:sig w:usb0="00000287" w:usb1="00000000" w:usb2="00000000" w:usb3="00000000" w:csb0="0000009F" w:csb1="00000000"/>
    <w:embedItalic r:id="rId5" w:fontKey="{4DECEA08-C9E8-BC45-A2DA-37F7505ADF92}"/>
  </w:font>
  <w:font w:name="Calibri">
    <w:panose1 w:val="020F0502020204030204"/>
    <w:charset w:val="00"/>
    <w:family w:val="swiss"/>
    <w:pitch w:val="variable"/>
    <w:sig w:usb0="E4002EFF" w:usb1="C200247B" w:usb2="00000009" w:usb3="00000000" w:csb0="000001FF" w:csb1="00000000"/>
    <w:embedRegular r:id="rId6" w:fontKey="{4BC2ED4E-593F-DC49-918E-6670C55C7899}"/>
  </w:font>
  <w:font w:name="Cambria">
    <w:panose1 w:val="02040503050406030204"/>
    <w:charset w:val="00"/>
    <w:family w:val="roman"/>
    <w:pitch w:val="variable"/>
    <w:sig w:usb0="E00006FF" w:usb1="420024FF" w:usb2="02000000" w:usb3="00000000" w:csb0="0000019F" w:csb1="00000000"/>
    <w:embedRegular r:id="rId7" w:fontKey="{6BEAB359-7D10-7647-B8D5-D7A825DC69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150"/>
    <w:rsid w:val="00184C59"/>
    <w:rsid w:val="00477150"/>
    <w:rsid w:val="00814A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86ED5A"/>
  <w15:docId w15:val="{B008C8C3-FDB5-8942-9AED-1CEAC7E2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ind w:left="567" w:hanging="567"/>
      <w:jc w:val="left"/>
      <w:outlineLvl w:val="0"/>
    </w:pPr>
    <w:rPr>
      <w:b/>
      <w:bCs/>
      <w:sz w:val="24"/>
      <w:szCs w:val="24"/>
    </w:rPr>
  </w:style>
  <w:style w:type="paragraph" w:styleId="Heading2">
    <w:name w:val="heading 2"/>
    <w:basedOn w:val="Normal"/>
    <w:next w:val="Normal"/>
    <w:uiPriority w:val="9"/>
    <w:semiHidden/>
    <w:unhideWhenUsed/>
    <w:qFormat/>
    <w:pPr>
      <w:keepNext/>
      <w:keepLines/>
      <w:spacing w:before="360" w:after="160"/>
      <w:ind w:firstLine="0"/>
      <w:jc w:val="left"/>
      <w:outlineLvl w:val="1"/>
    </w:pPr>
    <w:rPr>
      <w:b/>
      <w:bCs/>
    </w:rPr>
  </w:style>
  <w:style w:type="paragraph" w:styleId="Heading3">
    <w:name w:val="heading 3"/>
    <w:basedOn w:val="Normal"/>
    <w:next w:val="Normal"/>
    <w:uiPriority w:val="9"/>
    <w:semiHidden/>
    <w:unhideWhenUsed/>
    <w:qFormat/>
    <w:pPr>
      <w:spacing w:before="360"/>
      <w:ind w:firstLine="0"/>
      <w:outlineLvl w:val="2"/>
    </w:pPr>
    <w:rPr>
      <w:b/>
      <w:bCs/>
      <w:i/>
      <w:iCs/>
    </w:rPr>
  </w:style>
  <w:style w:type="paragraph" w:styleId="Heading4">
    <w:name w:val="heading 4"/>
    <w:basedOn w:val="Normal"/>
    <w:next w:val="Normal"/>
    <w:uiPriority w:val="9"/>
    <w:semiHidden/>
    <w:unhideWhenUsed/>
    <w:qFormat/>
    <w:pPr>
      <w:spacing w:before="240" w:after="120"/>
      <w:ind w:firstLine="0"/>
      <w:jc w:val="center"/>
      <w:outlineLvl w:val="3"/>
    </w:pPr>
    <w:rPr>
      <w:b/>
      <w:bCs/>
      <w:sz w:val="18"/>
      <w:szCs w:val="1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olyrhythm.humdrum.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Eve Poudrier</cp:lastModifiedBy>
  <cp:revision>2</cp:revision>
  <dcterms:created xsi:type="dcterms:W3CDTF">2026-05-14T19:30:00Z</dcterms:created>
  <dcterms:modified xsi:type="dcterms:W3CDTF">2026-05-14T19:30:00Z</dcterms:modified>
</cp:coreProperties>
</file>