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BA5B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作業：繪製人口老化地圖與統計圖表</w:t>
      </w:r>
    </w:p>
    <w:p w14:paraId="7A7B1C15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 xml:space="preserve">1: </w:t>
      </w:r>
      <w:r>
        <w:rPr>
          <w:rFonts w:ascii="Lato" w:hAnsi="Lato"/>
          <w:color w:val="333333"/>
        </w:rPr>
        <w:t>台灣人口密度地圖</w:t>
      </w:r>
      <w:r>
        <w:rPr>
          <w:rFonts w:ascii="Lato" w:hAnsi="Lato"/>
          <w:color w:val="333333"/>
        </w:rPr>
        <w:br/>
        <w:t xml:space="preserve">2: </w:t>
      </w:r>
      <w:r>
        <w:rPr>
          <w:rFonts w:ascii="Lato" w:hAnsi="Lato"/>
          <w:color w:val="333333"/>
        </w:rPr>
        <w:t>大台北人口老化地圖</w:t>
      </w:r>
      <w:r>
        <w:rPr>
          <w:rFonts w:ascii="Lato" w:hAnsi="Lato"/>
          <w:color w:val="333333"/>
        </w:rPr>
        <w:br/>
        <w:t xml:space="preserve">3: Boxplot: </w:t>
      </w:r>
      <w:r>
        <w:rPr>
          <w:rFonts w:ascii="Lato" w:hAnsi="Lato"/>
          <w:color w:val="333333"/>
        </w:rPr>
        <w:t>比較各地區的老年人口分布以及不同年齡結構的人口分布</w:t>
      </w:r>
    </w:p>
    <w:p w14:paraId="5FF1488A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作業成果的詳細說明</w:t>
      </w:r>
    </w:p>
    <w:p w14:paraId="4678BA29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[1 ]</w:t>
      </w:r>
      <w:r>
        <w:rPr>
          <w:rFonts w:ascii="Lato" w:hAnsi="Lato"/>
          <w:color w:val="333333"/>
        </w:rPr>
        <w:t>繪製台灣鄉鎮人口密度的</w:t>
      </w:r>
      <w:proofErr w:type="gramStart"/>
      <w:r>
        <w:rPr>
          <w:rFonts w:ascii="Lato" w:hAnsi="Lato"/>
          <w:color w:val="333333"/>
        </w:rPr>
        <w:t>面量圖</w:t>
      </w:r>
      <w:proofErr w:type="gramEnd"/>
      <w:r>
        <w:rPr>
          <w:rFonts w:ascii="Lato" w:hAnsi="Lato"/>
          <w:color w:val="333333"/>
        </w:rPr>
        <w:t xml:space="preserve"> (</w:t>
      </w:r>
      <w:proofErr w:type="spellStart"/>
      <w:r>
        <w:rPr>
          <w:rFonts w:ascii="Lato" w:hAnsi="Lato"/>
          <w:color w:val="333333"/>
        </w:rPr>
        <w:t>Popn</w:t>
      </w:r>
      <w:proofErr w:type="spellEnd"/>
      <w:r>
        <w:rPr>
          <w:rFonts w:ascii="Lato" w:hAnsi="Lato"/>
          <w:color w:val="333333"/>
        </w:rPr>
        <w:t>/Area)  [</w:t>
      </w:r>
      <w:r>
        <w:rPr>
          <w:rFonts w:ascii="Lato" w:hAnsi="Lato"/>
          <w:color w:val="333333"/>
        </w:rPr>
        <w:t>按照</w:t>
      </w:r>
      <w:r>
        <w:rPr>
          <w:rFonts w:ascii="Lato" w:hAnsi="Lato"/>
          <w:color w:val="333333"/>
        </w:rPr>
        <w:t xml:space="preserve">Quantile </w:t>
      </w:r>
      <w:r>
        <w:rPr>
          <w:rFonts w:ascii="Lato" w:hAnsi="Lato"/>
          <w:color w:val="333333"/>
        </w:rPr>
        <w:t>分成</w:t>
      </w:r>
      <w:r>
        <w:rPr>
          <w:rFonts w:ascii="Lato" w:hAnsi="Lato"/>
          <w:color w:val="333333"/>
        </w:rPr>
        <w:t>6</w:t>
      </w:r>
      <w:r>
        <w:rPr>
          <w:rFonts w:ascii="Lato" w:hAnsi="Lato"/>
          <w:color w:val="333333"/>
        </w:rPr>
        <w:t>級，含圖例、比例尺、圖名和指北針</w:t>
      </w:r>
      <w:r>
        <w:rPr>
          <w:rFonts w:ascii="Lato" w:hAnsi="Lato"/>
          <w:color w:val="333333"/>
        </w:rPr>
        <w:t>]</w:t>
      </w:r>
    </w:p>
    <w:p w14:paraId="208AA38B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[2]</w:t>
      </w:r>
      <w:r>
        <w:rPr>
          <w:rFonts w:ascii="Lato" w:hAnsi="Lato"/>
          <w:color w:val="333333"/>
        </w:rPr>
        <w:t>在大台北地區</w:t>
      </w:r>
      <w:r>
        <w:rPr>
          <w:rFonts w:ascii="Lato" w:hAnsi="Lato"/>
          <w:color w:val="333333"/>
        </w:rPr>
        <w:t xml:space="preserve"> (</w:t>
      </w:r>
      <w:r>
        <w:rPr>
          <w:rFonts w:ascii="Lato" w:hAnsi="Lato"/>
          <w:color w:val="333333"/>
        </w:rPr>
        <w:t>含台北、新北、基隆、桃園、宜蘭等</w:t>
      </w:r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範圍內，以紅色標示老年人口比例</w:t>
      </w:r>
      <w:r>
        <w:rPr>
          <w:rFonts w:ascii="Lato" w:hAnsi="Lato"/>
          <w:color w:val="333333"/>
        </w:rPr>
        <w:t xml:space="preserve"> (Age_L65/</w:t>
      </w:r>
      <w:proofErr w:type="spellStart"/>
      <w:r>
        <w:rPr>
          <w:rFonts w:ascii="Lato" w:hAnsi="Lato"/>
          <w:color w:val="333333"/>
        </w:rPr>
        <w:t>Popn</w:t>
      </w:r>
      <w:proofErr w:type="spellEnd"/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在</w:t>
      </w:r>
      <w:r>
        <w:rPr>
          <w:rFonts w:ascii="Lato" w:hAnsi="Lato"/>
          <w:color w:val="333333"/>
        </w:rPr>
        <w:t>top20%</w:t>
      </w:r>
      <w:r>
        <w:rPr>
          <w:rFonts w:ascii="Lato" w:hAnsi="Lato"/>
          <w:color w:val="333333"/>
        </w:rPr>
        <w:t>的鄉鎮市區，繪製大台北地區的人口老化地圖</w:t>
      </w:r>
      <w:r>
        <w:rPr>
          <w:rFonts w:ascii="Lato" w:hAnsi="Lato"/>
          <w:color w:val="333333"/>
        </w:rPr>
        <w:t xml:space="preserve"> </w:t>
      </w:r>
      <w:r>
        <w:rPr>
          <w:rFonts w:ascii="Lato" w:hAnsi="Lato"/>
          <w:color w:val="333333"/>
        </w:rPr>
        <w:t>。</w:t>
      </w:r>
    </w:p>
    <w:p w14:paraId="01B0CD83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 xml:space="preserve">[3-1] </w:t>
      </w:r>
      <w:r>
        <w:rPr>
          <w:rFonts w:ascii="Lato" w:hAnsi="Lato"/>
          <w:color w:val="333333"/>
        </w:rPr>
        <w:t>繪製</w:t>
      </w:r>
      <w:r>
        <w:rPr>
          <w:rFonts w:ascii="Lato" w:hAnsi="Lato"/>
          <w:color w:val="333333"/>
        </w:rPr>
        <w:t>boxplot</w:t>
      </w:r>
      <w:r>
        <w:rPr>
          <w:rFonts w:ascii="Lato" w:hAnsi="Lato"/>
          <w:color w:val="333333"/>
        </w:rPr>
        <w:t>。比較台灣的高密度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鄉鎮人口密度</w:t>
      </w:r>
      <w:r>
        <w:rPr>
          <w:rFonts w:ascii="Lato" w:hAnsi="Lato"/>
          <w:color w:val="333333"/>
        </w:rPr>
        <w:t xml:space="preserve"> &gt; 10,000/km2) vs. </w:t>
      </w:r>
      <w:r>
        <w:rPr>
          <w:rFonts w:ascii="Lato" w:hAnsi="Lato"/>
          <w:color w:val="333333"/>
        </w:rPr>
        <w:t>低密度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鄉鎮人口密度</w:t>
      </w:r>
      <w:r>
        <w:rPr>
          <w:rFonts w:ascii="Lato" w:hAnsi="Lato"/>
          <w:color w:val="333333"/>
        </w:rPr>
        <w:t xml:space="preserve"> &lt; 2,000/km2) </w:t>
      </w:r>
      <w:r>
        <w:rPr>
          <w:rFonts w:ascii="Lato" w:hAnsi="Lato"/>
          <w:color w:val="333333"/>
        </w:rPr>
        <w:t>的老年人口比例的分布。</w:t>
      </w:r>
    </w:p>
    <w:p w14:paraId="76C8CF09" w14:textId="77777777" w:rsidR="00390B09" w:rsidRDefault="00390B09" w:rsidP="00390B09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 xml:space="preserve">[3-2] </w:t>
      </w:r>
      <w:r>
        <w:rPr>
          <w:rFonts w:ascii="Lato" w:hAnsi="Lato"/>
          <w:color w:val="333333"/>
        </w:rPr>
        <w:t>繪製</w:t>
      </w:r>
      <w:r>
        <w:rPr>
          <w:rFonts w:ascii="Lato" w:hAnsi="Lato"/>
          <w:color w:val="333333"/>
        </w:rPr>
        <w:t>boxplot</w:t>
      </w:r>
      <w:r>
        <w:rPr>
          <w:rFonts w:ascii="Lato" w:hAnsi="Lato"/>
          <w:color w:val="333333"/>
        </w:rPr>
        <w:t>。比較台灣老</w:t>
      </w:r>
      <w:r>
        <w:rPr>
          <w:rFonts w:ascii="Lato" w:hAnsi="Lato"/>
          <w:color w:val="333333"/>
        </w:rPr>
        <w:t>/</w:t>
      </w:r>
      <w:r>
        <w:rPr>
          <w:rFonts w:ascii="Lato" w:hAnsi="Lato"/>
          <w:color w:val="333333"/>
        </w:rPr>
        <w:t>中</w:t>
      </w:r>
      <w:r>
        <w:rPr>
          <w:rFonts w:ascii="Lato" w:hAnsi="Lato"/>
          <w:color w:val="333333"/>
        </w:rPr>
        <w:t>/</w:t>
      </w:r>
      <w:r>
        <w:rPr>
          <w:rFonts w:ascii="Lato" w:hAnsi="Lato"/>
          <w:color w:val="333333"/>
        </w:rPr>
        <w:t>青年群族的鄉鎮人口數分布。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老人：年齡</w:t>
      </w:r>
      <w:r>
        <w:rPr>
          <w:rFonts w:ascii="Lato" w:hAnsi="Lato"/>
          <w:color w:val="333333"/>
        </w:rPr>
        <w:t xml:space="preserve"> &gt;= 65; </w:t>
      </w:r>
      <w:r>
        <w:rPr>
          <w:rFonts w:ascii="Lato" w:hAnsi="Lato"/>
          <w:color w:val="333333"/>
        </w:rPr>
        <w:t>中年：年齡</w:t>
      </w:r>
      <w:r>
        <w:rPr>
          <w:rFonts w:ascii="Lato" w:hAnsi="Lato"/>
          <w:color w:val="333333"/>
        </w:rPr>
        <w:t xml:space="preserve"> 21-64; </w:t>
      </w:r>
      <w:r>
        <w:rPr>
          <w:rFonts w:ascii="Lato" w:hAnsi="Lato"/>
          <w:color w:val="333333"/>
        </w:rPr>
        <w:t>青年：年齡</w:t>
      </w:r>
      <w:r>
        <w:rPr>
          <w:rFonts w:ascii="Lato" w:hAnsi="Lato"/>
          <w:color w:val="333333"/>
        </w:rPr>
        <w:t xml:space="preserve"> &lt;= 20</w:t>
      </w:r>
    </w:p>
    <w:p w14:paraId="2A8175F8" w14:textId="77777777" w:rsidR="00251D31" w:rsidRPr="00390B09" w:rsidRDefault="00251D31" w:rsidP="00390B09"/>
    <w:sectPr w:rsidR="00251D31" w:rsidRPr="00390B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09"/>
    <w:rsid w:val="00251D31"/>
    <w:rsid w:val="0039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2689"/>
  <w15:chartTrackingRefBased/>
  <w15:docId w15:val="{F37376B1-D458-4D2C-9B33-AACD826B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90B0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6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1</cp:revision>
  <dcterms:created xsi:type="dcterms:W3CDTF">2025-12-17T03:01:00Z</dcterms:created>
  <dcterms:modified xsi:type="dcterms:W3CDTF">2025-12-17T03:02:00Z</dcterms:modified>
</cp:coreProperties>
</file>