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700A2" w14:textId="77777777" w:rsidR="00785696" w:rsidRPr="00785696" w:rsidRDefault="00785696" w:rsidP="00785696">
      <w:pPr>
        <w:rPr>
          <w:rFonts w:ascii="Lato" w:eastAsia="新細明體" w:hAnsi="Lato" w:cs="新細明體"/>
          <w:b/>
          <w:bCs/>
          <w:color w:val="333333"/>
          <w:kern w:val="0"/>
          <w:szCs w:val="24"/>
        </w:rPr>
      </w:pPr>
      <w:r w:rsidRPr="00785696">
        <w:rPr>
          <w:rFonts w:ascii="Lato" w:eastAsia="新細明體" w:hAnsi="Lato" w:cs="新細明體"/>
          <w:b/>
          <w:bCs/>
          <w:color w:val="333333"/>
          <w:kern w:val="0"/>
          <w:szCs w:val="24"/>
        </w:rPr>
        <w:t>Assignment: Spatial Analysis of “Ritual Circles”</w:t>
      </w:r>
    </w:p>
    <w:p w14:paraId="3CC03812" w14:textId="77777777" w:rsidR="00785696" w:rsidRPr="00785696" w:rsidRDefault="00785696" w:rsidP="00785696">
      <w:pPr>
        <w:rPr>
          <w:rFonts w:ascii="Lato" w:eastAsia="新細明體" w:hAnsi="Lato" w:cs="新細明體"/>
          <w:color w:val="333333"/>
          <w:kern w:val="0"/>
          <w:szCs w:val="24"/>
        </w:rPr>
      </w:pPr>
    </w:p>
    <w:p w14:paraId="3533CFB3" w14:textId="77777777" w:rsidR="00785696" w:rsidRPr="00785696" w:rsidRDefault="00785696" w:rsidP="00785696">
      <w:pPr>
        <w:rPr>
          <w:rFonts w:ascii="Lato" w:eastAsia="新細明體" w:hAnsi="Lato" w:cs="新細明體"/>
          <w:b/>
          <w:bCs/>
          <w:color w:val="333333"/>
          <w:kern w:val="0"/>
          <w:szCs w:val="24"/>
        </w:rPr>
      </w:pPr>
      <w:r w:rsidRPr="00785696">
        <w:rPr>
          <w:rFonts w:ascii="Lato" w:eastAsia="新細明體" w:hAnsi="Lato" w:cs="新細明體"/>
          <w:b/>
          <w:bCs/>
          <w:color w:val="333333"/>
          <w:kern w:val="0"/>
          <w:szCs w:val="24"/>
        </w:rPr>
        <w:t>Definition:</w:t>
      </w:r>
    </w:p>
    <w:p w14:paraId="1FB3D29B" w14:textId="77777777" w:rsidR="00785696" w:rsidRPr="00785696" w:rsidRDefault="00785696" w:rsidP="00785696">
      <w:pPr>
        <w:rPr>
          <w:rFonts w:ascii="Lato" w:eastAsia="新細明體" w:hAnsi="Lato" w:cs="新細明體"/>
          <w:color w:val="333333"/>
          <w:kern w:val="0"/>
          <w:szCs w:val="24"/>
        </w:rPr>
      </w:pPr>
      <w:r w:rsidRPr="00785696">
        <w:rPr>
          <w:rFonts w:ascii="Lato" w:eastAsia="新細明體" w:hAnsi="Lato" w:cs="新細明體"/>
          <w:color w:val="333333"/>
          <w:kern w:val="0"/>
          <w:szCs w:val="24"/>
        </w:rPr>
        <w:t xml:space="preserve">A ritual circle is defined as the area surrounding a temple dedicated to the main deity of worship. For village-type ritual circles, the radius of influence is approximately </w:t>
      </w:r>
      <w:r w:rsidRPr="00785696">
        <w:rPr>
          <w:rFonts w:ascii="Lato" w:eastAsia="新細明體" w:hAnsi="Lato" w:cs="新細明體"/>
          <w:b/>
          <w:bCs/>
          <w:color w:val="333333"/>
          <w:kern w:val="0"/>
          <w:szCs w:val="24"/>
        </w:rPr>
        <w:t>2 km</w:t>
      </w:r>
      <w:r w:rsidRPr="00785696">
        <w:rPr>
          <w:rFonts w:ascii="Lato" w:eastAsia="新細明體" w:hAnsi="Lato" w:cs="新細明體"/>
          <w:color w:val="333333"/>
          <w:kern w:val="0"/>
          <w:szCs w:val="24"/>
        </w:rPr>
        <w:t>.</w:t>
      </w:r>
    </w:p>
    <w:p w14:paraId="50A35036" w14:textId="77777777" w:rsidR="00785696" w:rsidRPr="00785696" w:rsidRDefault="00785696" w:rsidP="00785696">
      <w:pPr>
        <w:rPr>
          <w:rFonts w:ascii="Lato" w:eastAsia="新細明體" w:hAnsi="Lato" w:cs="新細明體"/>
          <w:color w:val="333333"/>
          <w:kern w:val="0"/>
          <w:szCs w:val="24"/>
        </w:rPr>
      </w:pPr>
    </w:p>
    <w:p w14:paraId="24490188" w14:textId="5A3750CC" w:rsidR="00785696" w:rsidRPr="00785696" w:rsidRDefault="00785696" w:rsidP="00785696">
      <w:pPr>
        <w:rPr>
          <w:rFonts w:ascii="Lato" w:eastAsia="新細明體" w:hAnsi="Lato" w:cs="新細明體"/>
          <w:color w:val="333333"/>
          <w:kern w:val="0"/>
          <w:szCs w:val="24"/>
        </w:rPr>
      </w:pPr>
      <w:r w:rsidRPr="00785696">
        <w:rPr>
          <w:rFonts w:ascii="Lato" w:eastAsia="新細明體" w:hAnsi="Lato" w:cs="新細明體"/>
          <w:color w:val="333333"/>
          <w:kern w:val="0"/>
          <w:szCs w:val="24"/>
        </w:rPr>
        <w:t xml:space="preserve">Using the provided dataset </w:t>
      </w:r>
      <w:r w:rsidR="002853E8" w:rsidRPr="002853E8">
        <w:rPr>
          <w:rFonts w:ascii="Lato" w:hAnsi="Lato"/>
          <w:b/>
          <w:bCs/>
          <w:color w:val="333333"/>
          <w:kern w:val="0"/>
        </w:rPr>
        <w:t>(</w:t>
      </w:r>
      <w:proofErr w:type="spellStart"/>
      <w:r w:rsidR="002853E8" w:rsidRPr="002853E8">
        <w:rPr>
          <w:rFonts w:ascii="Lato" w:hAnsi="Lato"/>
          <w:b/>
          <w:bCs/>
          <w:color w:val="333333"/>
          <w:kern w:val="0"/>
        </w:rPr>
        <w:t>Taiwan_temple.shp</w:t>
      </w:r>
      <w:proofErr w:type="spellEnd"/>
      <w:r w:rsidR="002853E8" w:rsidRPr="002853E8">
        <w:rPr>
          <w:rFonts w:ascii="Lato" w:hAnsi="Lato"/>
          <w:b/>
          <w:bCs/>
          <w:color w:val="333333"/>
          <w:kern w:val="0"/>
        </w:rPr>
        <w:t>)</w:t>
      </w:r>
      <w:r w:rsidRPr="00785696">
        <w:rPr>
          <w:rFonts w:ascii="Lato" w:eastAsia="新細明體" w:hAnsi="Lato" w:cs="新細明體"/>
          <w:color w:val="333333"/>
          <w:kern w:val="0"/>
          <w:szCs w:val="24"/>
        </w:rPr>
        <w:t>, answer the following questions.</w:t>
      </w:r>
    </w:p>
    <w:p w14:paraId="1FCC970C" w14:textId="77777777" w:rsidR="00785696" w:rsidRPr="00785696" w:rsidRDefault="00785696" w:rsidP="00785696">
      <w:pPr>
        <w:rPr>
          <w:rFonts w:ascii="Lato" w:eastAsia="新細明體" w:hAnsi="Lato" w:cs="新細明體"/>
          <w:color w:val="333333"/>
          <w:kern w:val="0"/>
          <w:szCs w:val="24"/>
        </w:rPr>
      </w:pPr>
    </w:p>
    <w:p w14:paraId="06CB7CA2" w14:textId="77777777" w:rsidR="00785696" w:rsidRPr="00785696" w:rsidRDefault="00785696" w:rsidP="00785696">
      <w:pPr>
        <w:rPr>
          <w:rFonts w:ascii="Lato" w:eastAsia="新細明體" w:hAnsi="Lato" w:cs="新細明體"/>
          <w:b/>
          <w:bCs/>
          <w:color w:val="333333"/>
          <w:kern w:val="0"/>
          <w:szCs w:val="24"/>
        </w:rPr>
      </w:pPr>
      <w:r w:rsidRPr="00785696">
        <w:rPr>
          <w:rFonts w:ascii="Lato" w:eastAsia="新細明體" w:hAnsi="Lato" w:cs="新細明體"/>
          <w:b/>
          <w:bCs/>
          <w:color w:val="333333"/>
          <w:kern w:val="0"/>
          <w:szCs w:val="24"/>
        </w:rPr>
        <w:t>National-Level Analysis (Taiwan Main Island):</w:t>
      </w:r>
    </w:p>
    <w:p w14:paraId="4778FB17" w14:textId="77777777" w:rsidR="00785696" w:rsidRPr="00785696" w:rsidRDefault="00785696" w:rsidP="00785696">
      <w:pPr>
        <w:rPr>
          <w:rFonts w:ascii="Lato" w:eastAsia="新細明體" w:hAnsi="Lato" w:cs="新細明體"/>
          <w:color w:val="333333"/>
          <w:kern w:val="0"/>
          <w:szCs w:val="24"/>
        </w:rPr>
      </w:pPr>
    </w:p>
    <w:p w14:paraId="0100FCD4" w14:textId="08B75287" w:rsidR="00785696" w:rsidRPr="00785696" w:rsidRDefault="00785696" w:rsidP="00785696">
      <w:pPr>
        <w:rPr>
          <w:rFonts w:ascii="Lato" w:eastAsia="新細明體" w:hAnsi="Lato" w:cs="新細明體"/>
          <w:color w:val="333333"/>
          <w:kern w:val="0"/>
          <w:szCs w:val="24"/>
        </w:rPr>
      </w:pPr>
      <w:r w:rsidRPr="00785696">
        <w:rPr>
          <w:rFonts w:ascii="Lato" w:eastAsia="新細明體" w:hAnsi="Lato" w:cs="新細明體"/>
          <w:color w:val="333333"/>
          <w:kern w:val="0"/>
          <w:szCs w:val="24"/>
        </w:rPr>
        <w:t xml:space="preserve">Suppose a grand </w:t>
      </w:r>
      <w:proofErr w:type="spellStart"/>
      <w:r w:rsidRPr="00785696">
        <w:rPr>
          <w:rFonts w:ascii="Lato" w:eastAsia="新細明體" w:hAnsi="Lato" w:cs="新細明體"/>
          <w:color w:val="333333"/>
          <w:kern w:val="0"/>
          <w:szCs w:val="24"/>
        </w:rPr>
        <w:t>Mazu</w:t>
      </w:r>
      <w:proofErr w:type="spellEnd"/>
      <w:r w:rsidRPr="00785696">
        <w:rPr>
          <w:rFonts w:ascii="Lato" w:eastAsia="新細明體" w:hAnsi="Lato" w:cs="新細明體"/>
          <w:color w:val="333333"/>
          <w:kern w:val="0"/>
          <w:szCs w:val="24"/>
        </w:rPr>
        <w:t xml:space="preserve"> procession event is held nationwide, and all devotees depart from the central temples of their respective village-type ritual circles, as defined by close local social networks.</w:t>
      </w:r>
      <w:r w:rsidRPr="00785696">
        <w:rPr>
          <w:rFonts w:ascii="Lato" w:eastAsia="新細明體" w:hAnsi="Lato" w:cs="新細明體" w:hint="eastAsia"/>
          <w:color w:val="333333"/>
          <w:kern w:val="0"/>
          <w:szCs w:val="24"/>
        </w:rPr>
        <w:t xml:space="preserve"> </w:t>
      </w:r>
      <w:r w:rsidRPr="00785696">
        <w:rPr>
          <w:rFonts w:ascii="Lato" w:eastAsia="新細明體" w:hAnsi="Lato" w:cs="新細明體"/>
          <w:color w:val="333333"/>
          <w:kern w:val="0"/>
          <w:szCs w:val="24"/>
        </w:rPr>
        <w:t>If one existing temple is selected as the central convergence and turnaround point for all participating groups, how can this temple be chosen such that the total straight-line distance traveled by all devotees is minimized?</w:t>
      </w:r>
    </w:p>
    <w:p w14:paraId="1DF013EE" w14:textId="77777777" w:rsidR="00785696" w:rsidRPr="00785696" w:rsidRDefault="00785696" w:rsidP="00785696">
      <w:pPr>
        <w:rPr>
          <w:rFonts w:ascii="Lato" w:eastAsia="新細明體" w:hAnsi="Lato" w:cs="新細明體"/>
          <w:color w:val="333333"/>
          <w:kern w:val="0"/>
          <w:szCs w:val="24"/>
        </w:rPr>
      </w:pPr>
    </w:p>
    <w:p w14:paraId="561C1C39" w14:textId="77777777" w:rsidR="00785696" w:rsidRDefault="00785696" w:rsidP="00785696">
      <w:pPr>
        <w:pStyle w:val="a3"/>
        <w:numPr>
          <w:ilvl w:val="0"/>
          <w:numId w:val="1"/>
        </w:numPr>
        <w:ind w:leftChars="0"/>
        <w:rPr>
          <w:rFonts w:ascii="Lato" w:eastAsia="新細明體" w:hAnsi="Lato" w:cs="新細明體"/>
          <w:color w:val="333333"/>
          <w:kern w:val="0"/>
          <w:szCs w:val="24"/>
        </w:rPr>
      </w:pPr>
      <w:r w:rsidRPr="00785696">
        <w:rPr>
          <w:rFonts w:ascii="Lato" w:eastAsia="新細明體" w:hAnsi="Lato" w:cs="新細明體"/>
          <w:color w:val="333333"/>
          <w:kern w:val="0"/>
          <w:szCs w:val="24"/>
        </w:rPr>
        <w:t>Based on the same idea, if the organizer decides to build a new temporary central site (instead of choosing an existing temple) to serve as the main convergence and turnaround point, where should this center be located (specify the township name) to minimize the total straight-line travel distance of all devotees?</w:t>
      </w:r>
    </w:p>
    <w:p w14:paraId="345B87FB" w14:textId="6EAF4CA4" w:rsidR="00785696" w:rsidRPr="00785696" w:rsidRDefault="00785696" w:rsidP="00785696">
      <w:pPr>
        <w:pStyle w:val="a3"/>
        <w:numPr>
          <w:ilvl w:val="0"/>
          <w:numId w:val="1"/>
        </w:numPr>
        <w:ind w:leftChars="0"/>
        <w:rPr>
          <w:rFonts w:ascii="Lato" w:eastAsia="新細明體" w:hAnsi="Lato" w:cs="新細明體"/>
          <w:color w:val="333333"/>
          <w:kern w:val="0"/>
          <w:szCs w:val="24"/>
        </w:rPr>
      </w:pPr>
      <w:r w:rsidRPr="00785696">
        <w:rPr>
          <w:rFonts w:ascii="Lato" w:eastAsia="新細明體" w:hAnsi="Lato" w:cs="新細明體"/>
          <w:b/>
          <w:bCs/>
          <w:color w:val="333333"/>
          <w:kern w:val="0"/>
          <w:szCs w:val="24"/>
        </w:rPr>
        <w:t>Regional-Level Analysis (Southern Taiwan: Chiayi, Tainan, Kaohsiung, and Pingtung):</w:t>
      </w:r>
    </w:p>
    <w:p w14:paraId="61A607ED" w14:textId="77777777" w:rsidR="00785696" w:rsidRDefault="00785696" w:rsidP="00785696">
      <w:pPr>
        <w:pStyle w:val="a3"/>
        <w:numPr>
          <w:ilvl w:val="0"/>
          <w:numId w:val="3"/>
        </w:numPr>
        <w:ind w:leftChars="0"/>
        <w:rPr>
          <w:rFonts w:ascii="Lato" w:eastAsia="新細明體" w:hAnsi="Lato" w:cs="新細明體"/>
          <w:color w:val="333333"/>
          <w:kern w:val="0"/>
          <w:szCs w:val="24"/>
        </w:rPr>
      </w:pPr>
      <w:r w:rsidRPr="00785696">
        <w:rPr>
          <w:rFonts w:ascii="Lato" w:eastAsia="新細明體" w:hAnsi="Lato" w:cs="新細明體"/>
          <w:color w:val="333333"/>
          <w:kern w:val="0"/>
          <w:szCs w:val="24"/>
        </w:rPr>
        <w:t xml:space="preserve">Using </w:t>
      </w:r>
      <w:r w:rsidRPr="00785696">
        <w:rPr>
          <w:rFonts w:ascii="Lato" w:eastAsia="新細明體" w:hAnsi="Lato" w:cs="新細明體"/>
          <w:b/>
          <w:bCs/>
          <w:color w:val="333333"/>
          <w:kern w:val="0"/>
          <w:szCs w:val="24"/>
        </w:rPr>
        <w:t xml:space="preserve">Quadrat Analysis </w:t>
      </w:r>
      <w:r w:rsidRPr="00785696">
        <w:rPr>
          <w:rFonts w:ascii="Lato" w:eastAsia="新細明體" w:hAnsi="Lato" w:cs="新細明體"/>
          <w:color w:val="333333"/>
          <w:kern w:val="0"/>
          <w:szCs w:val="24"/>
        </w:rPr>
        <w:t xml:space="preserve">with a 20 km × 20 km grid, compare the spatial clustering characteristics of temples dedicated to </w:t>
      </w:r>
      <w:proofErr w:type="spellStart"/>
      <w:r w:rsidRPr="00785696">
        <w:rPr>
          <w:rFonts w:ascii="Lato" w:eastAsia="新細明體" w:hAnsi="Lato" w:cs="新細明體"/>
          <w:color w:val="333333"/>
          <w:kern w:val="0"/>
          <w:szCs w:val="24"/>
        </w:rPr>
        <w:t>Mazu</w:t>
      </w:r>
      <w:proofErr w:type="spellEnd"/>
      <w:r w:rsidRPr="00785696">
        <w:rPr>
          <w:rFonts w:ascii="Lato" w:eastAsia="新細明體" w:hAnsi="Lato" w:cs="新細明體"/>
          <w:color w:val="333333"/>
          <w:kern w:val="0"/>
          <w:szCs w:val="24"/>
        </w:rPr>
        <w:t xml:space="preserve"> and temples dedicated to Guanyin Bodhisattva, and discuss the observed patterns.</w:t>
      </w:r>
    </w:p>
    <w:p w14:paraId="1AB7F69C" w14:textId="7CD3BA7B" w:rsidR="00043211" w:rsidRPr="00785696" w:rsidRDefault="00785696" w:rsidP="00785696">
      <w:pPr>
        <w:pStyle w:val="a3"/>
        <w:numPr>
          <w:ilvl w:val="0"/>
          <w:numId w:val="3"/>
        </w:numPr>
        <w:ind w:leftChars="0"/>
        <w:rPr>
          <w:rFonts w:ascii="Lato" w:eastAsia="新細明體" w:hAnsi="Lato" w:cs="新細明體"/>
          <w:color w:val="333333"/>
          <w:kern w:val="0"/>
          <w:szCs w:val="24"/>
        </w:rPr>
      </w:pPr>
      <w:r w:rsidRPr="00785696">
        <w:rPr>
          <w:rFonts w:ascii="Lato" w:eastAsia="新細明體" w:hAnsi="Lato" w:cs="新細明體"/>
          <w:color w:val="333333"/>
          <w:kern w:val="0"/>
          <w:szCs w:val="24"/>
        </w:rPr>
        <w:t xml:space="preserve">Using </w:t>
      </w:r>
      <w:r w:rsidRPr="00785696">
        <w:rPr>
          <w:rFonts w:ascii="Lato" w:eastAsia="新細明體" w:hAnsi="Lato" w:cs="新細明體"/>
          <w:b/>
          <w:bCs/>
          <w:color w:val="333333"/>
          <w:kern w:val="0"/>
          <w:szCs w:val="24"/>
        </w:rPr>
        <w:t>Quadrat Analysis</w:t>
      </w:r>
      <w:r w:rsidRPr="00785696">
        <w:rPr>
          <w:rFonts w:ascii="Lato" w:eastAsia="新細明體" w:hAnsi="Lato" w:cs="新細明體"/>
          <w:color w:val="333333"/>
          <w:kern w:val="0"/>
          <w:szCs w:val="24"/>
        </w:rPr>
        <w:t xml:space="preserve">, compare the spatial clustering patterns of </w:t>
      </w:r>
      <w:proofErr w:type="spellStart"/>
      <w:r w:rsidRPr="00785696">
        <w:rPr>
          <w:rFonts w:ascii="Lato" w:eastAsia="新細明體" w:hAnsi="Lato" w:cs="新細明體"/>
          <w:color w:val="333333"/>
          <w:kern w:val="0"/>
          <w:szCs w:val="24"/>
        </w:rPr>
        <w:t>Mazu</w:t>
      </w:r>
      <w:proofErr w:type="spellEnd"/>
      <w:r w:rsidRPr="00785696">
        <w:rPr>
          <w:rFonts w:ascii="Lato" w:eastAsia="新細明體" w:hAnsi="Lato" w:cs="新細明體"/>
          <w:color w:val="333333"/>
          <w:kern w:val="0"/>
          <w:szCs w:val="24"/>
        </w:rPr>
        <w:t xml:space="preserve"> temples when using 20 km × 20 km versus 50 km × 50 km grids.</w:t>
      </w:r>
      <w:r w:rsidRPr="00785696">
        <w:rPr>
          <w:rFonts w:ascii="Lato" w:eastAsia="新細明體" w:hAnsi="Lato" w:cs="新細明體" w:hint="eastAsia"/>
          <w:color w:val="333333"/>
          <w:kern w:val="0"/>
          <w:szCs w:val="24"/>
        </w:rPr>
        <w:t xml:space="preserve"> </w:t>
      </w:r>
      <w:r w:rsidRPr="00785696">
        <w:rPr>
          <w:rFonts w:ascii="Lato" w:eastAsia="新細明體" w:hAnsi="Lato" w:cs="新細明體"/>
          <w:color w:val="333333"/>
          <w:kern w:val="0"/>
          <w:szCs w:val="24"/>
        </w:rPr>
        <w:t>Calculate and discuss the differences in clustering characteristics, and analyze how grid scale affects the detection and interpretation of spatial clustering.</w:t>
      </w:r>
    </w:p>
    <w:sectPr w:rsidR="00043211" w:rsidRPr="0078569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53A6D"/>
    <w:multiLevelType w:val="hybridMultilevel"/>
    <w:tmpl w:val="6F72F38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B7F6242"/>
    <w:multiLevelType w:val="hybridMultilevel"/>
    <w:tmpl w:val="723A8A88"/>
    <w:lvl w:ilvl="0" w:tplc="0409000F">
      <w:start w:val="1"/>
      <w:numFmt w:val="decimal"/>
      <w:lvlText w:val="%1."/>
      <w:lvlJc w:val="left"/>
      <w:pPr>
        <w:ind w:left="480" w:hanging="480"/>
      </w:pPr>
    </w:lvl>
    <w:lvl w:ilvl="1" w:tplc="04090001">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6410FAE"/>
    <w:multiLevelType w:val="hybridMultilevel"/>
    <w:tmpl w:val="78A869EC"/>
    <w:lvl w:ilvl="0" w:tplc="9C6A31E6">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EE"/>
    <w:rsid w:val="0000268A"/>
    <w:rsid w:val="00043211"/>
    <w:rsid w:val="002853E8"/>
    <w:rsid w:val="00785696"/>
    <w:rsid w:val="007C29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272F"/>
  <w15:chartTrackingRefBased/>
  <w15:docId w15:val="{ABE81330-0DE3-47BF-884D-D3D28BCC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00268A"/>
    <w:pPr>
      <w:widowControl/>
      <w:spacing w:before="100" w:beforeAutospacing="1" w:after="100" w:afterAutospacing="1"/>
    </w:pPr>
    <w:rPr>
      <w:rFonts w:ascii="新細明體" w:eastAsia="新細明體" w:hAnsi="新細明體" w:cs="新細明體"/>
      <w:kern w:val="0"/>
      <w:szCs w:val="24"/>
    </w:rPr>
  </w:style>
  <w:style w:type="paragraph" w:styleId="a3">
    <w:name w:val="List Paragraph"/>
    <w:basedOn w:val="a"/>
    <w:uiPriority w:val="34"/>
    <w:qFormat/>
    <w:rsid w:val="0078569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502108">
      <w:bodyDiv w:val="1"/>
      <w:marLeft w:val="0"/>
      <w:marRight w:val="0"/>
      <w:marTop w:val="0"/>
      <w:marBottom w:val="0"/>
      <w:divBdr>
        <w:top w:val="none" w:sz="0" w:space="0" w:color="auto"/>
        <w:left w:val="none" w:sz="0" w:space="0" w:color="auto"/>
        <w:bottom w:val="none" w:sz="0" w:space="0" w:color="auto"/>
        <w:right w:val="none" w:sz="0" w:space="0" w:color="auto"/>
      </w:divBdr>
    </w:div>
    <w:div w:id="165649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Szu-Tsai Liao</dc:creator>
  <cp:keywords/>
  <dc:description/>
  <cp:lastModifiedBy>Szu-Tsai Liao</cp:lastModifiedBy>
  <cp:revision>4</cp:revision>
  <dcterms:created xsi:type="dcterms:W3CDTF">2025-12-17T06:59:00Z</dcterms:created>
  <dcterms:modified xsi:type="dcterms:W3CDTF">2026-04-15T02:13:00Z</dcterms:modified>
</cp:coreProperties>
</file>