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595959"/>
          <w:spacing w:val="20"/>
          <w:sz w:val="26"/>
          <w:szCs w:val="26"/>
        </w:rPr>
        <w:t xml:space="preserve">TÀI LIỆU KẾ HOẠCH DỰ ÁN</w:t>
      </w:r>
    </w:p>
    <w:p>
      <w:pPr>
        <w:spacing w:after="200" w:before="200"/>
        <w:jc w:val="center"/>
      </w:pPr>
      <w:r>
        <w:rPr>
          <w:rFonts w:ascii="Calibri" w:cs="Calibri" w:eastAsia="Calibri" w:hAnsi="Calibri"/>
          <w:b/>
          <w:bCs/>
          <w:color w:val="1F3864"/>
          <w:sz w:val="64"/>
          <w:szCs w:val="64"/>
        </w:rPr>
        <w:t xml:space="preserve">VNutriCare</w:t>
      </w:r>
    </w:p>
    <w:p>
      <w:pPr>
        <w:spacing w:after="100"/>
        <w:jc w:val="center"/>
      </w:pPr>
      <w:r>
        <w:rPr>
          <w:rFonts w:ascii="Calibri" w:cs="Calibri" w:eastAsia="Calibri" w:hAnsi="Calibri"/>
          <w:b/>
          <w:bCs/>
          <w:color w:val="2E5395"/>
          <w:sz w:val="30"/>
          <w:szCs w:val="30"/>
        </w:rPr>
        <w:t xml:space="preserve">AI Agent Dinh Dưỡng Lâm Sàng Cho Bệnh Nhân Mãn Tính Việt Nam</w:t>
      </w:r>
    </w:p>
    <w:p>
      <w:pPr>
        <w:spacing w:after="700"/>
        <w:jc w:val="center"/>
      </w:pPr>
      <w:r>
        <w:rPr>
          <w:rFonts w:ascii="Calibri" w:cs="Calibri" w:eastAsia="Calibri" w:hAnsi="Calibri"/>
          <w:i/>
          <w:iCs/>
          <w:color w:val="595959"/>
          <w:sz w:val="24"/>
          <w:szCs w:val="24"/>
        </w:rPr>
        <w:t xml:space="preserve">Đề bài VMEC-10 · AI20K Build Cohort 3</w:t>
      </w:r>
    </w:p>
    <w:p>
      <w:pPr>
        <w:spacing w:after="60"/>
        <w:jc w:val="center"/>
      </w:pPr>
      <w:r>
        <w:rPr>
          <w:rFonts w:ascii="Calibri" w:cs="Calibri" w:eastAsia="Calibri" w:hAnsi="Calibri"/>
          <w:color w:val="595959"/>
          <w:sz w:val="21"/>
          <w:szCs w:val="21"/>
        </w:rPr>
        <w:t xml:space="preserve">Đặt vấn đề · Luồng đối tượng &amp; dữ liệu · Câu hỏi nghiên cứu · Bằng chứng · Dataset &amp; phương án AI · Cập nhật hướng dẫn lâm sàng · Thiết kế tích hợp mô hình</w:t>
      </w:r>
    </w:p>
    <w:p>
      <w:pPr>
        <w:spacing w:after="900"/>
      </w:pPr>
    </w:p>
    <w:tbl>
      <w:tblPr>
        <w:tblW w:type="pct" w:w="60%"/>
        <w:jc w:val="center"/>
        <w:tblBorders>
          <w:top w:val="single" w:color="CCCCCC" w:sz="4"/>
          <w:left w:val="none"/>
          <w:bottom w:val="single" w:color="CCCCCC" w:sz="4"/>
          <w:right w:val="none"/>
          <w:insideH w:val="single" w:color="E5E5E5" w:sz="2"/>
          <w:insideV w:val="none"/>
        </w:tblBorders>
      </w:tblPr>
      <w:tblGrid>
        <w:gridCol w:w="100"/>
        <w:gridCol w:w="100"/>
      </w:tblGrid>
      <w:tr>
        <w:tc>
          <w:tcPr>
            <w:tcW w:type="pct" w:w="32%"/>
            <w:tcMar>
              <w:top w:type="dxa" w:w="90"/>
              <w:left w:type="dxa" w:w="40"/>
              <w:bottom w:type="dxa" w:w="90"/>
              <w:right w:type="dxa" w:w="40"/>
            </w:tcMar>
            <w:vAlign w:val="center"/>
          </w:tcPr>
          <w:p>
            <w:r>
              <w:rPr>
                <w:rFonts w:ascii="Calibri" w:cs="Calibri" w:eastAsia="Calibri" w:hAnsi="Calibri"/>
                <w:b/>
                <w:bCs/>
                <w:color w:val="1F3864"/>
                <w:sz w:val="20"/>
                <w:szCs w:val="20"/>
              </w:rPr>
              <w:t xml:space="preserve">Phiên bản</w:t>
            </w:r>
          </w:p>
        </w:tc>
        <w:tc>
          <w:tcPr>
            <w:tcW w:type="pct" w:w="68%"/>
            <w:tcMar>
              <w:top w:type="dxa" w:w="90"/>
              <w:left w:type="dxa" w:w="40"/>
              <w:bottom w:type="dxa" w:w="90"/>
              <w:right w:type="dxa" w:w="40"/>
            </w:tcMar>
            <w:vAlign w:val="center"/>
          </w:tcPr>
          <w:p>
            <w:r>
              <w:rPr>
                <w:rFonts w:ascii="Calibri" w:cs="Calibri" w:eastAsia="Calibri" w:hAnsi="Calibri"/>
                <w:sz w:val="20"/>
                <w:szCs w:val="20"/>
              </w:rPr>
              <w:t xml:space="preserve">1.0</w:t>
            </w:r>
          </w:p>
        </w:tc>
      </w:tr>
      <w:tr>
        <w:tc>
          <w:tcPr>
            <w:tcW w:type="pct" w:w="32%"/>
            <w:tcMar>
              <w:top w:type="dxa" w:w="90"/>
              <w:left w:type="dxa" w:w="40"/>
              <w:bottom w:type="dxa" w:w="90"/>
              <w:right w:type="dxa" w:w="40"/>
            </w:tcMar>
            <w:vAlign w:val="center"/>
          </w:tcPr>
          <w:p>
            <w:r>
              <w:rPr>
                <w:rFonts w:ascii="Calibri" w:cs="Calibri" w:eastAsia="Calibri" w:hAnsi="Calibri"/>
                <w:b/>
                <w:bCs/>
                <w:color w:val="1F3864"/>
                <w:sz w:val="20"/>
                <w:szCs w:val="20"/>
              </w:rPr>
              <w:t xml:space="preserve">Ngày ban hành</w:t>
            </w:r>
          </w:p>
        </w:tc>
        <w:tc>
          <w:tcPr>
            <w:tcW w:type="pct" w:w="68%"/>
            <w:tcMar>
              <w:top w:type="dxa" w:w="90"/>
              <w:left w:type="dxa" w:w="40"/>
              <w:bottom w:type="dxa" w:w="90"/>
              <w:right w:type="dxa" w:w="40"/>
            </w:tcMar>
            <w:vAlign w:val="center"/>
          </w:tcPr>
          <w:p>
            <w:r>
              <w:rPr>
                <w:rFonts w:ascii="Calibri" w:cs="Calibri" w:eastAsia="Calibri" w:hAnsi="Calibri"/>
                <w:sz w:val="20"/>
                <w:szCs w:val="20"/>
              </w:rPr>
              <w:t xml:space="preserve">27/07/2026</w:t>
            </w:r>
          </w:p>
        </w:tc>
      </w:tr>
      <w:tr>
        <w:tc>
          <w:tcPr>
            <w:tcW w:type="pct" w:w="32%"/>
            <w:tcMar>
              <w:top w:type="dxa" w:w="90"/>
              <w:left w:type="dxa" w:w="40"/>
              <w:bottom w:type="dxa" w:w="90"/>
              <w:right w:type="dxa" w:w="40"/>
            </w:tcMar>
            <w:vAlign w:val="center"/>
          </w:tcPr>
          <w:p>
            <w:r>
              <w:rPr>
                <w:rFonts w:ascii="Calibri" w:cs="Calibri" w:eastAsia="Calibri" w:hAnsi="Calibri"/>
                <w:b/>
                <w:bCs/>
                <w:color w:val="1F3864"/>
                <w:sz w:val="20"/>
                <w:szCs w:val="20"/>
              </w:rPr>
              <w:t xml:space="preserve">Chương trình</w:t>
            </w:r>
          </w:p>
        </w:tc>
        <w:tc>
          <w:tcPr>
            <w:tcW w:type="pct" w:w="68%"/>
            <w:tcMar>
              <w:top w:type="dxa" w:w="90"/>
              <w:left w:type="dxa" w:w="40"/>
              <w:bottom w:type="dxa" w:w="90"/>
              <w:right w:type="dxa" w:w="40"/>
            </w:tcMar>
            <w:vAlign w:val="center"/>
          </w:tcPr>
          <w:p>
            <w:r>
              <w:rPr>
                <w:rFonts w:ascii="Calibri" w:cs="Calibri" w:eastAsia="Calibri" w:hAnsi="Calibri"/>
                <w:sz w:val="20"/>
                <w:szCs w:val="20"/>
              </w:rPr>
              <w:t xml:space="preserve">AI20K Build Cohort 3 — VMEC-10</w:t>
            </w:r>
          </w:p>
        </w:tc>
      </w:tr>
      <w:tr>
        <w:tc>
          <w:tcPr>
            <w:tcW w:type="pct" w:w="32%"/>
            <w:tcMar>
              <w:top w:type="dxa" w:w="90"/>
              <w:left w:type="dxa" w:w="40"/>
              <w:bottom w:type="dxa" w:w="90"/>
              <w:right w:type="dxa" w:w="40"/>
            </w:tcMar>
            <w:vAlign w:val="center"/>
          </w:tcPr>
          <w:p>
            <w:r>
              <w:rPr>
                <w:rFonts w:ascii="Calibri" w:cs="Calibri" w:eastAsia="Calibri" w:hAnsi="Calibri"/>
                <w:b/>
                <w:bCs/>
                <w:color w:val="1F3864"/>
                <w:sz w:val="20"/>
                <w:szCs w:val="20"/>
              </w:rPr>
              <w:t xml:space="preserve">Phạm vi</w:t>
            </w:r>
          </w:p>
        </w:tc>
        <w:tc>
          <w:tcPr>
            <w:tcW w:type="pct" w:w="68%"/>
            <w:tcMar>
              <w:top w:type="dxa" w:w="90"/>
              <w:left w:type="dxa" w:w="40"/>
              <w:bottom w:type="dxa" w:w="90"/>
              <w:right w:type="dxa" w:w="40"/>
            </w:tcMar>
            <w:vAlign w:val="center"/>
          </w:tcPr>
          <w:p>
            <w:r>
              <w:rPr>
                <w:rFonts w:ascii="Calibri" w:cs="Calibri" w:eastAsia="Calibri" w:hAnsi="Calibri"/>
                <w:sz w:val="20"/>
                <w:szCs w:val="20"/>
              </w:rPr>
              <w:t xml:space="preserve">Kế hoạch dự án — dùng dữ liệu mô phỏng, không chứa dữ liệu bệnh nhân thật</w:t>
            </w:r>
          </w:p>
        </w:tc>
      </w:tr>
    </w:tbl>
    <w:p>
      <w:r>
        <w:br w:type="page"/>
      </w:r>
    </w:p>
    <w:p>
      <w:pPr>
        <w:spacing w:after="300"/>
      </w:pPr>
      <w:r>
        <w:rPr>
          <w:rFonts w:ascii="Calibri" w:cs="Calibri" w:eastAsia="Calibri" w:hAnsi="Calibri"/>
          <w:b/>
          <w:bCs/>
          <w:color w:val="1F3864"/>
          <w:sz w:val="34"/>
          <w:szCs w:val="34"/>
        </w:rPr>
        <w:t xml:space="preserve">MỤC LỤC</w:t>
      </w:r>
    </w:p>
    <w:p>
      <w:pPr>
        <w:tabs>
          <w:tab w:val="right" w:pos="9026" w:leader="dot"/>
        </w:tabs>
        <w:spacing w:after="140"/>
        <w:ind w:left="0"/>
      </w:pPr>
      <w:r>
        <w:rPr>
          <w:rFonts w:ascii="Calibri" w:cs="Calibri" w:eastAsia="Calibri" w:hAnsi="Calibri"/>
          <w:b/>
          <w:bCs/>
          <w:color w:val="1F3864"/>
          <w:sz w:val="23"/>
          <w:szCs w:val="23"/>
        </w:rPr>
        <w:t xml:space="preserve">1. ĐẶT VẤN ĐỀ, BỐI CẢNH VÀ TÍNH KHẢ THI</w:t>
      </w:r>
      <w:r>
        <w:rPr>
          <w:rFonts w:ascii="Calibri" w:cs="Calibri" w:eastAsia="Calibri" w:hAnsi="Calibri"/>
          <w:color w:val="1F3864"/>
          <w:sz w:val="23"/>
          <w:szCs w:val="23"/>
        </w:rPr>
        <w:t xml:space="preserve">	4</w:t>
      </w:r>
    </w:p>
    <w:p>
      <w:pPr>
        <w:tabs>
          <w:tab w:val="right" w:pos="9026" w:leader="dot"/>
        </w:tabs>
        <w:spacing w:after="80"/>
        <w:ind w:left="300"/>
      </w:pPr>
      <w:r>
        <w:rPr>
          <w:rFonts w:ascii="Calibri" w:cs="Calibri" w:eastAsia="Calibri" w:hAnsi="Calibri"/>
          <w:b w:val="false"/>
          <w:bCs w:val="false"/>
          <w:color w:val="333333"/>
          <w:sz w:val="21"/>
          <w:szCs w:val="21"/>
        </w:rPr>
        <w:t xml:space="preserve">1.1. Bối cảnh</w:t>
      </w:r>
      <w:r>
        <w:rPr>
          <w:rFonts w:ascii="Calibri" w:cs="Calibri" w:eastAsia="Calibri" w:hAnsi="Calibri"/>
          <w:color w:val="333333"/>
          <w:sz w:val="21"/>
          <w:szCs w:val="21"/>
        </w:rPr>
        <w:t xml:space="preserve">	4</w:t>
      </w:r>
    </w:p>
    <w:p>
      <w:pPr>
        <w:tabs>
          <w:tab w:val="right" w:pos="9026" w:leader="dot"/>
        </w:tabs>
        <w:spacing w:after="80"/>
        <w:ind w:left="300"/>
      </w:pPr>
      <w:r>
        <w:rPr>
          <w:rFonts w:ascii="Calibri" w:cs="Calibri" w:eastAsia="Calibri" w:hAnsi="Calibri"/>
          <w:b w:val="false"/>
          <w:bCs w:val="false"/>
          <w:color w:val="333333"/>
          <w:sz w:val="21"/>
          <w:szCs w:val="21"/>
        </w:rPr>
        <w:t xml:space="preserve">1.2. Đối tượng nghiên cứu và người dùng</w:t>
      </w:r>
      <w:r>
        <w:rPr>
          <w:rFonts w:ascii="Calibri" w:cs="Calibri" w:eastAsia="Calibri" w:hAnsi="Calibri"/>
          <w:color w:val="333333"/>
          <w:sz w:val="21"/>
          <w:szCs w:val="21"/>
        </w:rPr>
        <w:t xml:space="preserve">	5</w:t>
      </w:r>
    </w:p>
    <w:p>
      <w:pPr>
        <w:tabs>
          <w:tab w:val="right" w:pos="9026" w:leader="dot"/>
        </w:tabs>
        <w:spacing w:after="80"/>
        <w:ind w:left="300"/>
      </w:pPr>
      <w:r>
        <w:rPr>
          <w:rFonts w:ascii="Calibri" w:cs="Calibri" w:eastAsia="Calibri" w:hAnsi="Calibri"/>
          <w:b w:val="false"/>
          <w:bCs w:val="false"/>
          <w:color w:val="333333"/>
          <w:sz w:val="21"/>
          <w:szCs w:val="21"/>
        </w:rPr>
        <w:t xml:space="preserve">1.3. Pain points</w:t>
      </w:r>
      <w:r>
        <w:rPr>
          <w:rFonts w:ascii="Calibri" w:cs="Calibri" w:eastAsia="Calibri" w:hAnsi="Calibri"/>
          <w:color w:val="333333"/>
          <w:sz w:val="21"/>
          <w:szCs w:val="21"/>
        </w:rPr>
        <w:t xml:space="preserve">	5</w:t>
      </w:r>
    </w:p>
    <w:p>
      <w:pPr>
        <w:tabs>
          <w:tab w:val="right" w:pos="9026" w:leader="dot"/>
        </w:tabs>
        <w:spacing w:after="80"/>
        <w:ind w:left="300"/>
      </w:pPr>
      <w:r>
        <w:rPr>
          <w:rFonts w:ascii="Calibri" w:cs="Calibri" w:eastAsia="Calibri" w:hAnsi="Calibri"/>
          <w:b w:val="false"/>
          <w:bCs w:val="false"/>
          <w:color w:val="333333"/>
          <w:sz w:val="21"/>
          <w:szCs w:val="21"/>
        </w:rPr>
        <w:t xml:space="preserve">1.4. Mục tiêu nghiên cứu</w:t>
      </w:r>
      <w:r>
        <w:rPr>
          <w:rFonts w:ascii="Calibri" w:cs="Calibri" w:eastAsia="Calibri" w:hAnsi="Calibri"/>
          <w:color w:val="333333"/>
          <w:sz w:val="21"/>
          <w:szCs w:val="21"/>
        </w:rPr>
        <w:t xml:space="preserve">	6</w:t>
      </w:r>
    </w:p>
    <w:p>
      <w:pPr>
        <w:tabs>
          <w:tab w:val="right" w:pos="9026" w:leader="dot"/>
        </w:tabs>
        <w:spacing w:after="80"/>
        <w:ind w:left="300"/>
      </w:pPr>
      <w:r>
        <w:rPr>
          <w:rFonts w:ascii="Calibri" w:cs="Calibri" w:eastAsia="Calibri" w:hAnsi="Calibri"/>
          <w:b w:val="false"/>
          <w:bCs w:val="false"/>
          <w:color w:val="333333"/>
          <w:sz w:val="21"/>
          <w:szCs w:val="21"/>
        </w:rPr>
        <w:t xml:space="preserve">1.5. Tính khả thi</w:t>
      </w:r>
      <w:r>
        <w:rPr>
          <w:rFonts w:ascii="Calibri" w:cs="Calibri" w:eastAsia="Calibri" w:hAnsi="Calibri"/>
          <w:color w:val="333333"/>
          <w:sz w:val="21"/>
          <w:szCs w:val="21"/>
        </w:rPr>
        <w:t xml:space="preserve">	6</w:t>
      </w:r>
    </w:p>
    <w:p>
      <w:pPr>
        <w:tabs>
          <w:tab w:val="right" w:pos="9026" w:leader="dot"/>
        </w:tabs>
        <w:spacing w:after="140"/>
        <w:ind w:left="0"/>
      </w:pPr>
      <w:r>
        <w:rPr>
          <w:rFonts w:ascii="Calibri" w:cs="Calibri" w:eastAsia="Calibri" w:hAnsi="Calibri"/>
          <w:b/>
          <w:bCs/>
          <w:color w:val="1F3864"/>
          <w:sz w:val="23"/>
          <w:szCs w:val="23"/>
        </w:rPr>
        <w:t xml:space="preserve">2. LUỒNG ĐỐI TƯỢNG VÀ LUỒNG DỮ LIỆU ĐẦU VÀO</w:t>
      </w:r>
      <w:r>
        <w:rPr>
          <w:rFonts w:ascii="Calibri" w:cs="Calibri" w:eastAsia="Calibri" w:hAnsi="Calibri"/>
          <w:color w:val="1F3864"/>
          <w:sz w:val="23"/>
          <w:szCs w:val="23"/>
        </w:rPr>
        <w:t xml:space="preserve">	8</w:t>
      </w:r>
    </w:p>
    <w:p>
      <w:pPr>
        <w:tabs>
          <w:tab w:val="right" w:pos="9026" w:leader="dot"/>
        </w:tabs>
        <w:spacing w:after="80"/>
        <w:ind w:left="300"/>
      </w:pPr>
      <w:r>
        <w:rPr>
          <w:rFonts w:ascii="Calibri" w:cs="Calibri" w:eastAsia="Calibri" w:hAnsi="Calibri"/>
          <w:b w:val="false"/>
          <w:bCs w:val="false"/>
          <w:color w:val="333333"/>
          <w:sz w:val="21"/>
          <w:szCs w:val="21"/>
        </w:rPr>
        <w:t xml:space="preserve">2.1. Sơ đồ đối tượng</w:t>
      </w:r>
      <w:r>
        <w:rPr>
          <w:rFonts w:ascii="Calibri" w:cs="Calibri" w:eastAsia="Calibri" w:hAnsi="Calibri"/>
          <w:color w:val="333333"/>
          <w:sz w:val="21"/>
          <w:szCs w:val="21"/>
        </w:rPr>
        <w:t xml:space="preserve">	8</w:t>
      </w:r>
    </w:p>
    <w:p>
      <w:pPr>
        <w:tabs>
          <w:tab w:val="right" w:pos="9026" w:leader="dot"/>
        </w:tabs>
        <w:spacing w:after="80"/>
        <w:ind w:left="300"/>
      </w:pPr>
      <w:r>
        <w:rPr>
          <w:rFonts w:ascii="Calibri" w:cs="Calibri" w:eastAsia="Calibri" w:hAnsi="Calibri"/>
          <w:b w:val="false"/>
          <w:bCs w:val="false"/>
          <w:color w:val="333333"/>
          <w:sz w:val="21"/>
          <w:szCs w:val="21"/>
        </w:rPr>
        <w:t xml:space="preserve">2.2. Luồng nghiệp vụ chính</w:t>
      </w:r>
      <w:r>
        <w:rPr>
          <w:rFonts w:ascii="Calibri" w:cs="Calibri" w:eastAsia="Calibri" w:hAnsi="Calibri"/>
          <w:color w:val="333333"/>
          <w:sz w:val="21"/>
          <w:szCs w:val="21"/>
        </w:rPr>
        <w:t xml:space="preserve">	8</w:t>
      </w:r>
    </w:p>
    <w:p>
      <w:pPr>
        <w:tabs>
          <w:tab w:val="right" w:pos="9026" w:leader="dot"/>
        </w:tabs>
        <w:spacing w:after="80"/>
        <w:ind w:left="300"/>
      </w:pPr>
      <w:r>
        <w:rPr>
          <w:rFonts w:ascii="Calibri" w:cs="Calibri" w:eastAsia="Calibri" w:hAnsi="Calibri"/>
          <w:b w:val="false"/>
          <w:bCs w:val="false"/>
          <w:color w:val="333333"/>
          <w:sz w:val="21"/>
          <w:szCs w:val="21"/>
        </w:rPr>
        <w:t xml:space="preserve">2.3. Phân loại nguồn dữ liệu đầu vào</w:t>
      </w:r>
      <w:r>
        <w:rPr>
          <w:rFonts w:ascii="Calibri" w:cs="Calibri" w:eastAsia="Calibri" w:hAnsi="Calibri"/>
          <w:color w:val="333333"/>
          <w:sz w:val="21"/>
          <w:szCs w:val="21"/>
        </w:rPr>
        <w:t xml:space="preserve">	9</w:t>
      </w:r>
    </w:p>
    <w:p>
      <w:pPr>
        <w:tabs>
          <w:tab w:val="right" w:pos="9026" w:leader="dot"/>
        </w:tabs>
        <w:spacing w:after="80"/>
        <w:ind w:left="300"/>
      </w:pPr>
      <w:r>
        <w:rPr>
          <w:rFonts w:ascii="Calibri" w:cs="Calibri" w:eastAsia="Calibri" w:hAnsi="Calibri"/>
          <w:b w:val="false"/>
          <w:bCs w:val="false"/>
          <w:color w:val="333333"/>
          <w:sz w:val="21"/>
          <w:szCs w:val="21"/>
        </w:rPr>
        <w:t xml:space="preserve">2.4. Vấn đề tích hợp và chuẩn hoá dữ liệu</w:t>
      </w:r>
      <w:r>
        <w:rPr>
          <w:rFonts w:ascii="Calibri" w:cs="Calibri" w:eastAsia="Calibri" w:hAnsi="Calibri"/>
          <w:color w:val="333333"/>
          <w:sz w:val="21"/>
          <w:szCs w:val="21"/>
        </w:rPr>
        <w:t xml:space="preserve">	13</w:t>
      </w:r>
    </w:p>
    <w:p>
      <w:pPr>
        <w:tabs>
          <w:tab w:val="right" w:pos="9026" w:leader="dot"/>
        </w:tabs>
        <w:spacing w:after="80"/>
        <w:ind w:left="300"/>
      </w:pPr>
      <w:r>
        <w:rPr>
          <w:rFonts w:ascii="Calibri" w:cs="Calibri" w:eastAsia="Calibri" w:hAnsi="Calibri"/>
          <w:b w:val="false"/>
          <w:bCs w:val="false"/>
          <w:color w:val="333333"/>
          <w:sz w:val="21"/>
          <w:szCs w:val="21"/>
        </w:rPr>
        <w:t xml:space="preserve">2.5. Quyền riêng tư và bảo mật</w:t>
      </w:r>
      <w:r>
        <w:rPr>
          <w:rFonts w:ascii="Calibri" w:cs="Calibri" w:eastAsia="Calibri" w:hAnsi="Calibri"/>
          <w:color w:val="333333"/>
          <w:sz w:val="21"/>
          <w:szCs w:val="21"/>
        </w:rPr>
        <w:t xml:space="preserve">	13</w:t>
      </w:r>
    </w:p>
    <w:p>
      <w:pPr>
        <w:tabs>
          <w:tab w:val="right" w:pos="9026" w:leader="dot"/>
        </w:tabs>
        <w:spacing w:after="80"/>
        <w:ind w:left="300"/>
      </w:pPr>
      <w:r>
        <w:rPr>
          <w:rFonts w:ascii="Calibri" w:cs="Calibri" w:eastAsia="Calibri" w:hAnsi="Calibri"/>
          <w:b w:val="false"/>
          <w:bCs w:val="false"/>
          <w:color w:val="333333"/>
          <w:sz w:val="21"/>
          <w:szCs w:val="21"/>
        </w:rPr>
        <w:t xml:space="preserve">2.6. Tổng kết chương</w:t>
      </w:r>
      <w:r>
        <w:rPr>
          <w:rFonts w:ascii="Calibri" w:cs="Calibri" w:eastAsia="Calibri" w:hAnsi="Calibri"/>
          <w:color w:val="333333"/>
          <w:sz w:val="21"/>
          <w:szCs w:val="21"/>
        </w:rPr>
        <w:t xml:space="preserve">	14</w:t>
      </w:r>
    </w:p>
    <w:p>
      <w:pPr>
        <w:tabs>
          <w:tab w:val="right" w:pos="9026" w:leader="dot"/>
        </w:tabs>
        <w:spacing w:after="140"/>
        <w:ind w:left="0"/>
      </w:pPr>
      <w:r>
        <w:rPr>
          <w:rFonts w:ascii="Calibri" w:cs="Calibri" w:eastAsia="Calibri" w:hAnsi="Calibri"/>
          <w:b/>
          <w:bCs/>
          <w:color w:val="1F3864"/>
          <w:sz w:val="23"/>
          <w:szCs w:val="23"/>
        </w:rPr>
        <w:t xml:space="preserve">3. CÂU HỎI NGHIÊN CỨU VÀ LỰA CHỌN MỤC TIÊU</w:t>
      </w:r>
      <w:r>
        <w:rPr>
          <w:rFonts w:ascii="Calibri" w:cs="Calibri" w:eastAsia="Calibri" w:hAnsi="Calibri"/>
          <w:color w:val="1F3864"/>
          <w:sz w:val="23"/>
          <w:szCs w:val="23"/>
        </w:rPr>
        <w:t xml:space="preserve">	15</w:t>
      </w:r>
    </w:p>
    <w:p>
      <w:pPr>
        <w:tabs>
          <w:tab w:val="right" w:pos="9026" w:leader="dot"/>
        </w:tabs>
        <w:spacing w:after="80"/>
        <w:ind w:left="300"/>
      </w:pPr>
      <w:r>
        <w:rPr>
          <w:rFonts w:ascii="Calibri" w:cs="Calibri" w:eastAsia="Calibri" w:hAnsi="Calibri"/>
          <w:b w:val="false"/>
          <w:bCs w:val="false"/>
          <w:color w:val="333333"/>
          <w:sz w:val="21"/>
          <w:szCs w:val="21"/>
        </w:rPr>
        <w:t xml:space="preserve">3.1. Danh sách câu hỏi nghiên cứu tiềm năng</w:t>
      </w:r>
      <w:r>
        <w:rPr>
          <w:rFonts w:ascii="Calibri" w:cs="Calibri" w:eastAsia="Calibri" w:hAnsi="Calibri"/>
          <w:color w:val="333333"/>
          <w:sz w:val="21"/>
          <w:szCs w:val="21"/>
        </w:rPr>
        <w:t xml:space="preserve">	15</w:t>
      </w:r>
    </w:p>
    <w:p>
      <w:pPr>
        <w:tabs>
          <w:tab w:val="right" w:pos="9026" w:leader="dot"/>
        </w:tabs>
        <w:spacing w:after="80"/>
        <w:ind w:left="300"/>
      </w:pPr>
      <w:r>
        <w:rPr>
          <w:rFonts w:ascii="Calibri" w:cs="Calibri" w:eastAsia="Calibri" w:hAnsi="Calibri"/>
          <w:b w:val="false"/>
          <w:bCs w:val="false"/>
          <w:color w:val="333333"/>
          <w:sz w:val="21"/>
          <w:szCs w:val="21"/>
        </w:rPr>
        <w:t xml:space="preserve">3.2. Đánh giá tính khả thi</w:t>
      </w:r>
      <w:r>
        <w:rPr>
          <w:rFonts w:ascii="Calibri" w:cs="Calibri" w:eastAsia="Calibri" w:hAnsi="Calibri"/>
          <w:color w:val="333333"/>
          <w:sz w:val="21"/>
          <w:szCs w:val="21"/>
        </w:rPr>
        <w:t xml:space="preserve">	16</w:t>
      </w:r>
    </w:p>
    <w:p>
      <w:pPr>
        <w:tabs>
          <w:tab w:val="right" w:pos="9026" w:leader="dot"/>
        </w:tabs>
        <w:spacing w:after="80"/>
        <w:ind w:left="300"/>
      </w:pPr>
      <w:r>
        <w:rPr>
          <w:rFonts w:ascii="Calibri" w:cs="Calibri" w:eastAsia="Calibri" w:hAnsi="Calibri"/>
          <w:b w:val="false"/>
          <w:bCs w:val="false"/>
          <w:color w:val="333333"/>
          <w:sz w:val="21"/>
          <w:szCs w:val="21"/>
        </w:rPr>
        <w:t xml:space="preserve">3.3. Quyết định phạm vi</w:t>
      </w:r>
      <w:r>
        <w:rPr>
          <w:rFonts w:ascii="Calibri" w:cs="Calibri" w:eastAsia="Calibri" w:hAnsi="Calibri"/>
          <w:color w:val="333333"/>
          <w:sz w:val="21"/>
          <w:szCs w:val="21"/>
        </w:rPr>
        <w:t xml:space="preserve">	17</w:t>
      </w:r>
    </w:p>
    <w:p>
      <w:pPr>
        <w:tabs>
          <w:tab w:val="right" w:pos="9026" w:leader="dot"/>
        </w:tabs>
        <w:spacing w:after="80"/>
        <w:ind w:left="300"/>
      </w:pPr>
      <w:r>
        <w:rPr>
          <w:rFonts w:ascii="Calibri" w:cs="Calibri" w:eastAsia="Calibri" w:hAnsi="Calibri"/>
          <w:b w:val="false"/>
          <w:bCs w:val="false"/>
          <w:color w:val="333333"/>
          <w:sz w:val="21"/>
          <w:szCs w:val="21"/>
        </w:rPr>
        <w:t xml:space="preserve">3.4. Chỉ số thành công</w:t>
      </w:r>
      <w:r>
        <w:rPr>
          <w:rFonts w:ascii="Calibri" w:cs="Calibri" w:eastAsia="Calibri" w:hAnsi="Calibri"/>
          <w:color w:val="333333"/>
          <w:sz w:val="21"/>
          <w:szCs w:val="21"/>
        </w:rPr>
        <w:t xml:space="preserve">	18</w:t>
      </w:r>
    </w:p>
    <w:p>
      <w:pPr>
        <w:tabs>
          <w:tab w:val="right" w:pos="9026" w:leader="dot"/>
        </w:tabs>
        <w:spacing w:after="80"/>
        <w:ind w:left="300"/>
      </w:pPr>
      <w:r>
        <w:rPr>
          <w:rFonts w:ascii="Calibri" w:cs="Calibri" w:eastAsia="Calibri" w:hAnsi="Calibri"/>
          <w:b w:val="false"/>
          <w:bCs w:val="false"/>
          <w:color w:val="333333"/>
          <w:sz w:val="21"/>
          <w:szCs w:val="21"/>
        </w:rPr>
        <w:t xml:space="preserve">3.5. Lộ trình mở rộng</w:t>
      </w:r>
      <w:r>
        <w:rPr>
          <w:rFonts w:ascii="Calibri" w:cs="Calibri" w:eastAsia="Calibri" w:hAnsi="Calibri"/>
          <w:color w:val="333333"/>
          <w:sz w:val="21"/>
          <w:szCs w:val="21"/>
        </w:rPr>
        <w:t xml:space="preserve">	18</w:t>
      </w:r>
    </w:p>
    <w:p>
      <w:pPr>
        <w:tabs>
          <w:tab w:val="right" w:pos="9026" w:leader="dot"/>
        </w:tabs>
        <w:spacing w:after="140"/>
        <w:ind w:left="0"/>
      </w:pPr>
      <w:r>
        <w:rPr>
          <w:rFonts w:ascii="Calibri" w:cs="Calibri" w:eastAsia="Calibri" w:hAnsi="Calibri"/>
          <w:b/>
          <w:bCs/>
          <w:color w:val="1F3864"/>
          <w:sz w:val="23"/>
          <w:szCs w:val="23"/>
        </w:rPr>
        <w:t xml:space="preserve">4. BẰNG CHỨNG NGHIÊN CỨU CHO CÁC LUẬN ĐIỂM CHÍNH</w:t>
      </w:r>
      <w:r>
        <w:rPr>
          <w:rFonts w:ascii="Calibri" w:cs="Calibri" w:eastAsia="Calibri" w:hAnsi="Calibri"/>
          <w:color w:val="1F3864"/>
          <w:sz w:val="23"/>
          <w:szCs w:val="23"/>
        </w:rPr>
        <w:t xml:space="preserve">	20</w:t>
      </w:r>
    </w:p>
    <w:p>
      <w:pPr>
        <w:tabs>
          <w:tab w:val="right" w:pos="9026" w:leader="dot"/>
        </w:tabs>
        <w:spacing w:after="80"/>
        <w:ind w:left="300"/>
      </w:pPr>
      <w:r>
        <w:rPr>
          <w:rFonts w:ascii="Calibri" w:cs="Calibri" w:eastAsia="Calibri" w:hAnsi="Calibri"/>
          <w:b w:val="false"/>
          <w:bCs w:val="false"/>
          <w:color w:val="333333"/>
          <w:sz w:val="21"/>
          <w:szCs w:val="21"/>
        </w:rPr>
        <w:t xml:space="preserve">4.1. Vì sao mô hình ngôn ngữ không được tự sinh con số dinh dưỡng</w:t>
      </w:r>
      <w:r>
        <w:rPr>
          <w:rFonts w:ascii="Calibri" w:cs="Calibri" w:eastAsia="Calibri" w:hAnsi="Calibri"/>
          <w:color w:val="333333"/>
          <w:sz w:val="21"/>
          <w:szCs w:val="21"/>
        </w:rPr>
        <w:t xml:space="preserve">	20</w:t>
      </w:r>
    </w:p>
    <w:p>
      <w:pPr>
        <w:tabs>
          <w:tab w:val="right" w:pos="9026" w:leader="dot"/>
        </w:tabs>
        <w:spacing w:after="80"/>
        <w:ind w:left="300"/>
      </w:pPr>
      <w:r>
        <w:rPr>
          <w:rFonts w:ascii="Calibri" w:cs="Calibri" w:eastAsia="Calibri" w:hAnsi="Calibri"/>
          <w:b w:val="false"/>
          <w:bCs w:val="false"/>
          <w:color w:val="333333"/>
          <w:sz w:val="21"/>
          <w:szCs w:val="21"/>
        </w:rPr>
        <w:t xml:space="preserve">4.2. Bằng chứng cho ràng buộc khả năng chi trả</w:t>
      </w:r>
      <w:r>
        <w:rPr>
          <w:rFonts w:ascii="Calibri" w:cs="Calibri" w:eastAsia="Calibri" w:hAnsi="Calibri"/>
          <w:color w:val="333333"/>
          <w:sz w:val="21"/>
          <w:szCs w:val="21"/>
        </w:rPr>
        <w:t xml:space="preserve">	21</w:t>
      </w:r>
    </w:p>
    <w:p>
      <w:pPr>
        <w:tabs>
          <w:tab w:val="right" w:pos="9026" w:leader="dot"/>
        </w:tabs>
        <w:spacing w:after="80"/>
        <w:ind w:left="300"/>
      </w:pPr>
      <w:r>
        <w:rPr>
          <w:rFonts w:ascii="Calibri" w:cs="Calibri" w:eastAsia="Calibri" w:hAnsi="Calibri"/>
          <w:b w:val="false"/>
          <w:bCs w:val="false"/>
          <w:color w:val="333333"/>
          <w:sz w:val="21"/>
          <w:szCs w:val="21"/>
        </w:rPr>
        <w:t xml:space="preserve">4.3. Bằng chứng cho các câu hỏi nghiên cứu còn lại</w:t>
      </w:r>
      <w:r>
        <w:rPr>
          <w:rFonts w:ascii="Calibri" w:cs="Calibri" w:eastAsia="Calibri" w:hAnsi="Calibri"/>
          <w:color w:val="333333"/>
          <w:sz w:val="21"/>
          <w:szCs w:val="21"/>
        </w:rPr>
        <w:t xml:space="preserve">	22</w:t>
      </w:r>
    </w:p>
    <w:p>
      <w:pPr>
        <w:tabs>
          <w:tab w:val="right" w:pos="9026" w:leader="dot"/>
        </w:tabs>
        <w:spacing w:after="140"/>
        <w:ind w:left="0"/>
      </w:pPr>
      <w:r>
        <w:rPr>
          <w:rFonts w:ascii="Calibri" w:cs="Calibri" w:eastAsia="Calibri" w:hAnsi="Calibri"/>
          <w:b/>
          <w:bCs/>
          <w:color w:val="1F3864"/>
          <w:sz w:val="23"/>
          <w:szCs w:val="23"/>
        </w:rPr>
        <w:t xml:space="preserve">5. KIỂM KÊ DỮ LIỆU, MÔ HÌNH VÀ PHƯƠNG ÁN XÂY DỰNG AI</w:t>
      </w:r>
      <w:r>
        <w:rPr>
          <w:rFonts w:ascii="Calibri" w:cs="Calibri" w:eastAsia="Calibri" w:hAnsi="Calibri"/>
          <w:color w:val="1F3864"/>
          <w:sz w:val="23"/>
          <w:szCs w:val="23"/>
        </w:rPr>
        <w:t xml:space="preserve">	24</w:t>
      </w:r>
    </w:p>
    <w:p>
      <w:pPr>
        <w:tabs>
          <w:tab w:val="right" w:pos="9026" w:leader="dot"/>
        </w:tabs>
        <w:spacing w:after="80"/>
        <w:ind w:left="300"/>
      </w:pPr>
      <w:r>
        <w:rPr>
          <w:rFonts w:ascii="Calibri" w:cs="Calibri" w:eastAsia="Calibri" w:hAnsi="Calibri"/>
          <w:b w:val="false"/>
          <w:bCs w:val="false"/>
          <w:color w:val="333333"/>
          <w:sz w:val="21"/>
          <w:szCs w:val="21"/>
        </w:rPr>
        <w:t xml:space="preserve">5.1. Dữ liệu thành phần thực phẩm</w:t>
      </w:r>
      <w:r>
        <w:rPr>
          <w:rFonts w:ascii="Calibri" w:cs="Calibri" w:eastAsia="Calibri" w:hAnsi="Calibri"/>
          <w:color w:val="333333"/>
          <w:sz w:val="21"/>
          <w:szCs w:val="21"/>
        </w:rPr>
        <w:t xml:space="preserve">	24</w:t>
      </w:r>
    </w:p>
    <w:p>
      <w:pPr>
        <w:tabs>
          <w:tab w:val="right" w:pos="9026" w:leader="dot"/>
        </w:tabs>
        <w:spacing w:after="80"/>
        <w:ind w:left="300"/>
      </w:pPr>
      <w:r>
        <w:rPr>
          <w:rFonts w:ascii="Calibri" w:cs="Calibri" w:eastAsia="Calibri" w:hAnsi="Calibri"/>
          <w:b w:val="false"/>
          <w:bCs w:val="false"/>
          <w:color w:val="333333"/>
          <w:sz w:val="21"/>
          <w:szCs w:val="21"/>
        </w:rPr>
        <w:t xml:space="preserve">5.2. Dữ liệu ảnh món ăn Việt Nam</w:t>
      </w:r>
      <w:r>
        <w:rPr>
          <w:rFonts w:ascii="Calibri" w:cs="Calibri" w:eastAsia="Calibri" w:hAnsi="Calibri"/>
          <w:color w:val="333333"/>
          <w:sz w:val="21"/>
          <w:szCs w:val="21"/>
        </w:rPr>
        <w:t xml:space="preserve">	24</w:t>
      </w:r>
    </w:p>
    <w:p>
      <w:pPr>
        <w:tabs>
          <w:tab w:val="right" w:pos="9026" w:leader="dot"/>
        </w:tabs>
        <w:spacing w:after="80"/>
        <w:ind w:left="300"/>
      </w:pPr>
      <w:r>
        <w:rPr>
          <w:rFonts w:ascii="Calibri" w:cs="Calibri" w:eastAsia="Calibri" w:hAnsi="Calibri"/>
          <w:b w:val="false"/>
          <w:bCs w:val="false"/>
          <w:color w:val="333333"/>
          <w:sz w:val="21"/>
          <w:szCs w:val="21"/>
        </w:rPr>
        <w:t xml:space="preserve">5.3. Bộ dữ liệu và chuẩn đánh giá quốc tế</w:t>
      </w:r>
      <w:r>
        <w:rPr>
          <w:rFonts w:ascii="Calibri" w:cs="Calibri" w:eastAsia="Calibri" w:hAnsi="Calibri"/>
          <w:color w:val="333333"/>
          <w:sz w:val="21"/>
          <w:szCs w:val="21"/>
        </w:rPr>
        <w:t xml:space="preserve">	25</w:t>
      </w:r>
    </w:p>
    <w:p>
      <w:pPr>
        <w:tabs>
          <w:tab w:val="right" w:pos="9026" w:leader="dot"/>
        </w:tabs>
        <w:spacing w:after="80"/>
        <w:ind w:left="300"/>
      </w:pPr>
      <w:r>
        <w:rPr>
          <w:rFonts w:ascii="Calibri" w:cs="Calibri" w:eastAsia="Calibri" w:hAnsi="Calibri"/>
          <w:b w:val="false"/>
          <w:bCs w:val="false"/>
          <w:color w:val="333333"/>
          <w:sz w:val="21"/>
          <w:szCs w:val="21"/>
        </w:rPr>
        <w:t xml:space="preserve">5.4. Mô hình biểu diễn nguyên liệu</w:t>
      </w:r>
      <w:r>
        <w:rPr>
          <w:rFonts w:ascii="Calibri" w:cs="Calibri" w:eastAsia="Calibri" w:hAnsi="Calibri"/>
          <w:color w:val="333333"/>
          <w:sz w:val="21"/>
          <w:szCs w:val="21"/>
        </w:rPr>
        <w:t xml:space="preserve">	26</w:t>
      </w:r>
    </w:p>
    <w:p>
      <w:pPr>
        <w:tabs>
          <w:tab w:val="right" w:pos="9026" w:leader="dot"/>
        </w:tabs>
        <w:spacing w:after="80"/>
        <w:ind w:left="300"/>
      </w:pPr>
      <w:r>
        <w:rPr>
          <w:rFonts w:ascii="Calibri" w:cs="Calibri" w:eastAsia="Calibri" w:hAnsi="Calibri"/>
          <w:b w:val="false"/>
          <w:bCs w:val="false"/>
          <w:color w:val="333333"/>
          <w:sz w:val="21"/>
          <w:szCs w:val="21"/>
        </w:rPr>
        <w:t xml:space="preserve">5.5. Những gì không tồn tại</w:t>
      </w:r>
      <w:r>
        <w:rPr>
          <w:rFonts w:ascii="Calibri" w:cs="Calibri" w:eastAsia="Calibri" w:hAnsi="Calibri"/>
          <w:color w:val="333333"/>
          <w:sz w:val="21"/>
          <w:szCs w:val="21"/>
        </w:rPr>
        <w:t xml:space="preserve">	26</w:t>
      </w:r>
    </w:p>
    <w:p>
      <w:pPr>
        <w:tabs>
          <w:tab w:val="right" w:pos="9026" w:leader="dot"/>
        </w:tabs>
        <w:spacing w:after="80"/>
        <w:ind w:left="300"/>
      </w:pPr>
      <w:r>
        <w:rPr>
          <w:rFonts w:ascii="Calibri" w:cs="Calibri" w:eastAsia="Calibri" w:hAnsi="Calibri"/>
          <w:b w:val="false"/>
          <w:bCs w:val="false"/>
          <w:color w:val="333333"/>
          <w:sz w:val="21"/>
          <w:szCs w:val="21"/>
        </w:rPr>
        <w:t xml:space="preserve">5.6. Phương án xây dựng</w:t>
      </w:r>
      <w:r>
        <w:rPr>
          <w:rFonts w:ascii="Calibri" w:cs="Calibri" w:eastAsia="Calibri" w:hAnsi="Calibri"/>
          <w:color w:val="333333"/>
          <w:sz w:val="21"/>
          <w:szCs w:val="21"/>
        </w:rPr>
        <w:t xml:space="preserve">	26</w:t>
      </w:r>
    </w:p>
    <w:p>
      <w:pPr>
        <w:tabs>
          <w:tab w:val="right" w:pos="9026" w:leader="dot"/>
        </w:tabs>
        <w:spacing w:after="140"/>
        <w:ind w:left="0"/>
      </w:pPr>
      <w:r>
        <w:rPr>
          <w:rFonts w:ascii="Calibri" w:cs="Calibri" w:eastAsia="Calibri" w:hAnsi="Calibri"/>
          <w:b/>
          <w:bCs/>
          <w:color w:val="1F3864"/>
          <w:sz w:val="23"/>
          <w:szCs w:val="23"/>
        </w:rPr>
        <w:t xml:space="preserve">6. CẬP NHẬT HƯỚNG DẪN LÂM SÀNG VÀ ĐIỀU CHỈNH BỘ QUY TẮC</w:t>
      </w:r>
      <w:r>
        <w:rPr>
          <w:rFonts w:ascii="Calibri" w:cs="Calibri" w:eastAsia="Calibri" w:hAnsi="Calibri"/>
          <w:color w:val="1F3864"/>
          <w:sz w:val="23"/>
          <w:szCs w:val="23"/>
        </w:rPr>
        <w:t xml:space="preserve">	28</w:t>
      </w:r>
    </w:p>
    <w:p>
      <w:pPr>
        <w:tabs>
          <w:tab w:val="right" w:pos="9026" w:leader="dot"/>
        </w:tabs>
        <w:spacing w:after="80"/>
        <w:ind w:left="300"/>
      </w:pPr>
      <w:r>
        <w:rPr>
          <w:rFonts w:ascii="Calibri" w:cs="Calibri" w:eastAsia="Calibri" w:hAnsi="Calibri"/>
          <w:b w:val="false"/>
          <w:bCs w:val="false"/>
          <w:color w:val="333333"/>
          <w:sz w:val="21"/>
          <w:szCs w:val="21"/>
        </w:rPr>
        <w:t xml:space="preserve">6.1. KDIGO 2024 thay thế KDIGO 2012</w:t>
      </w:r>
      <w:r>
        <w:rPr>
          <w:rFonts w:ascii="Calibri" w:cs="Calibri" w:eastAsia="Calibri" w:hAnsi="Calibri"/>
          <w:color w:val="333333"/>
          <w:sz w:val="21"/>
          <w:szCs w:val="21"/>
        </w:rPr>
        <w:t xml:space="preserve">	28</w:t>
      </w:r>
    </w:p>
    <w:p>
      <w:pPr>
        <w:tabs>
          <w:tab w:val="right" w:pos="9026" w:leader="dot"/>
        </w:tabs>
        <w:spacing w:after="80"/>
        <w:ind w:left="300"/>
      </w:pPr>
      <w:r>
        <w:rPr>
          <w:rFonts w:ascii="Calibri" w:cs="Calibri" w:eastAsia="Calibri" w:hAnsi="Calibri"/>
          <w:b w:val="false"/>
          <w:bCs w:val="false"/>
          <w:color w:val="333333"/>
          <w:sz w:val="21"/>
          <w:szCs w:val="21"/>
        </w:rPr>
        <w:t xml:space="preserve">6.2. ADA Standards of Care in Diabetes 2026</w:t>
      </w:r>
      <w:r>
        <w:rPr>
          <w:rFonts w:ascii="Calibri" w:cs="Calibri" w:eastAsia="Calibri" w:hAnsi="Calibri"/>
          <w:color w:val="333333"/>
          <w:sz w:val="21"/>
          <w:szCs w:val="21"/>
        </w:rPr>
        <w:t xml:space="preserve">	29</w:t>
      </w:r>
    </w:p>
    <w:p>
      <w:pPr>
        <w:tabs>
          <w:tab w:val="right" w:pos="9026" w:leader="dot"/>
        </w:tabs>
        <w:spacing w:after="80"/>
        <w:ind w:left="300"/>
      </w:pPr>
      <w:r>
        <w:rPr>
          <w:rFonts w:ascii="Calibri" w:cs="Calibri" w:eastAsia="Calibri" w:hAnsi="Calibri"/>
          <w:b w:val="false"/>
          <w:bCs w:val="false"/>
          <w:color w:val="333333"/>
          <w:sz w:val="21"/>
          <w:szCs w:val="21"/>
        </w:rPr>
        <w:t xml:space="preserve">6.3. Một nhận định lâm sàng mà quy tắc hiện tại còn bỏ sót</w:t>
      </w:r>
      <w:r>
        <w:rPr>
          <w:rFonts w:ascii="Calibri" w:cs="Calibri" w:eastAsia="Calibri" w:hAnsi="Calibri"/>
          <w:color w:val="333333"/>
          <w:sz w:val="21"/>
          <w:szCs w:val="21"/>
        </w:rPr>
        <w:t xml:space="preserve">	29</w:t>
      </w:r>
    </w:p>
    <w:p>
      <w:pPr>
        <w:tabs>
          <w:tab w:val="right" w:pos="9026" w:leader="dot"/>
        </w:tabs>
        <w:spacing w:after="80"/>
        <w:ind w:left="300"/>
      </w:pPr>
      <w:r>
        <w:rPr>
          <w:rFonts w:ascii="Calibri" w:cs="Calibri" w:eastAsia="Calibri" w:hAnsi="Calibri"/>
          <w:b w:val="false"/>
          <w:bCs w:val="false"/>
          <w:color w:val="333333"/>
          <w:sz w:val="21"/>
          <w:szCs w:val="21"/>
        </w:rPr>
        <w:t xml:space="preserve">6.4. Bộ quy tắc sau khi sửa</w:t>
      </w:r>
      <w:r>
        <w:rPr>
          <w:rFonts w:ascii="Calibri" w:cs="Calibri" w:eastAsia="Calibri" w:hAnsi="Calibri"/>
          <w:color w:val="333333"/>
          <w:sz w:val="21"/>
          <w:szCs w:val="21"/>
        </w:rPr>
        <w:t xml:space="preserve">	29</w:t>
      </w:r>
    </w:p>
    <w:p>
      <w:pPr>
        <w:tabs>
          <w:tab w:val="right" w:pos="9026" w:leader="dot"/>
        </w:tabs>
        <w:spacing w:after="80"/>
        <w:ind w:left="300"/>
      </w:pPr>
      <w:r>
        <w:rPr>
          <w:rFonts w:ascii="Calibri" w:cs="Calibri" w:eastAsia="Calibri" w:hAnsi="Calibri"/>
          <w:b w:val="false"/>
          <w:bCs w:val="false"/>
          <w:color w:val="333333"/>
          <w:sz w:val="21"/>
          <w:szCs w:val="21"/>
        </w:rPr>
        <w:t xml:space="preserve">6.5. Đính chính số liệu</w:t>
      </w:r>
      <w:r>
        <w:rPr>
          <w:rFonts w:ascii="Calibri" w:cs="Calibri" w:eastAsia="Calibri" w:hAnsi="Calibri"/>
          <w:color w:val="333333"/>
          <w:sz w:val="21"/>
          <w:szCs w:val="21"/>
        </w:rPr>
        <w:t xml:space="preserve">	30</w:t>
      </w:r>
    </w:p>
    <w:p>
      <w:pPr>
        <w:tabs>
          <w:tab w:val="right" w:pos="9026" w:leader="dot"/>
        </w:tabs>
        <w:spacing w:after="80"/>
        <w:ind w:left="300"/>
      </w:pPr>
      <w:r>
        <w:rPr>
          <w:rFonts w:ascii="Calibri" w:cs="Calibri" w:eastAsia="Calibri" w:hAnsi="Calibri"/>
          <w:b w:val="false"/>
          <w:bCs w:val="false"/>
          <w:color w:val="333333"/>
          <w:sz w:val="21"/>
          <w:szCs w:val="21"/>
        </w:rPr>
        <w:t xml:space="preserve">6.6. Việc còn phải làm</w:t>
      </w:r>
      <w:r>
        <w:rPr>
          <w:rFonts w:ascii="Calibri" w:cs="Calibri" w:eastAsia="Calibri" w:hAnsi="Calibri"/>
          <w:color w:val="333333"/>
          <w:sz w:val="21"/>
          <w:szCs w:val="21"/>
        </w:rPr>
        <w:t xml:space="preserve">	31</w:t>
      </w:r>
    </w:p>
    <w:p>
      <w:pPr>
        <w:tabs>
          <w:tab w:val="right" w:pos="9026" w:leader="dot"/>
        </w:tabs>
        <w:spacing w:after="140"/>
        <w:ind w:left="0"/>
      </w:pPr>
      <w:r>
        <w:rPr>
          <w:rFonts w:ascii="Calibri" w:cs="Calibri" w:eastAsia="Calibri" w:hAnsi="Calibri"/>
          <w:b/>
          <w:bCs/>
          <w:color w:val="1F3864"/>
          <w:sz w:val="23"/>
          <w:szCs w:val="23"/>
        </w:rPr>
        <w:t xml:space="preserve">7. TẬN DỤNG DỮ LIỆU VÀ MÔ HÌNH CÓ SẴN — THIẾT KẾ TÍCH HỢP</w:t>
      </w:r>
      <w:r>
        <w:rPr>
          <w:rFonts w:ascii="Calibri" w:cs="Calibri" w:eastAsia="Calibri" w:hAnsi="Calibri"/>
          <w:color w:val="1F3864"/>
          <w:sz w:val="23"/>
          <w:szCs w:val="23"/>
        </w:rPr>
        <w:t xml:space="preserve">	32</w:t>
      </w:r>
    </w:p>
    <w:p>
      <w:pPr>
        <w:tabs>
          <w:tab w:val="right" w:pos="9026" w:leader="dot"/>
        </w:tabs>
        <w:spacing w:after="80"/>
        <w:ind w:left="300"/>
      </w:pPr>
      <w:r>
        <w:rPr>
          <w:rFonts w:ascii="Calibri" w:cs="Calibri" w:eastAsia="Calibri" w:hAnsi="Calibri"/>
          <w:b w:val="false"/>
          <w:bCs w:val="false"/>
          <w:color w:val="333333"/>
          <w:sz w:val="21"/>
          <w:szCs w:val="21"/>
        </w:rPr>
        <w:t xml:space="preserve">7.1. Nguyên tắc phân tuyến</w:t>
      </w:r>
      <w:r>
        <w:rPr>
          <w:rFonts w:ascii="Calibri" w:cs="Calibri" w:eastAsia="Calibri" w:hAnsi="Calibri"/>
          <w:color w:val="333333"/>
          <w:sz w:val="21"/>
          <w:szCs w:val="21"/>
        </w:rPr>
        <w:t xml:space="preserve">	32</w:t>
      </w:r>
    </w:p>
    <w:p>
      <w:pPr>
        <w:tabs>
          <w:tab w:val="right" w:pos="9026" w:leader="dot"/>
        </w:tabs>
        <w:spacing w:after="80"/>
        <w:ind w:left="300"/>
      </w:pPr>
      <w:r>
        <w:rPr>
          <w:rFonts w:ascii="Calibri" w:cs="Calibri" w:eastAsia="Calibri" w:hAnsi="Calibri"/>
          <w:b w:val="false"/>
          <w:bCs w:val="false"/>
          <w:color w:val="333333"/>
          <w:sz w:val="21"/>
          <w:szCs w:val="21"/>
        </w:rPr>
        <w:t xml:space="preserve">7.2. Thị giác máy tính — dùng được tới đâu</w:t>
      </w:r>
      <w:r>
        <w:rPr>
          <w:rFonts w:ascii="Calibri" w:cs="Calibri" w:eastAsia="Calibri" w:hAnsi="Calibri"/>
          <w:color w:val="333333"/>
          <w:sz w:val="21"/>
          <w:szCs w:val="21"/>
        </w:rPr>
        <w:t xml:space="preserve">	33</w:t>
      </w:r>
    </w:p>
    <w:p>
      <w:pPr>
        <w:tabs>
          <w:tab w:val="right" w:pos="9026" w:leader="dot"/>
        </w:tabs>
        <w:spacing w:after="80"/>
        <w:ind w:left="300"/>
      </w:pPr>
      <w:r>
        <w:rPr>
          <w:rFonts w:ascii="Calibri" w:cs="Calibri" w:eastAsia="Calibri" w:hAnsi="Calibri"/>
          <w:b w:val="false"/>
          <w:bCs w:val="false"/>
          <w:color w:val="333333"/>
          <w:sz w:val="21"/>
          <w:szCs w:val="21"/>
        </w:rPr>
        <w:t xml:space="preserve">7.3. Mô hình ngôn ngữ tiếng Việt</w:t>
      </w:r>
      <w:r>
        <w:rPr>
          <w:rFonts w:ascii="Calibri" w:cs="Calibri" w:eastAsia="Calibri" w:hAnsi="Calibri"/>
          <w:color w:val="333333"/>
          <w:sz w:val="21"/>
          <w:szCs w:val="21"/>
        </w:rPr>
        <w:t xml:space="preserve">	34</w:t>
      </w:r>
    </w:p>
    <w:p>
      <w:pPr>
        <w:tabs>
          <w:tab w:val="right" w:pos="9026" w:leader="dot"/>
        </w:tabs>
        <w:spacing w:after="80"/>
        <w:ind w:left="300"/>
      </w:pPr>
      <w:r>
        <w:rPr>
          <w:rFonts w:ascii="Calibri" w:cs="Calibri" w:eastAsia="Calibri" w:hAnsi="Calibri"/>
          <w:b w:val="false"/>
          <w:bCs w:val="false"/>
          <w:color w:val="333333"/>
          <w:sz w:val="21"/>
          <w:szCs w:val="21"/>
        </w:rPr>
        <w:t xml:space="preserve">7.4. Tư vấn món ăn và hướng dẫn nấu ăn</w:t>
      </w:r>
      <w:r>
        <w:rPr>
          <w:rFonts w:ascii="Calibri" w:cs="Calibri" w:eastAsia="Calibri" w:hAnsi="Calibri"/>
          <w:color w:val="333333"/>
          <w:sz w:val="21"/>
          <w:szCs w:val="21"/>
        </w:rPr>
        <w:t xml:space="preserve">	35</w:t>
      </w:r>
    </w:p>
    <w:p>
      <w:pPr>
        <w:tabs>
          <w:tab w:val="right" w:pos="9026" w:leader="dot"/>
        </w:tabs>
        <w:spacing w:after="80"/>
        <w:ind w:left="300"/>
      </w:pPr>
      <w:r>
        <w:rPr>
          <w:rFonts w:ascii="Calibri" w:cs="Calibri" w:eastAsia="Calibri" w:hAnsi="Calibri"/>
          <w:b w:val="false"/>
          <w:bCs w:val="false"/>
          <w:color w:val="333333"/>
          <w:sz w:val="21"/>
          <w:szCs w:val="21"/>
        </w:rPr>
        <w:t xml:space="preserve">7.5. Cảnh báo tương tác thuốc và thực phẩm</w:t>
      </w:r>
      <w:r>
        <w:rPr>
          <w:rFonts w:ascii="Calibri" w:cs="Calibri" w:eastAsia="Calibri" w:hAnsi="Calibri"/>
          <w:color w:val="333333"/>
          <w:sz w:val="21"/>
          <w:szCs w:val="21"/>
        </w:rPr>
        <w:t xml:space="preserve">	36</w:t>
      </w:r>
    </w:p>
    <w:p>
      <w:pPr>
        <w:tabs>
          <w:tab w:val="right" w:pos="9026" w:leader="dot"/>
        </w:tabs>
        <w:spacing w:after="80"/>
        <w:ind w:left="300"/>
      </w:pPr>
      <w:r>
        <w:rPr>
          <w:rFonts w:ascii="Calibri" w:cs="Calibri" w:eastAsia="Calibri" w:hAnsi="Calibri"/>
          <w:b w:val="false"/>
          <w:bCs w:val="false"/>
          <w:color w:val="333333"/>
          <w:sz w:val="21"/>
          <w:szCs w:val="21"/>
        </w:rPr>
        <w:t xml:space="preserve">7.6. Bảng tổng hợp tài nguyên</w:t>
      </w:r>
      <w:r>
        <w:rPr>
          <w:rFonts w:ascii="Calibri" w:cs="Calibri" w:eastAsia="Calibri" w:hAnsi="Calibri"/>
          <w:color w:val="333333"/>
          <w:sz w:val="21"/>
          <w:szCs w:val="21"/>
        </w:rPr>
        <w:t xml:space="preserve">	37</w:t>
      </w:r>
    </w:p>
    <w:p>
      <w:pPr>
        <w:tabs>
          <w:tab w:val="right" w:pos="9026" w:leader="dot"/>
        </w:tabs>
        <w:spacing w:after="140"/>
        <w:ind w:left="0"/>
      </w:pPr>
      <w:r>
        <w:rPr>
          <w:rFonts w:ascii="Calibri" w:cs="Calibri" w:eastAsia="Calibri" w:hAnsi="Calibri"/>
          <w:b/>
          <w:bCs/>
          <w:color w:val="1F3864"/>
          <w:sz w:val="23"/>
          <w:szCs w:val="23"/>
        </w:rPr>
        <w:t xml:space="preserve">A. PHỤ LỤC</w:t>
      </w:r>
      <w:r>
        <w:rPr>
          <w:rFonts w:ascii="Calibri" w:cs="Calibri" w:eastAsia="Calibri" w:hAnsi="Calibri"/>
          <w:color w:val="1F3864"/>
          <w:sz w:val="23"/>
          <w:szCs w:val="23"/>
        </w:rPr>
        <w:t xml:space="preserve">	38</w:t>
      </w:r>
    </w:p>
    <w:p>
      <w:pPr>
        <w:tabs>
          <w:tab w:val="right" w:pos="9026" w:leader="dot"/>
        </w:tabs>
        <w:spacing w:after="80"/>
        <w:ind w:left="300"/>
      </w:pPr>
      <w:r>
        <w:rPr>
          <w:rFonts w:ascii="Calibri" w:cs="Calibri" w:eastAsia="Calibri" w:hAnsi="Calibri"/>
          <w:b w:val="false"/>
          <w:bCs w:val="false"/>
          <w:color w:val="333333"/>
          <w:sz w:val="21"/>
          <w:szCs w:val="21"/>
        </w:rPr>
        <w:t xml:space="preserve">A.1. Bảng thuật ngữ</w:t>
      </w:r>
      <w:r>
        <w:rPr>
          <w:rFonts w:ascii="Calibri" w:cs="Calibri" w:eastAsia="Calibri" w:hAnsi="Calibri"/>
          <w:color w:val="333333"/>
          <w:sz w:val="21"/>
          <w:szCs w:val="21"/>
        </w:rPr>
        <w:t xml:space="preserve">	38</w:t>
      </w:r>
    </w:p>
    <w:p>
      <w:pPr>
        <w:tabs>
          <w:tab w:val="right" w:pos="9026" w:leader="dot"/>
        </w:tabs>
        <w:spacing w:after="80"/>
        <w:ind w:left="300"/>
      </w:pPr>
      <w:r>
        <w:rPr>
          <w:rFonts w:ascii="Calibri" w:cs="Calibri" w:eastAsia="Calibri" w:hAnsi="Calibri"/>
          <w:b w:val="false"/>
          <w:bCs w:val="false"/>
          <w:color w:val="333333"/>
          <w:sz w:val="21"/>
          <w:szCs w:val="21"/>
        </w:rPr>
        <w:t xml:space="preserve">A.2. Nguồn tham khảo chính</w:t>
      </w:r>
      <w:r>
        <w:rPr>
          <w:rFonts w:ascii="Calibri" w:cs="Calibri" w:eastAsia="Calibri" w:hAnsi="Calibri"/>
          <w:color w:val="333333"/>
          <w:sz w:val="21"/>
          <w:szCs w:val="21"/>
        </w:rPr>
        <w:t xml:space="preserve">	38</w:t>
      </w:r>
    </w:p>
    <w:p>
      <w:pPr>
        <w:tabs>
          <w:tab w:val="right" w:pos="9026" w:leader="dot"/>
        </w:tabs>
        <w:spacing w:after="80"/>
        <w:ind w:left="300"/>
      </w:pPr>
      <w:r>
        <w:rPr>
          <w:rFonts w:ascii="Calibri" w:cs="Calibri" w:eastAsia="Calibri" w:hAnsi="Calibri"/>
          <w:b w:val="false"/>
          <w:bCs w:val="false"/>
          <w:color w:val="333333"/>
          <w:sz w:val="21"/>
          <w:szCs w:val="21"/>
        </w:rPr>
        <w:t xml:space="preserve">A.3. Giới hạn của tài liệu</w:t>
      </w:r>
      <w:r>
        <w:rPr>
          <w:rFonts w:ascii="Calibri" w:cs="Calibri" w:eastAsia="Calibri" w:hAnsi="Calibri"/>
          <w:color w:val="333333"/>
          <w:sz w:val="21"/>
          <w:szCs w:val="21"/>
        </w:rPr>
        <w:t xml:space="preserve">	40</w:t>
      </w:r>
    </w:p>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1. ĐẶT VẤN ĐỀ, BỐI CẢNH VÀ TÍNH KHẢ THI</w:t>
      </w:r>
    </w:p>
    <w:p>
      <w:pPr>
        <w:pStyle w:val="Heading2"/>
        <w:spacing w:after="160" w:before="320"/>
      </w:pPr>
      <w:r>
        <w:rPr>
          <w:rFonts w:ascii="Calibri" w:cs="Calibri" w:eastAsia="Calibri" w:hAnsi="Calibri"/>
          <w:b/>
          <w:bCs/>
          <w:color w:val="2E5395"/>
          <w:sz w:val="26"/>
          <w:szCs w:val="26"/>
        </w:rPr>
        <w:t xml:space="preserve">1.1. Bối cảnh</w:t>
      </w:r>
    </w:p>
    <w:p>
      <w:pPr>
        <w:spacing w:after="160" w:line="300"/>
        <w:jc w:val="both"/>
      </w:pPr>
      <w:r>
        <w:rPr>
          <w:rFonts w:ascii="Calibri" w:cs="Calibri" w:eastAsia="Calibri" w:hAnsi="Calibri"/>
          <w:i w:val="false"/>
          <w:iCs w:val="false"/>
          <w:sz w:val="22"/>
          <w:szCs w:val="22"/>
        </w:rPr>
        <w:t xml:space="preserve">Việt Nam đang đối mặt với gánh nặng kép về bệnh không lây nhiễm (Non-Communicable Diseases – NCDs) liên quan chặt chẽ đến dinh dưỡng. Bốn nhóm bệnh lý mãn tính — đái tháo đường týp 2, tăng huyết áp/tim mạch, bệnh thận mạn (CKD) và gout — đều có chế độ ăn là trụ cột điều trị không thể thay thế bằng thuốc, nhưng đồng thời là nhóm bệnh mà người bệnh khó tự quản lý khẩu phần chính xác nhất trong đời sống hằng ngày.</w:t>
      </w:r>
    </w:p>
    <w:p>
      <w:pPr>
        <w:spacing w:after="160" w:line="300"/>
        <w:jc w:val="both"/>
      </w:pPr>
      <w:r>
        <w:rPr>
          <w:rFonts w:ascii="Calibri" w:cs="Calibri" w:eastAsia="Calibri" w:hAnsi="Calibri"/>
          <w:i w:val="false"/>
          <w:iCs w:val="false"/>
          <w:sz w:val="22"/>
          <w:szCs w:val="22"/>
        </w:rPr>
        <w:t xml:space="preserve">Bảng dưới đây tổng hợp gánh nặng bệnh tật hiện tại tại Việt Nam, dùng làm cơ sở định lượng cho luận điểm "vấn đề đủ lớn để đầu tư giải pháp". Các số liệu đến từ các khảo sát/điều tra khác nhau (không cùng một cỡ mẫu), do đó không được cộng dồn để suy ra tỷ lệ đa bệnh lý — mục đích của bảng là minh hoạ quy mô từng bệnh lý riêng lẻ.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Bệnh lý</w:t>
            </w:r>
          </w:p>
        </w:tc>
        <w:tc>
          <w:tcPr>
            <w:tcW w:type="pct" w:w="4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Tỷ lệ / quy mô</w:t>
            </w:r>
          </w:p>
        </w:tc>
        <w:tc>
          <w:tcPr>
            <w:tcW w:type="pct" w:w="28.00000000000000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Nguồn</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Đái tháo đường / tăng đường huyết</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7,06% người trưởng thành (~4,6 triệu người); trong đó 68,9% trường hợp tăng đường huyết chưa được phát hiện, chỉ 28,9% người bệnh được quản lý tại cơ sở y tế</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Điều tra STEPS 2021 và STEPS 2015, Bộ Y tế</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Tăng huyết áp / tim mạch</w:t>
            </w:r>
          </w:p>
        </w:tc>
        <w:tc>
          <w:tcPr>
            <w:tcW w:type="pct" w:w="4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26,2% người trưởng thành (~17 triệu người); nhiều khảo sát khác ghi nhận khoảng 20–30% và có xu hướng trẻ hoá</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Điều tra STEPS 2021, Bộ Y tế</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thận mạn (CKD)</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~8,7 triệu người trưởng thành (12,8% dân số trưởng thành); hơn 90% người mắc chưa biết tình trạng bệnh của mình</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Y tế – Cục Phòng bệnh, Hội thảo tăng cường phòng chống và quản lý bệnh thận tại Việt Nam</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không lây nhiễm (chung)</w:t>
            </w:r>
          </w:p>
        </w:tc>
        <w:tc>
          <w:tcPr>
            <w:tcW w:type="pct" w:w="4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Chiếm gần 3/4 tổng gánh nặng bệnh tật tại Việt Nam</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Tổng hợp nghiên cứu gánh nặng bệnh tật toàn cầu, dẫn lại 2026</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Tăng acid uric máu / Gout</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34,5% tăng acid uric máu (nam 43,6% · nữ 26,4%); 5,2% được chẩn đoán gout (nam 9,1% · nữ 1,6%) — khảo sát tại 1 phòng khám, không đại diện toàn quốc; tỷ lệ gout cộng đồng trên thế giới dao động 2–14%</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Tạp chí Y học Việt Nam (2023), khảo sát tại phòng khám Y học Gia đình, BV Đại học Y Dược TP.HCM</w:t>
            </w:r>
          </w:p>
        </w:tc>
      </w:tr>
    </w:tbl>
    <w:p>
      <w:pPr>
        <w:spacing w:after="120"/>
      </w:pPr>
    </w:p>
    <w:p>
      <w:pPr>
        <w:spacing w:after="160" w:line="300"/>
        <w:jc w:val="both"/>
      </w:pPr>
      <w:r>
        <w:rPr>
          <w:rFonts w:ascii="Calibri" w:cs="Calibri" w:eastAsia="Calibri" w:hAnsi="Calibri"/>
          <w:i w:val="false"/>
          <w:iCs w:val="false"/>
          <w:sz w:val="22"/>
          <w:szCs w:val="22"/>
        </w:rPr>
        <w:t xml:space="preserve">Ba quan sát quan trọng rút ra từ bảng số liệu trên, có ảnh hưởng trực tiếp tới thiết kế giải pháp:</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Tỷ lệ chưa được chẩn đoán hoặc chưa được quản lý điều trị đều rất cao (68,9% với tăng đường huyết; hơn 90% với bệnh thận mạn) — nghĩa là bài toán không chỉ là "tư vấn đúng" mà còn là "duy trì được sự theo dõi liên tục", vì phần lớn người có nguy cơ chưa từng tiếp cận hệ thống y tế một cách bài bản.</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Cả bốn bệnh lý đều là bệnh mãn tính cần kiểm soát bằng chế độ ăn suốt đời, không phải can thiệp ngắn hạn — đòi hỏi giải pháp phải bền vững về chi phí vận hành và dễ duy trì thói quen, không chỉ đúng về mặt dinh dưỡng học tại một thời điểm.</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Bốn nhóm bệnh có ràng buộc dinh dưỡng xung đột nhau ở một số chất (ví dụ đạm giữa đái tháo đường và bệnh thận mạn — xem Chương 2 tài liệu Kiến trúc hệ thống), nên đồng mắc là tình huống thường gặp trong thực tế lâm sàng và bắt buộc hệ thống phải xử lý được, không thể thiết kế cho từng bệnh riêng lẻ.</w:t>
      </w:r>
    </w:p>
    <w:p>
      <w:pPr>
        <w:spacing w:after="160" w:line="300"/>
        <w:jc w:val="both"/>
      </w:pPr>
      <w:r>
        <w:rPr>
          <w:rFonts w:ascii="Calibri" w:cs="Calibri" w:eastAsia="Calibri" w:hAnsi="Calibri"/>
          <w:i w:val="false"/>
          <w:iCs w:val="false"/>
          <w:sz w:val="22"/>
          <w:szCs w:val="22"/>
        </w:rPr>
        <w:t xml:space="preserve">Về mặt chính sách, dự án gắn với các văn bản đang có hiệu lực: Chiến lược Quốc gia về Dinh dưỡng giai đoạn 2021–2030 tầm nhìn 2045 (Quyết định 02/QĐ-TTg), Kế hoạch quốc gia phòng chống bệnh không lây nhiễm giai đoạn 2022–2025 (Quyết định 155/QĐ-TTg), và mục tiêu của Chương trình Sức khỏe Việt Nam là giảm mức tiêu thụ muối trung bình xuống dưới 7 g/người/ngày vào năm 2030.</w:t>
      </w:r>
    </w:p>
    <w:p>
      <w:pPr>
        <w:pStyle w:val="Heading2"/>
        <w:spacing w:after="160" w:before="320"/>
      </w:pPr>
      <w:r>
        <w:rPr>
          <w:rFonts w:ascii="Calibri" w:cs="Calibri" w:eastAsia="Calibri" w:hAnsi="Calibri"/>
          <w:b/>
          <w:bCs/>
          <w:color w:val="2E5395"/>
          <w:sz w:val="26"/>
          <w:szCs w:val="26"/>
        </w:rPr>
        <w:t xml:space="preserve">1.2. Đối tượng nghiên cứu và người dùng</w:t>
      </w:r>
    </w:p>
    <w:p>
      <w:pPr>
        <w:spacing w:after="160" w:line="300"/>
        <w:jc w:val="both"/>
      </w:pPr>
      <w:r>
        <w:rPr>
          <w:rFonts w:ascii="Calibri" w:cs="Calibri" w:eastAsia="Calibri" w:hAnsi="Calibri"/>
          <w:i w:val="false"/>
          <w:iCs w:val="false"/>
          <w:sz w:val="22"/>
          <w:szCs w:val="22"/>
        </w:rPr>
        <w:t xml:space="preserve">Dự án phục vụ bốn nhóm đối tượng, với vai trò và nhu cầu khác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Nhóm đối tượng</w:t>
            </w:r>
          </w:p>
        </w:tc>
        <w:tc>
          <w:tcPr>
            <w:tcW w:type="pct" w:w="37%"/>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Đặc điểm</w:t>
            </w:r>
          </w:p>
        </w:tc>
        <w:tc>
          <w:tcPr>
            <w:tcW w:type="pct" w:w="37%"/>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Nhu cầu chính</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nhân mãn tính</w:t>
            </w:r>
          </w:p>
        </w:tc>
        <w:tc>
          <w:tcPr>
            <w:tcW w:type="pct" w:w="37%"/>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Người trưởng thành đã được chẩn đoán ít nhất một trong bốn bệnh lý mục tiêu; phần lớn trên 40 tuổi, nhiều người hạn chế về công nghệ</w:t>
            </w:r>
          </w:p>
        </w:tc>
        <w:tc>
          <w:tcPr>
            <w:tcW w:type="pct" w:w="37%"/>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Biết ăn gì, ăn bao nhiêu là an toàn; hiểu "vì sao" chứ không chỉ "cái gì"; không muốn cảm thấy bị kiểm soát quá mức</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Người nhà / người chăm sóc</w:t>
            </w:r>
          </w:p>
        </w:tc>
        <w:tc>
          <w:tcPr>
            <w:tcW w:type="pct" w:w="37%"/>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Thường là người trực tiếp đi chợ, nấu ăn, hoặc hỗ trợ bệnh nhân lớn tuổi thao tác thiết bị</w:t>
            </w:r>
          </w:p>
        </w:tc>
        <w:tc>
          <w:tcPr>
            <w:tcW w:type="pct" w:w="37%"/>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Công cụ đơn giản để chuyển đổi bữa cơm chung của gia đình thành khẩu phần phù hợp cho người bệnh</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Chuyên gia dinh dưỡng / bác sĩ điều trị</w:t>
            </w:r>
          </w:p>
        </w:tc>
        <w:tc>
          <w:tcPr>
            <w:tcW w:type="pct" w:w="37%"/>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Nguồn lực khan hiếm, thời gian tư vấn mỗi bệnh nhân thường dưới 10 phút/lượt tái khám</w:t>
            </w:r>
          </w:p>
        </w:tc>
        <w:tc>
          <w:tcPr>
            <w:tcW w:type="pct" w:w="37%"/>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Công cụ tăng tốc soạn thực đơn mà vẫn giữ quyền quyết định cuối cùng và trách nhiệm chuyên môn</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Đơn vị quản lý (khoa Dinh dưỡng bệnh viện, tương lai)</w:t>
            </w:r>
          </w:p>
        </w:tc>
        <w:tc>
          <w:tcPr>
            <w:tcW w:type="pct" w:w="37%"/>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Chịu trách nhiệm tuân thủ quy định sàng lọc dinh dưỡng bắt buộc theo Thông tư 08/2024/TT-BYT</w:t>
            </w:r>
          </w:p>
        </w:tc>
        <w:tc>
          <w:tcPr>
            <w:tcW w:type="pct" w:w="37%"/>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Bằng chứng số hoá cho quy trình sàng lọc và theo dõi, giảm tải giấy tờ thủ công</w:t>
            </w:r>
          </w:p>
        </w:tc>
      </w:tr>
    </w:tbl>
    <w:p>
      <w:pPr>
        <w:spacing w:after="120"/>
      </w:pPr>
    </w:p>
    <w:p>
      <w:pPr>
        <w:pStyle w:val="Heading2"/>
        <w:spacing w:after="160" w:before="320"/>
      </w:pPr>
      <w:r>
        <w:rPr>
          <w:rFonts w:ascii="Calibri" w:cs="Calibri" w:eastAsia="Calibri" w:hAnsi="Calibri"/>
          <w:b/>
          <w:bCs/>
          <w:color w:val="2E5395"/>
          <w:sz w:val="26"/>
          <w:szCs w:val="26"/>
        </w:rPr>
        <w:t xml:space="preserve">1.3. Pain points — vấn đề cụ thể cần giải quyết</w:t>
      </w:r>
    </w:p>
    <w:p>
      <w:pPr>
        <w:spacing w:after="160" w:line="300"/>
        <w:jc w:val="both"/>
      </w:pPr>
      <w:r>
        <w:rPr>
          <w:rFonts w:ascii="Calibri" w:cs="Calibri" w:eastAsia="Calibri" w:hAnsi="Calibri"/>
          <w:i w:val="false"/>
          <w:iCs w:val="false"/>
          <w:sz w:val="22"/>
          <w:szCs w:val="22"/>
        </w:rPr>
        <w:t xml:space="preserve">Pain point được nhóm theo bốn nhóm đối tượng ở trên, mỗi điểm đau gắn với bằng chứng hoặc quan sát cụ thể để tránh liệt kê chung chung.</w:t>
      </w:r>
    </w:p>
    <w:p>
      <w:pPr>
        <w:pStyle w:val="Heading3"/>
        <w:spacing w:after="120" w:before="220"/>
      </w:pPr>
      <w:r>
        <w:rPr>
          <w:rFonts w:ascii="Calibri" w:cs="Calibri" w:eastAsia="Calibri" w:hAnsi="Calibri"/>
          <w:b/>
          <w:bCs/>
          <w:color w:val="595959"/>
          <w:sz w:val="23"/>
          <w:szCs w:val="23"/>
        </w:rPr>
        <w:t xml:space="preserve">1.3.1. Từ phía bệnh nhân</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Khó định lượng chính xác. </w:t>
      </w:r>
      <w:r>
        <w:rPr>
          <w:rFonts w:ascii="Calibri" w:cs="Calibri" w:eastAsia="Calibri" w:hAnsi="Calibri"/>
          <w:b w:val="false"/>
          <w:bCs w:val="false"/>
          <w:i w:val="false"/>
          <w:iCs w:val="false"/>
          <w:sz w:val="22"/>
          <w:szCs w:val="22"/>
        </w:rPr>
        <w:t xml:space="preserve">T</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Ăn mặn vượt xa khuyến cáo mà không nhận ra. </w:t>
      </w:r>
      <w:r>
        <w:rPr>
          <w:rFonts w:ascii="Calibri" w:cs="Calibri" w:eastAsia="Calibri" w:hAnsi="Calibri"/>
          <w:b w:val="false"/>
          <w:bCs w:val="false"/>
          <w:i w:val="false"/>
          <w:iCs w:val="false"/>
          <w:sz w:val="22"/>
          <w:szCs w:val="22"/>
        </w:rPr>
        <w:t xml:space="preserve">N</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Nhận lời khuyên thiếu căn cứ. </w:t>
      </w:r>
      <w:r>
        <w:rPr>
          <w:rFonts w:ascii="Calibri" w:cs="Calibri" w:eastAsia="Calibri" w:hAnsi="Calibri"/>
          <w:b w:val="false"/>
          <w:bCs w:val="false"/>
          <w:i w:val="false"/>
          <w:iCs w:val="false"/>
          <w:sz w:val="22"/>
          <w:szCs w:val="22"/>
        </w:rPr>
        <w:t xml:space="preserve">T</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Không thấy được hậu quả tức thời. </w:t>
      </w:r>
      <w:r>
        <w:rPr>
          <w:rFonts w:ascii="Calibri" w:cs="Calibri" w:eastAsia="Calibri" w:hAnsi="Calibri"/>
          <w:b w:val="false"/>
          <w:bCs w:val="false"/>
          <w:i w:val="false"/>
          <w:iCs w:val="false"/>
          <w:sz w:val="22"/>
          <w:szCs w:val="22"/>
        </w:rPr>
        <w:t xml:space="preserve">V</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Không đủ khả năng chi trả cho chế độ ăn được khuyến nghị. </w:t>
      </w:r>
      <w:r>
        <w:rPr>
          <w:rFonts w:ascii="Calibri" w:cs="Calibri" w:eastAsia="Calibri" w:hAnsi="Calibri"/>
          <w:b w:val="false"/>
          <w:bCs w:val="false"/>
          <w:i w:val="false"/>
          <w:iCs w:val="false"/>
          <w:sz w:val="22"/>
          <w:szCs w:val="22"/>
        </w:rPr>
        <w:t xml:space="preserve">C</w:t>
      </w:r>
    </w:p>
    <w:p>
      <w:pPr>
        <w:pStyle w:val="Heading3"/>
        <w:spacing w:after="120" w:before="220"/>
      </w:pPr>
      <w:r>
        <w:rPr>
          <w:rFonts w:ascii="Calibri" w:cs="Calibri" w:eastAsia="Calibri" w:hAnsi="Calibri"/>
          <w:b/>
          <w:bCs/>
          <w:color w:val="595959"/>
          <w:sz w:val="23"/>
          <w:szCs w:val="23"/>
        </w:rPr>
        <w:t xml:space="preserve">1.3.2. Từ phía chuyên gia dinh dưỡng / bác sĩ</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Quá tải, thời gian tư vấn quá ngắn. </w:t>
      </w:r>
      <w:r>
        <w:rPr>
          <w:rFonts w:ascii="Calibri" w:cs="Calibri" w:eastAsia="Calibri" w:hAnsi="Calibri"/>
          <w:b w:val="false"/>
          <w:bCs w:val="false"/>
          <w:i w:val="false"/>
          <w:iCs w:val="false"/>
          <w:sz w:val="22"/>
          <w:szCs w:val="22"/>
        </w:rPr>
        <w:t xml:space="preserve">K</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Thiếu công cụ theo dõi giữa các lần khám. </w:t>
      </w:r>
      <w:r>
        <w:rPr>
          <w:rFonts w:ascii="Calibri" w:cs="Calibri" w:eastAsia="Calibri" w:hAnsi="Calibri"/>
          <w:b w:val="false"/>
          <w:bCs w:val="false"/>
          <w:i w:val="false"/>
          <w:iCs w:val="false"/>
          <w:sz w:val="22"/>
          <w:szCs w:val="22"/>
        </w:rPr>
        <w:t xml:space="preserve">K</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Áp lực tuân thủ quy định. </w:t>
      </w:r>
      <w:r>
        <w:rPr>
          <w:rFonts w:ascii="Calibri" w:cs="Calibri" w:eastAsia="Calibri" w:hAnsi="Calibri"/>
          <w:b w:val="false"/>
          <w:bCs w:val="false"/>
          <w:i w:val="false"/>
          <w:iCs w:val="false"/>
          <w:sz w:val="22"/>
          <w:szCs w:val="22"/>
        </w:rPr>
        <w:t xml:space="preserve">T</w:t>
      </w:r>
    </w:p>
    <w:p>
      <w:pPr>
        <w:pStyle w:val="Heading3"/>
        <w:spacing w:after="120" w:before="220"/>
      </w:pPr>
      <w:r>
        <w:rPr>
          <w:rFonts w:ascii="Calibri" w:cs="Calibri" w:eastAsia="Calibri" w:hAnsi="Calibri"/>
          <w:b/>
          <w:bCs/>
          <w:color w:val="595959"/>
          <w:sz w:val="23"/>
          <w:szCs w:val="23"/>
        </w:rPr>
        <w:t xml:space="preserve">1.3.3. Từ phía hệ thống / công nghệ hiện có</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Ứng dụng đếm calo phổ thông (MyFitnessPal, Noom…) không có ràng buộc lâm sàng. </w:t>
      </w:r>
      <w:r>
        <w:rPr>
          <w:rFonts w:ascii="Calibri" w:cs="Calibri" w:eastAsia="Calibri" w:hAnsi="Calibri"/>
          <w:b w:val="false"/>
          <w:bCs w:val="false"/>
          <w:i w:val="false"/>
          <w:iCs w:val="false"/>
          <w:sz w:val="22"/>
          <w:szCs w:val="22"/>
        </w:rPr>
        <w:t xml:space="preserve">K</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Cơ sở dữ liệu món ăn thiếu món Việt và không phân biệt vùng miền. </w:t>
      </w:r>
      <w:r>
        <w:rPr>
          <w:rFonts w:ascii="Calibri" w:cs="Calibri" w:eastAsia="Calibri" w:hAnsi="Calibri"/>
          <w:b w:val="false"/>
          <w:bCs w:val="false"/>
          <w:i w:val="false"/>
          <w:iCs w:val="false"/>
          <w:sz w:val="22"/>
          <w:szCs w:val="22"/>
        </w:rPr>
        <w:t xml:space="preserve">T</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Không có cơ chế chống "ảo giác" số liệu dinh dưỡng khi dùng LLM trực tiếp. </w:t>
      </w:r>
      <w:r>
        <w:rPr>
          <w:rFonts w:ascii="Calibri" w:cs="Calibri" w:eastAsia="Calibri" w:hAnsi="Calibri"/>
          <w:b w:val="false"/>
          <w:bCs w:val="false"/>
          <w:i w:val="false"/>
          <w:iCs w:val="false"/>
          <w:sz w:val="22"/>
          <w:szCs w:val="22"/>
        </w:rPr>
        <w:t xml:space="preserve">N</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DCE6F5" w:val="clear"/>
            <w:tcMar>
              <w:top w:type="dxa" w:w="140"/>
              <w:left w:type="dxa" w:w="220"/>
              <w:bottom w:type="dxa" w:w="140"/>
              <w:right w:type="dxa" w:w="220"/>
            </w:tcMar>
          </w:tcPr>
          <w:p>
            <w:pPr>
              <w:spacing w:after="0"/>
              <w:jc w:val="both"/>
            </w:pPr>
            <w:r>
              <w:rPr>
                <w:rFonts w:ascii="Calibri" w:cs="Calibri" w:eastAsia="Calibri" w:hAnsi="Calibri"/>
                <w:b/>
                <w:bCs/>
                <w:color w:val="1F3864"/>
                <w:sz w:val="21"/>
                <w:szCs w:val="21"/>
              </w:rPr>
              <w:t xml:space="preserve">Tổng hợp:  </w:t>
            </w:r>
            <w:r>
              <w:rPr>
                <w:rFonts w:ascii="Calibri" w:cs="Calibri" w:eastAsia="Calibri" w:hAnsi="Calibri"/>
                <w:sz w:val="21"/>
                <w:szCs w:val="21"/>
              </w:rPr>
              <w:t xml:space="preserve"> ba nhóm pain point trên hội tụ ở một điểm chung — thiếu một hệ thống vừa cá thể hoá theo đúng bệnh lý, vừa duy trì được sự giám sát chuyên môn liên tục, vừa hiểu được bối cảnh ẩm thực Việt Nam. Đây chính là khoảng trống thị trường mà dự án nhắm tới.</w:t>
            </w:r>
          </w:p>
        </w:tc>
      </w:tr>
    </w:tbl>
    <w:p>
      <w:pPr>
        <w:spacing w:after="120"/>
      </w:pPr>
    </w:p>
    <w:p>
      <w:pPr>
        <w:pStyle w:val="Heading2"/>
        <w:spacing w:after="160" w:before="320"/>
      </w:pPr>
      <w:r>
        <w:rPr>
          <w:rFonts w:ascii="Calibri" w:cs="Calibri" w:eastAsia="Calibri" w:hAnsi="Calibri"/>
          <w:b/>
          <w:bCs/>
          <w:color w:val="2E5395"/>
          <w:sz w:val="26"/>
          <w:szCs w:val="26"/>
        </w:rPr>
        <w:t xml:space="preserve">1.4. Mục tiêu nghiên cứu / mục tiêu dự án</w:t>
      </w:r>
    </w:p>
    <w:p>
      <w:pPr>
        <w:pStyle w:val="Heading3"/>
        <w:spacing w:after="120" w:before="220"/>
      </w:pPr>
      <w:r>
        <w:rPr>
          <w:rFonts w:ascii="Calibri" w:cs="Calibri" w:eastAsia="Calibri" w:hAnsi="Calibri"/>
          <w:b/>
          <w:bCs/>
          <w:color w:val="595959"/>
          <w:sz w:val="23"/>
          <w:szCs w:val="23"/>
        </w:rPr>
        <w:t xml:space="preserve">Mục tiêu tổng quát</w:t>
      </w:r>
    </w:p>
    <w:p>
      <w:pPr>
        <w:spacing w:after="160" w:line="300"/>
        <w:jc w:val="both"/>
      </w:pPr>
      <w:r>
        <w:rPr>
          <w:rFonts w:ascii="Calibri" w:cs="Calibri" w:eastAsia="Calibri" w:hAnsi="Calibri"/>
          <w:i w:val="false"/>
          <w:iCs w:val="false"/>
          <w:sz w:val="22"/>
          <w:szCs w:val="22"/>
        </w:rPr>
        <w:t xml:space="preserve">Xây dựng và đánh giá một hệ thống AI Agent hỗ trợ lập kế hoạch dinh dưỡng cá thể hoá cho bệnh nhân mắc bệnh mãn tính tại Việt Nam, trong đó mọi khuyến nghị định lượng đều truy vết được về nguồn dữ liệu, và không có khuyến nghị nào đến tay bệnh nhân mà chưa qua sự phê duyệt của chuyên gia dinh dưỡng hoặc bác sĩ điều trị.</w:t>
      </w:r>
    </w:p>
    <w:p>
      <w:pPr>
        <w:pStyle w:val="Heading3"/>
        <w:spacing w:after="120" w:before="220"/>
      </w:pPr>
      <w:r>
        <w:rPr>
          <w:rFonts w:ascii="Calibri" w:cs="Calibri" w:eastAsia="Calibri" w:hAnsi="Calibri"/>
          <w:b/>
          <w:bCs/>
          <w:color w:val="595959"/>
          <w:sz w:val="23"/>
          <w:szCs w:val="23"/>
        </w:rPr>
        <w:t xml:space="preserve">Mục tiêu cụ thể (trong phạm vi 6 tuần xây dựng)</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Xây dựng lõi tính toán lâm sàng xác định (deterministic clinical engine) tính đúng định mức năng lượng, đa chất và vi chất theo bốn nhóm bệnh lý mục tiêu, xử lý được trường hợp đồng mắc.</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Xây dựng AI Agent (LangGraph) sinh gợi ý thực đơn dựa trên món ăn Việt Nam, tuân thủ định mức lâm sàng, có cơ chế tự sinh lại khi vi phạm ngưỡng.</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Xây dựng quy trình con người-trong-vòng-lặp (Human-in-the-Loop) bắt buộc, để chuyên gia duyệt/sửa mọi thực đơn trước khi đến bệnh nhân.</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Xây dựng cơ chế cảnh báo dị ứng và tương tác thuốc–thực phẩm cho các cặp phổ biến nhất trong bốn nhóm bệnh mục tiêu.</w:t>
      </w:r>
    </w:p>
    <w:p>
      <w:pPr>
        <w:spacing w:after="100" w:line="290"/>
        <w:ind w:left="460" w:hanging="300"/>
        <w:jc w:val="both"/>
      </w:pPr>
      <w:r>
        <w:rPr>
          <w:rFonts w:ascii="Calibri" w:cs="Calibri" w:eastAsia="Calibri" w:hAnsi="Calibri"/>
          <w:sz w:val="22"/>
          <w:szCs w:val="22"/>
        </w:rPr>
        <w:t xml:space="preserve">5. </w:t>
      </w:r>
      <w:r>
        <w:rPr>
          <w:rFonts w:ascii="Calibri" w:cs="Calibri" w:eastAsia="Calibri" w:hAnsi="Calibri"/>
          <w:sz w:val="22"/>
          <w:szCs w:val="22"/>
        </w:rPr>
        <w:t xml:space="preserve">Thiết lập bộ khung đánh giá định lượng (evaluation) đo được mức độ tuân thủ ngưỡng lâm sàng, độ chính xác truy vết nguồn, và mức đồng thuận của chuyên gia.</w:t>
      </w:r>
    </w:p>
    <w:p>
      <w:pPr>
        <w:pStyle w:val="Heading3"/>
        <w:spacing w:after="120" w:before="220"/>
      </w:pPr>
      <w:r>
        <w:rPr>
          <w:rFonts w:ascii="Calibri" w:cs="Calibri" w:eastAsia="Calibri" w:hAnsi="Calibri"/>
          <w:b/>
          <w:bCs/>
          <w:color w:val="595959"/>
          <w:sz w:val="23"/>
          <w:szCs w:val="23"/>
        </w:rPr>
        <w:t xml:space="preserve">Mục tiêu dài hạn (ngoài phạm vi 6 tuần — nêu rõ để định hướng, không cam kết thực hiện)</w:t>
      </w:r>
    </w:p>
    <w:p>
      <w:pPr>
        <w:pStyle w:val="ListParagraph"/>
        <w:numPr>
          <w:ilvl w:val="0"/>
          <w:numId w:val="2"/>
        </w:numPr>
        <w:spacing w:after="100" w:line="290"/>
        <w:jc w:val="both"/>
      </w:pPr>
      <w:r>
        <w:rPr>
          <w:rFonts w:ascii="Calibri" w:cs="Calibri" w:eastAsia="Calibri" w:hAnsi="Calibri"/>
          <w:sz w:val="22"/>
          <w:szCs w:val="22"/>
        </w:rPr>
        <w:t xml:space="preserve">Mở rộng nguồn dữ liệu đầu vào sang các chỉ số nhân trắc và cận lâm sàng định kỳ thực tế (xem Chương 2), nhằm cá thể hoá sâu hơn theo thời gian thay vì chỉ dựa trên hồ sơ tĩnh.</w:t>
      </w:r>
    </w:p>
    <w:p>
      <w:pPr>
        <w:pStyle w:val="ListParagraph"/>
        <w:numPr>
          <w:ilvl w:val="0"/>
          <w:numId w:val="2"/>
        </w:numPr>
        <w:spacing w:after="100" w:line="290"/>
        <w:jc w:val="both"/>
      </w:pPr>
      <w:r>
        <w:rPr>
          <w:rFonts w:ascii="Calibri" w:cs="Calibri" w:eastAsia="Calibri" w:hAnsi="Calibri"/>
          <w:sz w:val="22"/>
          <w:szCs w:val="22"/>
        </w:rPr>
        <w:t xml:space="preserve">Thí điểm tại một đơn vị y tế thực tế với bệnh nhân thật, dưới sự giám sát của hội đồng đạo đức và chuyên gia dinh dưỡng.</w:t>
      </w:r>
    </w:p>
    <w:p>
      <w:pPr>
        <w:pStyle w:val="ListParagraph"/>
        <w:numPr>
          <w:ilvl w:val="0"/>
          <w:numId w:val="2"/>
        </w:numPr>
        <w:spacing w:after="100" w:line="290"/>
        <w:jc w:val="both"/>
      </w:pPr>
      <w:r>
        <w:rPr>
          <w:rFonts w:ascii="Calibri" w:cs="Calibri" w:eastAsia="Calibri" w:hAnsi="Calibri"/>
          <w:sz w:val="22"/>
          <w:szCs w:val="22"/>
        </w:rPr>
        <w:t xml:space="preserve">Đo lường tác động lên chỉ số lâm sàng (HbA1c, huyết áp, eGFR) qua một khoảng thời gian sử dụng đủ dài — đây là nghiên cứu can thiệp, đòi hỏi thiết kế và nguồn lực khác hẳn giai đoạn xây dựng sản phẩm.</w:t>
      </w:r>
    </w:p>
    <w:p>
      <w:pPr>
        <w:pStyle w:val="Heading2"/>
        <w:spacing w:after="160" w:before="320"/>
      </w:pPr>
      <w:r>
        <w:rPr>
          <w:rFonts w:ascii="Calibri" w:cs="Calibri" w:eastAsia="Calibri" w:hAnsi="Calibri"/>
          <w:b/>
          <w:bCs/>
          <w:color w:val="2E5395"/>
          <w:sz w:val="26"/>
          <w:szCs w:val="26"/>
        </w:rPr>
        <w:t xml:space="preserve">1.5. Tính khả thi</w:t>
      </w:r>
    </w:p>
    <w:p>
      <w:pPr>
        <w:spacing w:after="160" w:line="300"/>
        <w:jc w:val="both"/>
      </w:pPr>
      <w:r>
        <w:rPr>
          <w:rFonts w:ascii="Calibri" w:cs="Calibri" w:eastAsia="Calibri" w:hAnsi="Calibri"/>
          <w:i w:val="false"/>
          <w:iCs w:val="false"/>
          <w:sz w:val="22"/>
          <w:szCs w:val="22"/>
        </w:rPr>
        <w:t xml:space="preserve">Đánh giá tính khả thi được thực hiện trên bốn trục: nguồn lực con người, dữ liệu, công nghệ, và pháp lý/đạo đức — vì đây là bốn trục quyết định một dự án AI y tế có thực hiện được trong khung thời gian đã cho hay không.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Trục khả thi</w:t>
            </w:r>
          </w:p>
        </w:tc>
        <w:tc>
          <w:tcPr>
            <w:tcW w:type="pct" w:w="55.00000000000001%"/>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Đánh giá</w:t>
            </w:r>
          </w:p>
        </w:tc>
        <w:tc>
          <w:tcPr>
            <w:tcW w:type="pct" w:w="23%"/>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Mức độ</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Nguồn lực con người</w:t>
            </w:r>
          </w:p>
        </w:tc>
        <w:tc>
          <w:tcPr>
            <w:tcW w:type="pct" w:w="55.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Đội 4 người trong 6 tuần. Đủ để xây dựng một hệ thống MVP có chiều sâu về an toàn lâm sàng (lõi tính toán + guardrail + HITL), nhưng không đủ để đồng thời làm sâu ở tất cả các trục mở rộng (đa nguồn dữ liệu thời gian thực, đa mô hình, đa ngôn ngữ vùng miền)</w:t>
            </w:r>
          </w:p>
        </w:tc>
        <w:tc>
          <w:tcPr>
            <w:tcW w:type="pct" w:w="2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Khả thi có điều kiện — cần thu hẹp phạm vi rõ ràng (xem 3.3)</w:t>
            </w:r>
          </w:p>
        </w:tc>
      </w:tr>
      <w:tr>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w:t>
            </w:r>
          </w:p>
        </w:tc>
        <w:tc>
          <w:tcPr>
            <w:tcW w:type="pct" w:w="55.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thành phần thực phẩm Việt Nam và guideline lâm sàng đều tồn tại nhưng không ở dạng có sẵn để dùng ngay (sách in/PDF, không có API mở). Dữ liệu bệnh nhân thật không thể sử dụng ở giai đoạn này vì lý do đạo đức và pháp lý</w:t>
            </w:r>
          </w:p>
        </w:tc>
        <w:tc>
          <w:tcPr>
            <w:tcW w:type="pct" w:w="2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Rủi ro cao nhất của dự án — phải nhập liệu thủ công có kiểm chứng nguồn (xem `data/README.md` của dự án)</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Công nghệ</w:t>
            </w:r>
          </w:p>
        </w:tc>
        <w:tc>
          <w:tcPr>
            <w:tcW w:type="pct" w:w="55.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LangGraph, FastAPI, PostgreSQL/pgvector là các công nghệ trưởng thành, có tài liệu tốt. Kiến trúc "LLM chọn món — hệ thống xác định tính số" đã được kiểm chứng khả thi qua bản mẫu (43 test đơn vị chạy độc lập, không cần gọi mô hình ngôn ngữ)</w:t>
            </w:r>
          </w:p>
        </w:tc>
        <w:tc>
          <w:tcPr>
            <w:tcW w:type="pct" w:w="2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Khả thi cao</w:t>
            </w:r>
          </w:p>
        </w:tc>
      </w:tr>
      <w:tr>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Pháp lý &amp; đạo đức</w:t>
            </w:r>
          </w:p>
        </w:tc>
        <w:tc>
          <w:tcPr>
            <w:tcW w:type="pct" w:w="55.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bệnh nhân mô phỏng 100% ở giai đoạn này, không thu thập dữ liệu y tế thật, không cần phê duyệt hội đồng đạo đức (IRB) cho việc xây dựng sản phẩm. Việc thí điểm với bệnh nhân thật ở giai đoạn sau bắt buộc phải qua IRB và tuân thủ Nghị định 13/2023/NĐ-CP về bảo vệ dữ liệu cá nhân</w:t>
            </w:r>
          </w:p>
        </w:tc>
        <w:tc>
          <w:tcPr>
            <w:tcW w:type="pct" w:w="2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Khả thi trong phạm vi hiện tại; cần quy trình riêng nếu mở rộng sang dữ liệu thật</w:t>
            </w:r>
          </w:p>
        </w:tc>
      </w:tr>
    </w:tbl>
    <w:p>
      <w:pPr>
        <w:spacing w:after="120"/>
      </w:pPr>
    </w:p>
    <w:p>
      <w:pPr>
        <w:spacing w:after="160" w:line="300"/>
        <w:jc w:val="both"/>
      </w:pPr>
      <w:r>
        <w:rPr>
          <w:rFonts w:ascii="Calibri" w:cs="Calibri" w:eastAsia="Calibri" w:hAnsi="Calibri"/>
          <w:i w:val="false"/>
          <w:iCs w:val="false"/>
          <w:sz w:val="22"/>
          <w:szCs w:val="22"/>
        </w:rPr>
        <w:t xml:space="preserve">Kết luận về tính khả thi: dự án khả thi trong khuôn khổ 6 tuần nếu và chỉ nếu phạm vi được giới hạn đúng mức — cụ thể là dùng dữ liệu mô phỏng cho hồ sơ bệnh nhân, tập trung vào lõi an toàn lâm sàng và quy trình phê duyệt của chuyên gia, và không cố gắng tích hợp các nguồn dữ liệu thời gian thực (wearable, thiết bị đo) ở phiên bản đầu tiên. Chương 2 trình bày chi tiết các nguồn dữ liệu — cả nguồn đã dùng và nguồn cân nhắc cho tương lai — để làm cơ sở cho quyết định phạm vi này.</w:t>
      </w:r>
    </w:p>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2. LUỒNG ĐỐI TƯỢNG VÀ LUỒNG DỮ LIỆU ĐẦU VÀO</w:t>
      </w:r>
    </w:p>
    <w:p>
      <w:pPr>
        <w:pStyle w:val="Heading2"/>
        <w:spacing w:after="160" w:before="320"/>
      </w:pPr>
      <w:r>
        <w:rPr>
          <w:rFonts w:ascii="Calibri" w:cs="Calibri" w:eastAsia="Calibri" w:hAnsi="Calibri"/>
          <w:b/>
          <w:bCs/>
          <w:color w:val="2E5395"/>
          <w:sz w:val="26"/>
          <w:szCs w:val="26"/>
        </w:rPr>
        <w:t xml:space="preserve">2.1. Sơ đồ đối tượng và luồng tương tác</w:t>
      </w:r>
    </w:p>
    <w:p>
      <w:pPr>
        <w:spacing w:after="160" w:line="300"/>
        <w:jc w:val="both"/>
      </w:pPr>
      <w:r>
        <w:rPr>
          <w:rFonts w:ascii="Calibri" w:cs="Calibri" w:eastAsia="Calibri" w:hAnsi="Calibri"/>
          <w:i w:val="false"/>
          <w:iCs w:val="false"/>
          <w:sz w:val="22"/>
          <w:szCs w:val="22"/>
        </w:rPr>
        <w:t xml:space="preserve">Hệ thống có bốn nhóm tác nhân chính (bệnh nhân, người nhà, chuyên gia dinh dưỡng/bác sĩ, quản trị viên) và bốn nhóm nguồn dữ liệu/thiết bị. Sơ đồ dưới đây thể hiện chiều tương tác và loại thông tin trao đổi giữa các nhóm này với lõi hệ thống.</w:t>
      </w:r>
    </w:p>
    <w:p>
      <w:pPr>
        <w:spacing w:after="80" w:before="160"/>
        <w:jc w:val="center"/>
      </w:pPr>
      <w:r>
        <w:drawing>
          <wp:inline distT="0" distB="0" distL="0" distR="0">
            <wp:extent cx="5524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003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Hình 2.1 — Sơ đồ đối tượng và luồng tương tác tổng thể</w:t>
      </w:r>
    </w:p>
    <w:p>
      <w:pPr>
        <w:spacing w:after="160" w:line="300"/>
        <w:jc w:val="both"/>
      </w:pPr>
      <w:r>
        <w:rPr>
          <w:rFonts w:ascii="Calibri" w:cs="Calibri" w:eastAsia="Calibri" w:hAnsi="Calibri"/>
          <w:i w:val="false"/>
          <w:iCs w:val="false"/>
          <w:sz w:val="22"/>
          <w:szCs w:val="22"/>
        </w:rPr>
        <w:t xml:space="preserve">Ba đặc điểm thiết kế quan trọng thể hiện trong sơ đồ:</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Người nhà là một tác nhân độc lập, không gộp chung với bệnh nhân — vì phần lớn bệnh nhân mãn tính mục tiêu trên 40 tuổi, một tỷ lệ đáng kể cần hỗ trợ thao tác công nghệ hoặc là người trực tiếp nấu ăn thay vì bản thân bệnh nhân.</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Dữ liệu từ thiết bị (wearable, InBody, xét nghiệm) đi vào một lớp CSDL trung gian trước khi tới hệ thống AI Agent — không kết nối trực tiếp. Đây là điểm để thực hiện kiểm tra hợp lệ, gắn nguồn, và cho phép thay thế nhà cung cấp thiết bị mà không phải sửa lõi xử lý.</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Mọi đường đi từ hệ thống tới bệnh nhân đều được vẽ tách biệt khỏi đường đi tới chuyên gia — thể hiện đúng nguyên tắc kiến trúc cốt lõi của dự án: thực đơn phải qua chuyên gia duyệt trước khi tới bệnh nhân, không có ngoại lệ.</w:t>
      </w:r>
    </w:p>
    <w:p>
      <w:pPr>
        <w:spacing w:after="120"/>
      </w:pPr>
    </w:p>
    <w:p>
      <w:pPr>
        <w:pStyle w:val="Heading2"/>
        <w:spacing w:after="160" w:before="320"/>
      </w:pPr>
      <w:r>
        <w:rPr>
          <w:rFonts w:ascii="Calibri" w:cs="Calibri" w:eastAsia="Calibri" w:hAnsi="Calibri"/>
          <w:b/>
          <w:bCs/>
          <w:color w:val="2E5395"/>
          <w:sz w:val="26"/>
          <w:szCs w:val="26"/>
        </w:rPr>
        <w:t xml:space="preserve">2.2. Luồng nghiệp vụ chính</w:t>
      </w:r>
    </w:p>
    <w:p>
      <w:pPr>
        <w:spacing w:after="160" w:line="300"/>
        <w:jc w:val="both"/>
      </w:pPr>
      <w:r>
        <w:rPr>
          <w:rFonts w:ascii="Calibri" w:cs="Calibri" w:eastAsia="Calibri" w:hAnsi="Calibri"/>
          <w:i w:val="false"/>
          <w:iCs w:val="false"/>
          <w:sz w:val="22"/>
          <w:szCs w:val="22"/>
        </w:rPr>
        <w:t xml:space="preserve">Một chu trình nghiệp vụ đầy đủ, từ lúc bệnh nhân được thiết lập hồ sơ tới khi nhận thực đơn, gồm các bước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Bước</w:t>
            </w:r>
          </w:p>
        </w:tc>
        <w:tc>
          <w:tcPr>
            <w:tcW w:type="pct" w:w="1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Tác nhân</w:t>
            </w:r>
          </w:p>
        </w:tc>
        <w:tc>
          <w:tcPr>
            <w:tcW w:type="pct" w:w="4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Hoạt động</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Dữ liệu sinh ra</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Chuyên gia / Bác sĩ</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Khởi tạo hồ sơ, chẩn đoán, đặt mục tiêu điều trị</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Hồ sơ nền (Tầng 1)</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nhân / Người nhà</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Bổ sung thông tin sở thích, dị ứng, vùng miền, thực phẩm sẵn có</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Ràng buộc cá nhân</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Hệ thống</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Tính định mức lâm sàng (năng lượng, đạm, natri, kali, phốt pho, purin) từ hồ sơ + quy tắc</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Định mức cá thể hoá</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4</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Hệ thống (AI Agent)</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Sinh gợi ý thực đơn từ danh sách món ăn phù hợp, kiểm tra ngưỡng, tự sinh lại nếu vi phạm</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Thực đơn nháp</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Chuyên gia</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Xem xét, chỉnh sửa nếu cần, phê duyệt hoặc từ chối kèm lý do</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Thực đơn đã duyệt / phản hồi</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6</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nhân</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Nhận thực đơn đã duyệt, thực hiện, ghi nhật ký ăn uống thực tế</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Nhật ký ăn uống</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Hệ thống</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nhật ký thực tế với định mức, cảnh báo nếu vượt ngưỡng natri/đường trong ngày</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Cảnh báo, báo cáo xu hướng</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8</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Chuyên gia</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Xem báo cáo xu hướng ở lần tái khám, điều chỉnh mục tiêu nếu cần</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Mục tiêu điều trị cập nhật (quay lại bước 1)</w:t>
            </w:r>
          </w:p>
        </w:tc>
      </w:tr>
    </w:tbl>
    <w:p>
      <w:pPr>
        <w:spacing w:after="120"/>
      </w:pPr>
    </w:p>
    <w:p>
      <w:pPr>
        <w:pStyle w:val="Heading2"/>
        <w:spacing w:after="160" w:before="320"/>
      </w:pPr>
      <w:r>
        <w:rPr>
          <w:rFonts w:ascii="Calibri" w:cs="Calibri" w:eastAsia="Calibri" w:hAnsi="Calibri"/>
          <w:b/>
          <w:bCs/>
          <w:color w:val="2E5395"/>
          <w:sz w:val="26"/>
          <w:szCs w:val="26"/>
        </w:rPr>
        <w:t xml:space="preserve">2.3. Phân loại nguồn dữ liệu đầu vào</w:t>
      </w:r>
    </w:p>
    <w:p>
      <w:pPr>
        <w:spacing w:after="160" w:line="300"/>
        <w:jc w:val="both"/>
      </w:pPr>
      <w:r>
        <w:rPr>
          <w:rFonts w:ascii="Calibri" w:cs="Calibri" w:eastAsia="Calibri" w:hAnsi="Calibri"/>
          <w:i w:val="false"/>
          <w:iCs w:val="false"/>
          <w:sz w:val="22"/>
          <w:szCs w:val="22"/>
        </w:rPr>
        <w:t xml:space="preserve">Dữ liệu đầu vào của hệ thống chia làm hai nhóm lớn: (a) dữ liệu tri thức nền — có sẵn, dùng chung cho mọi bệnh nhân, không đổi theo thời gian thực; và (b) dữ liệu theo bệnh nhân — sinh ra trong quá trình vận hành thực tế, thay đổi theo các tần suất khác nhau. Việc phân biệt rõ hai nhóm này quyết định cách thiết kế lưu trữ, tần suất đồng bộ, và mức độ ưu tiên triển khai.</w:t>
      </w:r>
    </w:p>
    <w:p>
      <w:pPr>
        <w:pStyle w:val="Heading3"/>
        <w:spacing w:after="120" w:before="220"/>
      </w:pPr>
      <w:r>
        <w:rPr>
          <w:rFonts w:ascii="Calibri" w:cs="Calibri" w:eastAsia="Calibri" w:hAnsi="Calibri"/>
          <w:b/>
          <w:bCs/>
          <w:color w:val="595959"/>
          <w:sz w:val="23"/>
          <w:szCs w:val="23"/>
        </w:rPr>
        <w:t xml:space="preserve">2.3.1. Dữ liệu tri thức nền (đã có / đang xây dựng cho v1)</w:t>
      </w:r>
    </w:p>
    <w:p>
      <w:pPr>
        <w:spacing w:after="160" w:line="300"/>
        <w:jc w:val="both"/>
      </w:pPr>
      <w:r>
        <w:rPr>
          <w:rFonts w:ascii="Calibri" w:cs="Calibri" w:eastAsia="Calibri" w:hAnsi="Calibri"/>
          <w:i w:val="false"/>
          <w:iCs w:val="false"/>
          <w:sz w:val="22"/>
          <w:szCs w:val="22"/>
        </w:rPr>
        <w:t xml:space="preserve">Đây là các bộ dữ liệu tĩnh, không gắn với một bệnh nhân cụ thể, được xây dựng một lần và cập nhật định kỳ (không phải theo thời gian thực).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Bộ dữ liệu</w:t>
            </w:r>
          </w:p>
        </w:tc>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w:t>
            </w:r>
          </w:p>
        </w:tc>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Nguồn dự kiến</w:t>
            </w:r>
          </w:p>
        </w:tc>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Trạng thái</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thành phần thực phẩm</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526 thực phẩm, 86 chất dinh dưỡng mỗi thực phẩm (gồm purin, natri, kali, phospho, tỉ lệ thải bỏ), mỗi giá trị có mã nguồn tham chiếu</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thành phần thực phẩm Việt Nam 2007 (Viện Dinh dưỡng, NXB Y học) — bản PDF công khai trên máy chủ FAO; USDA FoodData Central bổ sung</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Đã xác định nguồn. Tồn tại bản 2017 với 628 thực phẩm (sách in) cần đối chiếu bổ sung</w:t>
            </w:r>
          </w:p>
        </w:tc>
      </w:tr>
      <w:tr>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Cơ sở dữ liệu món ăn Việt</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≥80 món, phân rã nguyên liệu, gắn vùng miền</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Tổng hợp có kiểm chứng chuyên gia, đối chiếu công thức tham khảo</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Đang xây dựng</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quy tắc lâm sàng</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Ngưỡng năng lượng/đa chất/vi chất theo bệnh lý và giai đoạn</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ADA/EASD, AHA/WHO, KDIGO, ACR, Bộ Y tế</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Đã có khung, đang trong quá trình xác minh từng ngưỡng với văn bản gốc</w:t>
            </w:r>
          </w:p>
        </w:tc>
      </w:tr>
      <w:tr>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tương tác thuốc–thực phẩm</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Các cặp phổ biến nhất liên quan bốn nhóm bệnh mục tiêu</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Tổng hợp có kiểm chứng dược lý, đối chiếu tài liệu tham khảo</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Đang xây dựng</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Guideline dạng văn bản (cho tra cứu giải thích)</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Văn bản hướng dẫn lâm sàng dùng để trích dẫn khi giải thích khuyến nghị</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BYT, ADA, KDIGO, AHA/DASH, ACR</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Đang thu thập</w:t>
            </w:r>
          </w:p>
        </w:tc>
      </w:tr>
    </w:tbl>
    <w:p>
      <w:pPr>
        <w:spacing w:after="120"/>
      </w:pPr>
    </w:p>
    <w:p>
      <w:pPr>
        <w:pStyle w:val="Heading3"/>
        <w:spacing w:after="120" w:before="220"/>
      </w:pPr>
      <w:r>
        <w:rPr>
          <w:rFonts w:ascii="Calibri" w:cs="Calibri" w:eastAsia="Calibri" w:hAnsi="Calibri"/>
          <w:b/>
          <w:bCs/>
          <w:color w:val="595959"/>
          <w:sz w:val="23"/>
          <w:szCs w:val="23"/>
        </w:rPr>
        <w:t xml:space="preserve">2.3.2. Dữ liệu theo bệnh nhân, thu thập theo thời gian — bốn tầng tần suất</w:t>
      </w:r>
    </w:p>
    <w:p>
      <w:pPr>
        <w:spacing w:after="160" w:line="300"/>
        <w:jc w:val="both"/>
      </w:pPr>
      <w:r>
        <w:rPr>
          <w:rFonts w:ascii="Calibri" w:cs="Calibri" w:eastAsia="Calibri" w:hAnsi="Calibri"/>
          <w:i w:val="false"/>
          <w:iCs w:val="false"/>
          <w:sz w:val="22"/>
          <w:szCs w:val="22"/>
        </w:rPr>
        <w:t xml:space="preserve">Đây là phần mở rộng theo yêu cầu của nhiệm vụ: ngoài hồ sơ tĩnh, khi vận hành thực tế hệ thống nên tiếp nhận thêm dữ liệu gì, ở tần suất nào. Dữ liệu được sắp theo bốn tầng thời gian — từ dữ liệu gần như không đổi tới dữ liệu cập nhật liên tục — vì mỗi tầng đòi hỏi cách xử lý, lưu trữ và mức độ ưu tiên triển khai khác nhau.</w:t>
      </w:r>
    </w:p>
    <w:p>
      <w:pPr>
        <w:spacing w:after="80" w:before="160"/>
        <w:jc w:val="center"/>
      </w:pPr>
      <w:r>
        <w:drawing>
          <wp:inline distT="0" distB="0" distL="0" distR="0">
            <wp:extent cx="5524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85975"/>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Hình 2.2 — Bốn tầng dữ liệu đầu vào theo tần suất và luồng xử lý</w:t>
      </w:r>
    </w:p>
    <w:p>
      <w:pPr>
        <w:pStyle w:val="Heading3"/>
        <w:spacing w:after="120" w:before="220"/>
      </w:pPr>
      <w:r>
        <w:rPr>
          <w:rFonts w:ascii="Calibri" w:cs="Calibri" w:eastAsia="Calibri" w:hAnsi="Calibri"/>
          <w:b/>
          <w:bCs/>
          <w:color w:val="595959"/>
          <w:sz w:val="23"/>
          <w:szCs w:val="23"/>
        </w:rPr>
        <w:t xml:space="preserve">Tầng 1 — Một lần / hiếm khi thay đổi (hồ sơ nền)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Loại dữ liệu</w:t>
            </w:r>
          </w:p>
        </w:tc>
        <w:tc>
          <w:tcPr>
            <w:tcW w:type="pct" w:w="4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Ví dụ cụ thể</w:t>
            </w:r>
          </w:p>
        </w:tc>
        <w:tc>
          <w:tcPr>
            <w:tcW w:type="pct" w:w="3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Mục đích sử dụng</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Nhân khẩu học &amp; bối cảnh sống</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Tuổi, giới tính, chiều cao, vùng miền, nghề nghiệp, sở thích ăn uống, thực phẩm sẵn có, mức ngân sách bữa ăn (dạng khoảng, tuỳ chọn)</w:t>
            </w:r>
          </w:p>
        </w:tc>
        <w:tc>
          <w:tcPr>
            <w:tcW w:type="pct" w:w="3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Tính BMR/TDEE nền; suy ra mức hoạt động thể lực từ nghề nghiệp; điều chỉnh khẩu vị theo vùng miền; giới hạn thực đơn trong khả năng chi trả</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Tiền sử bệnh &amp; chẩn đoán</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Mã bệnh (ĐTĐ2/THA/CKD/Gout), giai đoạn bệnh, ngày chẩn đoán</w:t>
            </w:r>
          </w:p>
        </w:tc>
        <w:tc>
          <w:tcPr>
            <w:tcW w:type="pct" w:w="3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Chọn bộ quy tắc lâm sàng áp dụng</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Dị ứng &amp; không dung nạp</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Hải sản, đậu nành, lạc, gluten, sữa…</w:t>
            </w:r>
          </w:p>
        </w:tc>
        <w:tc>
          <w:tcPr>
            <w:tcW w:type="pct" w:w="3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Ràng buộc cứng, tuyệt đối không vi phạm</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Thuốc đang sử dụng</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Tên thuốc, nhóm dược lý, liều dùng</w:t>
            </w:r>
          </w:p>
        </w:tc>
        <w:tc>
          <w:tcPr>
            <w:tcW w:type="pct" w:w="3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Kiểm tra tương tác thuốc–thực phẩm</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Mục tiêu điều trị do bác sĩ đặt</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Mục tiêu cân nặng, mục tiêu HbA1c, ngưỡng cá nhân hoá (nếu khác chuẩn chung)</w:t>
            </w:r>
          </w:p>
        </w:tc>
        <w:tc>
          <w:tcPr>
            <w:tcW w:type="pct" w:w="3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Ghi đè lên ngưỡng mặc định khi có chỉ định riêng</w:t>
            </w:r>
          </w:p>
        </w:tc>
      </w:tr>
    </w:tbl>
    <w:p>
      <w:pPr>
        <w:spacing w:after="120"/>
      </w:pPr>
    </w:p>
    <w:p>
      <w:pPr>
        <w:pStyle w:val="Heading3"/>
        <w:spacing w:after="120" w:before="220"/>
      </w:pPr>
      <w:r>
        <w:rPr>
          <w:rFonts w:ascii="Calibri" w:cs="Calibri" w:eastAsia="Calibri" w:hAnsi="Calibri"/>
          <w:b/>
          <w:bCs/>
          <w:color w:val="595959"/>
          <w:sz w:val="23"/>
          <w:szCs w:val="23"/>
        </w:rPr>
        <w:t xml:space="preserve">Tầng 2 — Định kỳ hằng tháng (nhân trắc học)</w:t>
      </w:r>
    </w:p>
    <w:p>
      <w:pPr>
        <w:spacing w:after="160" w:line="300"/>
        <w:jc w:val="both"/>
      </w:pPr>
      <w:r>
        <w:rPr>
          <w:rFonts w:ascii="Calibri" w:cs="Calibri" w:eastAsia="Calibri" w:hAnsi="Calibri"/>
          <w:i w:val="false"/>
          <w:iCs w:val="false"/>
          <w:sz w:val="22"/>
          <w:szCs w:val="22"/>
        </w:rPr>
        <w:t xml:space="preserve">Đây là nhóm dữ liệu người yêu cầu nêu cụ thể: số đo các vòng và chỉ số thành phần cơ thể. Tần suất tháng phù hợp với thực hành lâm sàng phổ biến (theo dõi cân nặng/thành phần cơ thể mỗi 4 tuần cho bệnh nhân đang điều chỉnh chế độ ăn), và phù hợp với chu kỳ đo InBody tại phần lớn phòng khám dinh dưỡng.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Chỉ số</w:t>
            </w:r>
          </w:p>
        </w:tc>
        <w:tc>
          <w:tcPr>
            <w:tcW w:type="pct" w:w="3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Thiết bị / cách đo</w:t>
            </w:r>
          </w:p>
        </w:tc>
        <w:tc>
          <w:tcPr>
            <w:tcW w:type="pct" w:w="4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Vì sao cần</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Cân nặng, chiều cao (nếu còn tăng trưởng), BMI</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Cân điện tử tại nhà hoặc tại phòng khám</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Cập nhật lại năng lượng mục tiêu khi cân nặng thay đổi — công thức tĩnh dùng cân nặng một lần dễ lệch sau vài tháng</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Số đo vòng (eo, hông, cổ, đùi)</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Thước dây, đo thủ công theo quy trình chuẩn</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Ước tính phân bố mỡ qua tỉ lệ eo–hông. ADA Standards of Care 2026 khuyến nghị sàng lọc thừa cân/béo phì bằng BMI KẾT HỢP tỉ lệ eo–hông hoặc đo thành phần cơ thể, thay vì chỉ dùng BMI</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Khối cơ (Skeletal Muscle Mass)</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Máy phân tích thành phần cơ thể (InBody hoặc tương đương, đo bằng trở kháng điện sinh học — BIA)</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nhân CKD cần đủ đạm để không mất khối cơ trong khi vẫn phải hạn chế đạm theo giai đoạn — đây là điểm cân bằng khó nếu chỉ nhìn cân nặng</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Khối mỡ &amp; tỷ lệ mỡ cơ thể</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InBody hoặc tương đương (ADA 2026 chấp nhận đo thành phần cơ thể là chỉ số bổ sung cho BMI)</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Theo dõi hiệu quả giảm mỡ mà không mất cơ, phân biệt với giảm cân đơn thuần (có thể do mất nước hoặc mất cơ, không phải mục tiêu điều trị)</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Tỷ lệ mỡ nội tạng (Visceral Fat Level)</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InBody hoặc tương đương</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Liên quan trực tiếp đến kháng insulin và nguy cơ tim mạch — chỉ số theo dõi hiệu quả điều trị ĐTĐ2/THA</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Nước cơ thể (Total Body Water)</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InBody hoặc tương đương</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nhân CKD dễ tích nước — thay đổi bất thường là tín hiệu cảnh báo cần chuyển bác sĩ, không tự xử lý bằng thay đổi thực đơn</w:t>
            </w:r>
          </w:p>
        </w:tc>
      </w:tr>
    </w:tbl>
    <w:p>
      <w:pPr>
        <w:spacing w:after="120"/>
      </w:pPr>
    </w:p>
    <w:p>
      <w:pPr>
        <w:pStyle w:val="Heading3"/>
        <w:spacing w:after="120" w:before="220"/>
      </w:pPr>
      <w:r>
        <w:rPr>
          <w:rFonts w:ascii="Calibri" w:cs="Calibri" w:eastAsia="Calibri" w:hAnsi="Calibri"/>
          <w:b/>
          <w:bCs/>
          <w:color w:val="595959"/>
          <w:sz w:val="23"/>
          <w:szCs w:val="23"/>
        </w:rPr>
        <w:t xml:space="preserve">Tầng 3 — Định kỳ theo lịch tái khám (1–6 tháng, cận lâm sàng)</w:t>
      </w:r>
    </w:p>
    <w:p>
      <w:pPr>
        <w:spacing w:after="160" w:line="300"/>
        <w:jc w:val="both"/>
      </w:pPr>
      <w:r>
        <w:rPr>
          <w:rFonts w:ascii="Calibri" w:cs="Calibri" w:eastAsia="Calibri" w:hAnsi="Calibri"/>
          <w:i w:val="false"/>
          <w:iCs w:val="false"/>
          <w:sz w:val="22"/>
          <w:szCs w:val="22"/>
        </w:rPr>
        <w:t xml:space="preserve">Nhóm dữ liệu này đến từ xét nghiệm do cơ sở y tế thực hiện, không phải tự đo tại nhà. Đây là nhóm có giá trị cao nhất về mặt lâm sàng nhưng cũng nhạy cảm nhất về quyền riêng tư và khó tích hợp nhất về mặt kỹ thuật (định dạng kết quả xét nghiệm khác nhau giữa các cơ sở y tế, phần lớn chưa có API chuẩn hoá).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Chỉ số</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Tần suất khuyến nghị</w:t>
            </w:r>
          </w:p>
        </w:tc>
        <w:tc>
          <w:tcPr>
            <w:tcW w:type="pct" w:w="5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Liên hệ với dinh dưỡng</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Glucose máu lúc đói, HbA1c</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 tháng/lần (ĐTĐ2)</w:t>
            </w:r>
          </w:p>
        </w:tc>
        <w:tc>
          <w:tcPr>
            <w:tcW w:type="pct" w:w="5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Đánh giá hiệu quả kiểm soát carbohydrate; hiệu chỉnh định mức đường/tinh bột</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Bilan lipid máu (Cholesterol toàn phần, LDL, HDL, Triglyceride)</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3–6 tháng/lần (THA/tim mạch)</w:t>
            </w:r>
          </w:p>
        </w:tc>
        <w:tc>
          <w:tcPr>
            <w:tcW w:type="pct" w:w="5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Hiệu chỉnh định mức chất béo bão hoà</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Creatinine, eGFR</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1–3 tháng/lần (CKD, tuỳ giai đoạn)</w:t>
            </w:r>
          </w:p>
        </w:tc>
        <w:tc>
          <w:tcPr>
            <w:tcW w:type="pct" w:w="5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Xác định giai đoạn CKD → chọn đúng bộ ngưỡng đạm/kali/phốt pho tương ứng; giai đoạn có thể đổi theo thời gian</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Điện giải đồ (Natri, Kali)</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Theo chỉ định, thường cùng lịch xét nghiệm thận</w:t>
            </w:r>
          </w:p>
        </w:tc>
        <w:tc>
          <w:tcPr>
            <w:tcW w:type="pct" w:w="5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Hiệu chỉnh ngưỡng natri/kali cá nhân khi có bất thường, thay vì dùng ngưỡng chuẩn chung</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Acid uric huyết thanh</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3–6 tháng/lần (Gout)</w:t>
            </w:r>
          </w:p>
        </w:tc>
        <w:tc>
          <w:tcPr>
            <w:tcW w:type="pct" w:w="5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Hiệu chỉnh mức độ hạn chế purin theo diễn tiến bệnh</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Albumin / Prealbumin</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Theo chỉ định (đánh giá suy dinh dưỡng)</w:t>
            </w:r>
          </w:p>
        </w:tc>
        <w:tc>
          <w:tcPr>
            <w:tcW w:type="pct" w:w="5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Phát hiện sớm suy dinh dưỡng ở bệnh nhân CKD/cao tuổi — tín hiệu cần tăng năng lượng/đạm thay vì hạn chế thêm</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Mật độ xương (đo bằng phương pháp DEXA)</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6–12 tháng/lần, ưu tiên cho CKD giai đoạn nặng hoặc người cao tuổi có nguy cơ loãng xương</w:t>
            </w:r>
          </w:p>
        </w:tc>
        <w:tc>
          <w:tcPr>
            <w:tcW w:type="pct" w:w="5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CKD ảnh hưởng chuyển hoá canxi–phốt pho–vitamin D; kết quả DEXA ảnh hưởng quyết định bổ sung canxi trong thực đơn</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Protein niệu / Tổng phân tích nước tiểu</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Theo chỉ định (CKD)</w:t>
            </w:r>
          </w:p>
        </w:tc>
        <w:tc>
          <w:tcPr>
            <w:tcW w:type="pct" w:w="5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số tiến triển bệnh thận, dùng để cảnh báo cần khám lại sớm hơn lịch thường quy</w:t>
            </w:r>
          </w:p>
        </w:tc>
      </w:tr>
    </w:tbl>
    <w:p>
      <w:pPr>
        <w:spacing w:after="120"/>
      </w:pPr>
    </w:p>
    <w:p>
      <w:pPr>
        <w:pStyle w:val="Heading3"/>
        <w:spacing w:after="120" w:before="220"/>
      </w:pPr>
      <w:r>
        <w:rPr>
          <w:rFonts w:ascii="Calibri" w:cs="Calibri" w:eastAsia="Calibri" w:hAnsi="Calibri"/>
          <w:b/>
          <w:bCs/>
          <w:color w:val="595959"/>
          <w:sz w:val="23"/>
          <w:szCs w:val="23"/>
        </w:rPr>
        <w:t xml:space="preserve">Tầng 4 — Liên tục / hằng ngày (thiết bị đeo và tự báo cáo)</w:t>
      </w:r>
    </w:p>
    <w:p>
      <w:pPr>
        <w:spacing w:after="160" w:line="300"/>
        <w:jc w:val="both"/>
      </w:pPr>
      <w:r>
        <w:rPr>
          <w:rFonts w:ascii="Calibri" w:cs="Calibri" w:eastAsia="Calibri" w:hAnsi="Calibri"/>
          <w:i w:val="false"/>
          <w:iCs w:val="false"/>
          <w:sz w:val="22"/>
          <w:szCs w:val="22"/>
        </w:rPr>
        <w:t xml:space="preserve">Đây là nhóm dữ liệu có tần suất cao nhất và tiềm năng cá thể hoá sâu nhất, nhưng cũng là nhóm có độ phức tạp tích hợp và chi phí vận hành cao nhất — lý do được phân tích kỹ ở mục 2.5 và quyết định phạm vi ở Chương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Loại dữ liệu</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Thiết bị / nguồn</w:t>
            </w:r>
          </w:p>
        </w:tc>
        <w:tc>
          <w:tcPr>
            <w:tcW w:type="pct" w:w="4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Mục đích sử dụng tiềm năng</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Nhịp tim, mức độ hoạt động, số bước chân</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Band / smartwatch (Apple Watch, Xiaomi, Garmin, Fitbit…)</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Hiệu chỉnh động hệ số hoạt động thể lực trong công thức TDEE — thay vì dùng một mức cố định do bệnh nhân tự khai</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Giấc ngủ (thời lượng, chất lượng)</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Band / smartwatch / ring (Oura, Whoop…)</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Thiếu ngủ ảnh hưởng đến kháng insulin và cảm giác đói — có thể dùng làm tín hiệu ngữ cảnh khi giải thích lý do tăng cân/khó kiểm soát đường huyết</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SpO2 (độ bão hoà oxy máu)</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Một số dòng smartwatch/ring có cảm biến quang học</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số phụ, chủ yếu dùng để phát hiện bất thường cần cảnh báo chuyển chuyên gia, không dùng trực tiếp cho tính toán dinh dưỡng</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Đường huyết liên tục (CGM – Continuous Glucose Monitor)</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Thiết bị dán da chuyên dụng (Abbott FreeStyle Libre, Dexcom…)</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Giá trị cao nhất trong nhóm này cho bệnh nhân ĐTĐ — cho thấy phản ứng đường huyết thực tế với từng bữa ăn cụ thể, thay vì chỉ số HbA1c trung bình 3 tháng</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tổng hợp từ ứng dụng sức khoẻ trên điện thoại</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Tiếp nhận qua lớp tổng hợp chuẩn: Apple HealthKit (iOS) hoặc Google Health Connect (Android), thay vì tích hợp riêng từng hãng thiết bị</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Một điểm tích hợp duy nhất cho nhiều nguồn thiết bị; giảm phụ thuộc vào API riêng của từng hãng</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Nhật ký ăn uống tự báo cáo</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Nhập tay hoặc chụp ảnh trong ứng dụng</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Đối chiếu thực đơn khuyến nghị với thực tế tiêu thụ — nền tảng của vòng lặp phản hồi và cảnh báo vượt ngưỡng trong ngày</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Triệu chứng / cảm giác tự báo cáo</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Nhập tay (mệt mỏi, đói bất thường, phù, đau khớp…)</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Tín hiệu sớm để đề xuất bệnh nhân liên hệ chuyên gia, không dùng để tự động điều chỉnh thực đơn</w:t>
            </w:r>
          </w:p>
        </w:tc>
      </w:tr>
    </w:tbl>
    <w:p>
      <w:pPr>
        <w:spacing w:after="120"/>
      </w:pPr>
    </w:p>
    <w:p>
      <w:pPr>
        <w:pStyle w:val="Heading2"/>
        <w:spacing w:after="160" w:before="320"/>
      </w:pPr>
      <w:r>
        <w:rPr>
          <w:rFonts w:ascii="Calibri" w:cs="Calibri" w:eastAsia="Calibri" w:hAnsi="Calibri"/>
          <w:b/>
          <w:bCs/>
          <w:color w:val="2E5395"/>
          <w:sz w:val="26"/>
          <w:szCs w:val="26"/>
        </w:rPr>
        <w:t xml:space="preserve">2.4. Vấn đề tích hợp và chuẩn hoá dữ liệu</w:t>
      </w:r>
    </w:p>
    <w:p>
      <w:pPr>
        <w:spacing w:after="160" w:line="300"/>
        <w:jc w:val="both"/>
      </w:pPr>
      <w:r>
        <w:rPr>
          <w:rFonts w:ascii="Calibri" w:cs="Calibri" w:eastAsia="Calibri" w:hAnsi="Calibri"/>
          <w:i w:val="false"/>
          <w:iCs w:val="false"/>
          <w:sz w:val="22"/>
          <w:szCs w:val="22"/>
        </w:rPr>
        <w:t xml:space="preserve">Bốn tầng dữ liệu trên không có cùng mức độ sẵn sàng để tích hợp. Bảng dưới đây tổng hợp rủi ro kỹ thuật của việc tích hợp mỗi tầng, làm cơ sở cho quyết định phạm vi ở Chương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Vấn đề</w:t>
            </w:r>
          </w:p>
        </w:tc>
        <w:tc>
          <w:tcPr>
            <w:tcW w:type="pct" w:w="3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Ảnh hưởng</w:t>
            </w:r>
          </w:p>
        </w:tc>
        <w:tc>
          <w:tcPr>
            <w:tcW w:type="pct" w:w="3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Hướng xử lý nếu triển khai</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có chuẩn dữ liệu thống nhất giữa các thiết bị wearable</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Mỗi hãng (Apple, Xiaomi, Garmin, Oura…) có định dạng và API riêng, một số đóng (không public API)</w:t>
            </w:r>
          </w:p>
        </w:tc>
        <w:tc>
          <w:tcPr>
            <w:tcW w:type="pct" w:w="3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Cân nhắc chuẩn trung gian như Apple HealthKit / Google Health Connect làm lớp tổng hợp, thay vì tích hợp trực tiếp từng hãng</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Kết quả xét nghiệm không chuẩn hoá giữa các cơ sở y tế</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Đơn vị đo, khoảng tham chiếu khác nhau giữa các phòng xét nghiệm (ví dụ mmol/L so với mg/dL)</w:t>
            </w:r>
          </w:p>
        </w:tc>
        <w:tc>
          <w:tcPr>
            <w:tcW w:type="pct" w:w="3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hoá đơn vị ở lớp tiếp nhận; yêu cầu người nhập xác nhận đơn vị nguồn</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Độ trễ và độ tin cậy của nhập liệu thủ công (nhật ký ăn uống, triệu chứng)</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Sai số quan sát được trong nghiên cứu dinh dưỡng nói chung — người dùng thường quên ghi hoặc ước lượng sai khối lượng</w:t>
            </w:r>
          </w:p>
        </w:tc>
        <w:tc>
          <w:tcPr>
            <w:tcW w:type="pct" w:w="3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Thiết kế nhập liệu nhanh (dưới 20 giây/lượt), cho phép ước tính từ ảnh chụp ở giai đoạn sau</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Chi phí thiết bị là rào cản tiếp cận</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InBody chuyên dụng và CGM có chi phí cao, không phải bệnh nhân nào cũng tiếp cận được — đặc biệt nhóm cao tuổi thu nhập thấp là nhóm mắc bệnh mãn tính nhiều nhất</w:t>
            </w:r>
          </w:p>
        </w:tc>
        <w:tc>
          <w:tcPr>
            <w:tcW w:type="pct" w:w="3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Thiết kế hệ thống hoạt động đầy đủ chức năng ở Tầng 1–2 (không bắt buộc có wearable/CGM); Tầng 3–4 là dữ liệu "làm giàu thêm", không phải điều kiện tiên quyết</w:t>
            </w:r>
          </w:p>
        </w:tc>
      </w:tr>
    </w:tbl>
    <w:p>
      <w:pPr>
        <w:spacing w:after="120"/>
      </w:pPr>
    </w:p>
    <w:p>
      <w:pPr>
        <w:pStyle w:val="Heading2"/>
        <w:spacing w:after="160" w:before="320"/>
      </w:pPr>
      <w:r>
        <w:rPr>
          <w:rFonts w:ascii="Calibri" w:cs="Calibri" w:eastAsia="Calibri" w:hAnsi="Calibri"/>
          <w:b/>
          <w:bCs/>
          <w:color w:val="2E5395"/>
          <w:sz w:val="26"/>
          <w:szCs w:val="26"/>
        </w:rPr>
        <w:t xml:space="preserve">2.5. Quyền riêng tư và bảo mật cho dữ liệu sinh trắc, cận lâm sàng</w:t>
      </w:r>
    </w:p>
    <w:p>
      <w:pPr>
        <w:spacing w:after="160" w:line="300"/>
        <w:jc w:val="both"/>
      </w:pPr>
      <w:r>
        <w:rPr>
          <w:rFonts w:ascii="Calibri" w:cs="Calibri" w:eastAsia="Calibri" w:hAnsi="Calibri"/>
          <w:i w:val="false"/>
          <w:iCs w:val="false"/>
          <w:sz w:val="22"/>
          <w:szCs w:val="22"/>
        </w:rPr>
        <w:t xml:space="preserve">Dữ liệu ở Tầng 2–4 nhạy cảm hơn đáng kể so với dữ liệu ăn uống thông thường, vì đây là dữ liệu sinh trắc học và dữ liệu sức khoẻ theo nghĩa hẹp — thuộc nhóm dữ liệu cá nhân nhạy cảm theo Nghị định 13/2023/NĐ-CP về bảo vệ dữ liệu cá nhân. Bốn nguyên tắc áp dụng nếu mở rộng sang các tầng dữ liệu này:</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Tối thiểu hoá dữ liệu gửi vào mô hình ngôn ngữ: chỉ gửi giá trị chỉ số cần thiết cho việc tính toán (ví dụ eGFR), không gửi toàn bộ kết quả xét nghiệm dạng ảnh/PDF.</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Không lưu trữ dữ liệu thô từ thiết bị lâu hơn mức cần thiết cho mục đích tính toán — lưu giá trị đã tổng hợp theo ngày thay vì dữ liệu nhịp tim từng giây.</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Người dùng phải có khả năng xem, xuất, và yêu cầu xoá toàn bộ dữ liệu sinh trắc của mình — đúng tinh thần quyền của chủ thể dữ liệu trong Nghị định 13/2023/NĐ-CP.</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Với dữ liệu thật (không phải mô phỏng) ở giai đoạn thí điểm, việc thu thập Tầng 3–4 bắt buộc phải có sự đồng ý rõ ràng (informed consent) riêng biệt cho từng loại dữ liệu, không dùng một điều khoản đồng ý chung chung cho tất cả.</w:t>
      </w:r>
    </w:p>
    <w:p>
      <w:pPr>
        <w:spacing w:after="120"/>
      </w:pPr>
    </w:p>
    <w:p>
      <w:pPr>
        <w:pStyle w:val="Heading2"/>
        <w:spacing w:after="160" w:before="320"/>
      </w:pPr>
      <w:r>
        <w:rPr>
          <w:rFonts w:ascii="Calibri" w:cs="Calibri" w:eastAsia="Calibri" w:hAnsi="Calibri"/>
          <w:b/>
          <w:bCs/>
          <w:color w:val="2E5395"/>
          <w:sz w:val="26"/>
          <w:szCs w:val="26"/>
        </w:rPr>
        <w:t xml:space="preserve">2.6. Tổng kết chương — dữ liệu nào dùng cho phiên bản nào</w:t>
      </w:r>
    </w:p>
    <w:p>
      <w:pPr>
        <w:spacing w:after="160" w:line="300"/>
        <w:jc w:val="both"/>
      </w:pPr>
      <w:r>
        <w:rPr>
          <w:rFonts w:ascii="Calibri" w:cs="Calibri" w:eastAsia="Calibri" w:hAnsi="Calibri"/>
          <w:i w:val="false"/>
          <w:iCs w:val="false"/>
          <w:sz w:val="22"/>
          <w:szCs w:val="22"/>
        </w:rPr>
        <w:t xml:space="preserve">Bảng dưới đây trả lời trực tiếp câu hỏi thực dụng nhất: trong bốn tầng dữ liệu vừa trình bày, tầng nào nên đưa vào bản dựng đầu tiên, tầng nào để dành cho giai đoạn thí điểm có thiết bị và bệnh nhân thật. Cơ sở cho quyết định này được trình bày chi tiết bằng ma trận ưu tiên nghiên cứu ở Chương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Tầng dữ liệu</w:t>
            </w:r>
          </w:p>
        </w:tc>
        <w:tc>
          <w:tcPr>
            <w:tcW w:type="pct" w:w="28.00000000000000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V1 — Bản dựng 6 tuần (dữ liệu mô phỏng)</w:t>
            </w:r>
          </w:p>
        </w:tc>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V2 — Thí điểm thực tế</w:t>
            </w:r>
          </w:p>
        </w:tc>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V3 — Mở rộng</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Tầng 1 · Hồ sơ nền</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Bắt buộc, đầy đủ</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Giữ nguyên</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Giữ nguyên</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Tầng 2 · Nhân trắc tháng (vòng đo, InBody)</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phỏng, nhập tay qua form — chưa tích hợp máy đo</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Tích hợp nhập kết quả InBody thủ công tại phòng khám</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Cân nhắc tích hợp API máy InBody nếu nhà cung cấp hỗ trợ</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Tầng 3 · Cận lâm sàng (xét nghiệm, DEXA)</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phỏng, nhập tay</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Nhập tay kết quả xét nghiệm bởi chuyên gia</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Cân nhắc kết nối HIS/LIS nếu cơ sở y tế hỗ trợ chuẩn HL7/FHIR</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Tầng 4 · Wearable liên tục / CGM</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Ngoài phạm vi</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Thí điểm giới hạn với nhóm nhỏ tự nguyện có sẵn thiết bị</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Tích hợp chính thức qua HealthKit/Health Connect</w:t>
            </w:r>
          </w:p>
        </w:tc>
      </w:tr>
    </w:tbl>
    <w:p>
      <w:pPr>
        <w:spacing w:after="120"/>
      </w:pPr>
    </w:p>
    <w:tbl>
      <w:tblPr>
        <w:tblW w:type="pct" w:w="100%"/>
        <w:tblBorders>
          <w:top w:val="single" w:color="B03A2E" w:sz="4"/>
          <w:left w:val="single" w:color="B03A2E" w:sz="24"/>
          <w:bottom w:val="single" w:color="B03A2E" w:sz="4"/>
          <w:right w:val="single" w:color="B03A2E" w:sz="4"/>
          <w:insideH w:val="single" w:color="auto" w:sz="4"/>
          <w:insideV w:val="single" w:color="auto" w:sz="4"/>
        </w:tblBorders>
      </w:tblPr>
      <w:tblGrid>
        <w:gridCol w:w="100"/>
      </w:tblGrid>
      <w:tr>
        <w:tc>
          <w:tcPr>
            <w:shd w:fill="FBE4E2" w:val="clear"/>
            <w:tcMar>
              <w:top w:type="dxa" w:w="140"/>
              <w:left w:type="dxa" w:w="220"/>
              <w:bottom w:type="dxa" w:w="140"/>
              <w:right w:type="dxa" w:w="220"/>
            </w:tcMar>
          </w:tcPr>
          <w:p>
            <w:pPr>
              <w:spacing w:after="0"/>
              <w:jc w:val="both"/>
            </w:pPr>
            <w:r>
              <w:rPr>
                <w:rFonts w:ascii="Calibri" w:cs="Calibri" w:eastAsia="Calibri" w:hAnsi="Calibri"/>
                <w:b/>
                <w:bCs/>
                <w:color w:val="B03A2E"/>
                <w:sz w:val="21"/>
                <w:szCs w:val="21"/>
              </w:rPr>
              <w:t xml:space="preserve">Vì sao Tầng 4 bị loại khỏi V1:  </w:t>
            </w:r>
            <w:r>
              <w:rPr>
                <w:rFonts w:ascii="Calibri" w:cs="Calibri" w:eastAsia="Calibri" w:hAnsi="Calibri"/>
                <w:sz w:val="21"/>
                <w:szCs w:val="21"/>
              </w:rPr>
              <w:t xml:space="preserve"> với 4 người và 6 tuần, chi phí kỹ thuật để tích hợp dù chỉ một chuẩn wearable (xác thực OAuth, đồng bộ nền, xử lý dữ liệu thời gian thực) tương đương hoặc lớn hơn toàn bộ công sức xây dựng lõi lâm sàng — trong khi giá trị gia tăng cho đúng bốn nhóm bệnh mục tiêu chưa được kiểm chứng. Quyết định này được lượng hoá lại bằng ma trận ưu tiên ở Chương 3.</w:t>
            </w:r>
          </w:p>
        </w:tc>
      </w:tr>
    </w:tbl>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3. CÂU HỎI NGHIÊN CỨU VÀ LỰA CHỌN MỤC TIÊU PHÙ HỢP NGUỒN LỰC</w:t>
      </w:r>
    </w:p>
    <w:p>
      <w:pPr>
        <w:pStyle w:val="Heading2"/>
        <w:spacing w:after="160" w:before="320"/>
      </w:pPr>
      <w:r>
        <w:rPr>
          <w:rFonts w:ascii="Calibri" w:cs="Calibri" w:eastAsia="Calibri" w:hAnsi="Calibri"/>
          <w:b/>
          <w:bCs/>
          <w:color w:val="2E5395"/>
          <w:sz w:val="26"/>
          <w:szCs w:val="26"/>
        </w:rPr>
        <w:t xml:space="preserve">3.1. Danh sách câu hỏi nghiên cứu tiềm năng</w:t>
      </w:r>
    </w:p>
    <w:p>
      <w:pPr>
        <w:spacing w:after="160" w:line="300"/>
        <w:jc w:val="both"/>
      </w:pPr>
      <w:r>
        <w:rPr>
          <w:rFonts w:ascii="Calibri" w:cs="Calibri" w:eastAsia="Calibri" w:hAnsi="Calibri"/>
          <w:i w:val="false"/>
          <w:iCs w:val="false"/>
          <w:sz w:val="22"/>
          <w:szCs w:val="22"/>
        </w:rPr>
        <w:t xml:space="preserve">Từ bối cảnh (Chương 1) và bản đồ dữ liệu (Chương 2), tám câu hỏi nghiên cứu (RQ) được xác định là có giá trị khoa học/ứng dụng. Mỗi câu hỏi được mô tả kèm cách đo lường và dữ liệu cần thiết, để đánh giá tính khả thi ở mục 3.2 có cơ sở cụ thể chứ không phải cảm tính.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7.000000000000001%"/>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Mã</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Câu hỏi nghiên cứu</w:t>
            </w:r>
          </w:p>
        </w:tc>
        <w:tc>
          <w:tcPr>
            <w:tcW w:type="pct" w:w="33%"/>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Cách đo lường</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Dữ liệu cần</w:t>
            </w:r>
          </w:p>
        </w:tc>
      </w:tr>
      <w:tr>
        <w:tc>
          <w:tcPr>
            <w:tcW w:type="pct" w:w="7.0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RQ1</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Kiến trúc lai (LLM chọn món + hệ thống xác định tính số) có giảm sai lệch định lượng dinh dưỡng so với để LLM tự tính toán trực tiếp hay không, và giảm được bao nhiêu?</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tỷ lệ vi phạm ngưỡng và sai số tuyệt đối giữa hai kiến trúc trên cùng bộ hồ sơ mô phỏng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ca mô phỏng + bảng thành phần thực phẩm (Tầng tri thức nền)</w:t>
            </w:r>
          </w:p>
        </w:tc>
      </w:tr>
      <w:tr>
        <w:tc>
          <w:tcPr>
            <w:tcW w:type="pct" w:w="7.0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RQ2</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Chuyên gia dinh dưỡng phát hiện được những loại lỗi nào mà bộ kiểm tra tự động bỏ sót, với tần suất bao nhiêu?</w:t>
            </w:r>
          </w:p>
        </w:tc>
        <w:tc>
          <w:tcPr>
            <w:tcW w:type="pct" w:w="3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Phân loại lỗi bị chuyên gia phát hiện nhưng validator không bắt được; tỷ lệ thực đơn bị sửa/từ chối</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Log duyệt của chuyên gia trên bộ ca mô phỏng</w:t>
            </w:r>
          </w:p>
        </w:tc>
      </w:tr>
      <w:tr>
        <w:tc>
          <w:tcPr>
            <w:tcW w:type="pct" w:w="7.0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RQ3</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Bổ sung dữ liệu nhân trắc định kỳ (Tầng 2: vòng đo, InBody) có cải thiện độ chính xác cá thể hoá định mức năng lượng/đạm so với chỉ dùng cân nặng–chiều cao tĩnh hay không?</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định mức tính từ hồ sơ tĩnh với định mức tính có thêm khối cơ/khối mỡ, trên cùng bộ ca mô phỏng có kịch bản thay đổi cân nặng theo tháng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Hồ sơ Tầng 1 + Tầng 2 (mô phỏng)</w:t>
            </w:r>
          </w:p>
        </w:tc>
      </w:tr>
      <w:tr>
        <w:tc>
          <w:tcPr>
            <w:tcW w:type="pct" w:w="7.0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RQ4</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wearable liên tục (bước chân, nhịp tim) có thể dùng để hiệu chỉnh động hệ số hoạt động thể lực trong công thức TDEE, thay vì để bệnh nhân tự khai một mức cố định?</w:t>
            </w:r>
          </w:p>
        </w:tc>
        <w:tc>
          <w:tcPr>
            <w:tcW w:type="pct" w:w="3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độ lệch giữa hệ số tự khai và hệ số suy ra từ dữ liệu hoạt động thực tế (nếu có access tới dữ liệu thật hoặc tập dữ liệu công khai tương tự)</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Tầng 4 — hiện chưa có nguồn thật, cần dữ liệu công khai thay thế hoặc thí điểm thật</w:t>
            </w:r>
          </w:p>
        </w:tc>
      </w:tr>
      <w:tr>
        <w:tc>
          <w:tcPr>
            <w:tcW w:type="pct" w:w="7.0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RQ5</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quy tắc tương tác thuốc–thực phẩm dạng curated (không dùng toàn bộ cơ sở dữ liệu tương tác thương mại) phát hiện đúng bao nhiêu phần trăm trường hợp so với chuẩn tham chiếu?</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Độ nhạy (recall) và độ chính xác (precision) trên bộ ca red-team có kịch bản tương tác đã biết trước</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ca mô phỏng có gắn nhãn tương tác thuốc–thực phẩm chuẩn</w:t>
            </w:r>
          </w:p>
        </w:tc>
      </w:tr>
      <w:tr>
        <w:tc>
          <w:tcPr>
            <w:tcW w:type="pct" w:w="7.0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RQ6</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Việc phân rã "mâm cơm chung" bằng mô hình ngôn ngữ đạt độ chính xác nào so với ước lượng thủ công của chuyên gia dinh dưỡng?</w:t>
            </w:r>
          </w:p>
        </w:tc>
        <w:tc>
          <w:tcPr>
            <w:tcW w:type="pct" w:w="3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khối lượng nguyên liệu do hệ thống ước tính với ước tính của chuyên gia trên cùng mô tả mâm cơm</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tả mâm cơm dạng văn bản/kịch bản mô phỏng + đối chiếu chuyên gia</w:t>
            </w:r>
          </w:p>
        </w:tc>
      </w:tr>
      <w:tr>
        <w:tc>
          <w:tcPr>
            <w:tcW w:type="pct" w:w="7.0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RQ7</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Sử dụng hệ thống trong một khoảng thời gian đủ dài có cải thiện chỉ số lâm sàng (HbA1c, huyết áp, eGFR) so với chăm sóc thông thường không có công cụ hỗ trợ?</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Thiết kế can thiệp có đối chứng (quasi-experimental hoặc RCT), đo chỉ số trước–sau ở cả hai nhóm</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bệnh nhân thật, theo dõi nhiều tháng, cần phê duyệt hội đồng đạo đức</w:t>
            </w:r>
          </w:p>
        </w:tc>
      </w:tr>
      <w:tr>
        <w:tc>
          <w:tcPr>
            <w:tcW w:type="pct" w:w="7.0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RQ8</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Nhắc nhở dựa trên dữ liệu nhật ký ăn uống/wearable có cải thiện mức độ tuân thủ thực đơn khuyến nghị so với không có nhắc nhở?</w:t>
            </w:r>
          </w:p>
        </w:tc>
        <w:tc>
          <w:tcPr>
            <w:tcW w:type="pct" w:w="3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tỷ lệ tuân thủ giữa nhóm có và không có cơ chế nhắc nhở, trên cùng khoảng thời gian theo dõi</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thật, theo dõi hành vi nhiều tuần, cần bệnh nhân thật</w:t>
            </w:r>
          </w:p>
        </w:tc>
      </w:tr>
      <w:tr>
        <w:tc>
          <w:tcPr>
            <w:tcW w:type="pct" w:w="7.0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RQ9</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Khi bổ sung ràng buộc ngân sách vào bài toán sinh thực đơn, tỉ lệ thực đơn vừa đạt ngưỡng lâm sàng vừa nằm trong ngân sách là bao nhiêu, và mức ngân sách tối thiểu để còn tồn tại lời giải khả thi cho từng nhóm bệnh là bao nhiêu?</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Chạy bộ ca mô phỏng ở nhiều mức ngân sách khác nhau, đo tỉ lệ có lời giải và xác định ngưỡng ngân sách tới hạn</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thực phẩm có thêm cột giá (ghi rõ ngày và nguồn giá) + bộ ca mô phỏng</w:t>
            </w:r>
          </w:p>
        </w:tc>
      </w:tr>
    </w:tbl>
    <w:p>
      <w:pPr>
        <w:spacing w:after="120"/>
      </w:pPr>
    </w:p>
    <w:p>
      <w:pPr>
        <w:pStyle w:val="Heading2"/>
        <w:spacing w:after="160" w:before="320"/>
      </w:pPr>
      <w:r>
        <w:rPr>
          <w:rFonts w:ascii="Calibri" w:cs="Calibri" w:eastAsia="Calibri" w:hAnsi="Calibri"/>
          <w:b/>
          <w:bCs/>
          <w:color w:val="2E5395"/>
          <w:sz w:val="26"/>
          <w:szCs w:val="26"/>
        </w:rPr>
        <w:t xml:space="preserve">3.2. Đánh giá tính khả thi — ma trận ưu tiên</w:t>
      </w:r>
    </w:p>
    <w:p>
      <w:pPr>
        <w:spacing w:after="160" w:line="300"/>
        <w:jc w:val="both"/>
      </w:pPr>
      <w:r>
        <w:rPr>
          <w:rFonts w:ascii="Calibri" w:cs="Calibri" w:eastAsia="Calibri" w:hAnsi="Calibri"/>
          <w:i w:val="false"/>
          <w:iCs w:val="false"/>
          <w:sz w:val="22"/>
          <w:szCs w:val="22"/>
        </w:rPr>
        <w:t xml:space="preserve">Mỗi câu hỏi nghiên cứu được chấm điểm trên hai trục: (1) tính khả thi trong khuôn khổ 6 tuần với đội 4 người và dữ liệu mô phỏng, và (2) tác động/giá trị nghiên cứu nếu trả lời được. Điểm số là đánh giá định tính có căn cứ (dựa trên độ phức tạp kỹ thuật, sự sẵn có của dữ liệu, và mức độ cần thiết bệnh nhân/thiết bị thật), không phải phép đo chính xác tuyệt đối — mục đích là hỗ trợ ra quyết định phạm vi, không phải xếp hạng khoa học.</w:t>
      </w:r>
    </w:p>
    <w:p>
      <w:pPr>
        <w:spacing w:after="80" w:before="160"/>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86125"/>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Hình 3.1 — Ma trận ưu tiên tám câu hỏi nghiên cứu</w:t>
      </w:r>
    </w:p>
    <w:p>
      <w:pPr>
        <w:spacing w:after="160" w:line="300"/>
        <w:jc w:val="both"/>
      </w:pPr>
      <w:r>
        <w:rPr>
          <w:rFonts w:ascii="Calibri" w:cs="Calibri" w:eastAsia="Calibri" w:hAnsi="Calibri"/>
          <w:i w:val="false"/>
          <w:iCs w:val="false"/>
          <w:sz w:val="22"/>
          <w:szCs w:val="22"/>
        </w:rPr>
        <w:t xml:space="preserve">Bốn nhận xét rút ra từ ma trận:</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RQ9 (ràng buộc chi phí) là bổ sung mới, khả thi trung bình–cao: không cần bệnh nhân thật hay thiết bị, chỉ cần thêm cột giá vào bảng thực phẩm và một ràng buộc trong bộ kiểm tra. Giá trị đặc biệt vì kết quả có ý nghĩa chính sách thật — mức ngân sách tối thiểu để ăn đúng bệnh. Rủi ro cần nêu rõ: giá thực phẩm biến động theo mùa và theo chợ, nên không được trình bày con số chi phí như giá trị chính xác mà phải ghi rõ ngày lấy giá và nguồn.</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RQ1, RQ2, RQ5 nằm ở góc phần tư "khả thi cao – tác động cao" — đây là ba câu hỏi có thể trả lời hoàn toàn bằng dữ liệu mô phỏng và không phụ thuộc thiết bị hay bệnh nhân thật, đồng thời giải quyết đúng ràng buộc bắt buộc của đề bài (chống bịa số liệu, HITL bắt buộc, cảnh báo tương tác thuốc–thực phẩm).</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RQ6 khả thi ở mức trung bình — cần thêm công sức chuẩn bị bộ ca đối chiếu chuyên gia, nhưng không cần dữ liệu hay thiết bị nằm ngoài khả năng của đội. Phù hợp làm mục tiêu "nếu dư thời gian".</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RQ3 khả thi trung bình–thấp trong 6 tuần: có thể mô phỏng được (tạo kịch bản thay đổi cân nặng/InBody theo tháng), nhưng giá trị khoa học đầy đủ chỉ thể hiện rõ khi có dữ liệu InBody thật theo dõi nhiều tháng — nên chỉ làm được ở mức "minh hoạ khái niệm" (proof of concept) trong phạm vi hiện tại, không phải kết luận nghiên cứu đầy đủ.</w:t>
      </w:r>
    </w:p>
    <w:p>
      <w:pPr>
        <w:spacing w:after="100" w:line="290"/>
        <w:ind w:left="460" w:hanging="300"/>
        <w:jc w:val="both"/>
      </w:pPr>
      <w:r>
        <w:rPr>
          <w:rFonts w:ascii="Calibri" w:cs="Calibri" w:eastAsia="Calibri" w:hAnsi="Calibri"/>
          <w:sz w:val="22"/>
          <w:szCs w:val="22"/>
        </w:rPr>
        <w:t xml:space="preserve">5. </w:t>
      </w:r>
      <w:r>
        <w:rPr>
          <w:rFonts w:ascii="Calibri" w:cs="Calibri" w:eastAsia="Calibri" w:hAnsi="Calibri"/>
          <w:sz w:val="22"/>
          <w:szCs w:val="22"/>
        </w:rPr>
        <w:t xml:space="preserve">RQ4, RQ7, RQ8 đòi hỏi dữ liệu thật (wearable, bệnh nhân theo dõi dài hạn) hoặc thiết kế nghiên cứu can thiệp có đối chứng — vượt quá khuôn khổ 6 tuần và nguồn lực 4 người theo bất kỳ cách tổ chức nào. RQ7 đặc biệt đòi hỏi phê duyệt hội đồng đạo đức, là loại nghiên cứu lâm sàng thực thụ chứ không phải dự án xây dựng sản phẩm.</w:t>
      </w:r>
    </w:p>
    <w:p>
      <w:pPr>
        <w:spacing w:after="120"/>
      </w:pPr>
    </w:p>
    <w:p>
      <w:pPr>
        <w:pStyle w:val="Heading2"/>
        <w:spacing w:after="160" w:before="320"/>
      </w:pPr>
      <w:r>
        <w:rPr>
          <w:rFonts w:ascii="Calibri" w:cs="Calibri" w:eastAsia="Calibri" w:hAnsi="Calibri"/>
          <w:b/>
          <w:bCs/>
          <w:color w:val="2E5395"/>
          <w:sz w:val="26"/>
          <w:szCs w:val="26"/>
        </w:rPr>
        <w:t xml:space="preserve">3.3. Quyết định phạm vi — chọn mục tiêu cho v1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Nhóm</w:t>
            </w:r>
          </w:p>
        </w:tc>
        <w:tc>
          <w:tcPr>
            <w:tcW w:type="pct" w:w="1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Câu hỏi</w:t>
            </w:r>
          </w:p>
        </w:tc>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Quyết định</w:t>
            </w:r>
          </w:p>
        </w:tc>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Lý do</w:t>
            </w:r>
          </w:p>
        </w:tc>
      </w:tr>
      <w:tr>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Mục tiêu chính (bắt buộc hoàn thành)</w:t>
            </w:r>
          </w:p>
        </w:tc>
        <w:tc>
          <w:tcPr>
            <w:tcW w:type="pct" w:w="1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RQ1, RQ2, RQ5</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Đưa vào phạm vi v1, có bộ đánh giá định lượng riêng cho từng câu hỏi</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Khả thi cao, tác động cao, đúng trọng tâm ràng buộc bắt buộc của đề bài, không phụ thuộc dữ liệu/thiết bị ngoài tầm với</w:t>
            </w:r>
          </w:p>
        </w:tc>
      </w:tr>
      <w:tr>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Mục tiêu mở rộng (làm nếu còn thời gian)</w:t>
            </w:r>
          </w:p>
        </w:tc>
        <w:tc>
          <w:tcPr>
            <w:tcW w:type="pct" w:w="1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RQ6, RQ9</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Xây dựng tính năng phân rã mâm cơm ở mức cơ bản, có đối chiếu chuyên gia trên một số lượng ca hạn chế</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Là điểm khác biệt sản phẩm quan trọng, nhưng không bắt buộc để chứng minh luận điểm chính (an toàn lâm sàng)</w:t>
            </w:r>
          </w:p>
        </w:tc>
      </w:tr>
      <w:tr>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Minh hoạ khái niệm (không phải kết luận nghiên cứu đầy đủ)</w:t>
            </w:r>
          </w:p>
        </w:tc>
        <w:tc>
          <w:tcPr>
            <w:tcW w:type="pct" w:w="1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RQ3</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Xây dựng khả năng tiếp nhận dữ liệu Tầng 2 (form nhập tay), minh hoạ được nguyên tắc cá thể hoá sâu hơn qua một số kịch bản mô phỏng, không công bố như một kết quả nghiên cứu đã kiểm chứng</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giá trị minh hoạ hướng phát triển, nhưng kết luận đầy đủ đòi hỏi dữ liệu theo dõi dài hạn ngoài khả năng 6 tuần</w:t>
            </w:r>
          </w:p>
        </w:tc>
      </w:tr>
      <w:tr>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Hướng nghiên cứu tiếp theo (ngoài phạm vi, không thực hiện ở giai đoạn này)</w:t>
            </w:r>
          </w:p>
        </w:tc>
        <w:tc>
          <w:tcPr>
            <w:tcW w:type="pct" w:w="1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RQ4, RQ7, RQ8</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Ghi nhận vào lộ trình mở rộng, không đưa vào kế hoạch công việc hay tiêu chí đánh giá của giai đoạn hiện tại</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Cần dữ liệu thật, thời gian theo dõi dài hạn, và ở RQ7 là quy trình phê duyệt đạo đức mà một dự án xây dựng sản phẩm trong 6 tuần không có điều kiện thực hiện</w:t>
            </w:r>
          </w:p>
        </w:tc>
      </w:tr>
    </w:tbl>
    <w:p>
      <w:pPr>
        <w:spacing w:after="120"/>
      </w:pP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Nguyên tắc chọn mục tiêu:  </w:t>
            </w:r>
            <w:r>
              <w:rPr>
                <w:rFonts w:ascii="Calibri" w:cs="Calibri" w:eastAsia="Calibri" w:hAnsi="Calibri"/>
                <w:sz w:val="21"/>
                <w:szCs w:val="21"/>
              </w:rPr>
              <w:t xml:space="preserve"> một câu hỏi nghiên cứu chỉ được đưa vào phạm vi chính khi trả lời được đồng thời ba điều kiện — (a) đo được bằng dữ liệu mô phỏng sẵn có hoặc tạo ra được trong 6 tuần, (b) không phụ thuộc thiết bị phần cứng hay bệnh nhân thật, và (c) kết quả trả lời trực tiếp cho một ràng buộc bắt buộc của đề bài. RQ1/RQ2/RQ5 là ba câu hỏi duy nhất thoả cả ba điều kiện.</w:t>
            </w:r>
          </w:p>
        </w:tc>
      </w:tr>
    </w:tbl>
    <w:p>
      <w:pPr>
        <w:spacing w:after="120"/>
      </w:pPr>
    </w:p>
    <w:p>
      <w:pPr>
        <w:pStyle w:val="Heading2"/>
        <w:spacing w:after="160" w:before="320"/>
      </w:pPr>
      <w:r>
        <w:rPr>
          <w:rFonts w:ascii="Calibri" w:cs="Calibri" w:eastAsia="Calibri" w:hAnsi="Calibri"/>
          <w:b/>
          <w:bCs/>
          <w:color w:val="2E5395"/>
          <w:sz w:val="26"/>
          <w:szCs w:val="26"/>
        </w:rPr>
        <w:t xml:space="preserve">3.4. Chỉ số thành công gắn với từng mục tiêu đã chọn</w:t>
      </w:r>
    </w:p>
    <w:p>
      <w:pPr>
        <w:spacing w:after="160" w:line="300"/>
        <w:jc w:val="both"/>
      </w:pPr>
      <w:r>
        <w:rPr>
          <w:rFonts w:ascii="Calibri" w:cs="Calibri" w:eastAsia="Calibri" w:hAnsi="Calibri"/>
          <w:i w:val="false"/>
          <w:iCs w:val="false"/>
          <w:sz w:val="22"/>
          <w:szCs w:val="22"/>
        </w:rPr>
        <w:t xml:space="preserve">Mỗi câu hỏi nghiên cứu trong phạm vi chính (RQ1, RQ2, RQ5) và mở rộng (RQ6) đều cần một chỉ số đo được cụ thể — nếu không, câu hỏi nghiên cứu chỉ dừng ở mức khẩu hiệu. Bảng dưới đây là bộ chỉ số dùng làm bằng chứng đánh giá cuối kỳ.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RQ</w:t>
            </w:r>
          </w:p>
        </w:tc>
        <w:tc>
          <w:tcPr>
            <w:tcW w:type="pct" w:w="3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Chỉ số</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Mục tiêu định lượng</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Cách đo</w:t>
            </w:r>
          </w:p>
        </w:tc>
      </w:tr>
      <w:tr>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RQ1</w:t>
            </w:r>
          </w:p>
        </w:tc>
        <w:tc>
          <w:tcPr>
            <w:tcW w:type="pct" w:w="3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Tỷ lệ giá trị dinh dưỡng hiển thị có truy vết được nguồn dữ liệu gốc</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100%</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Kiểm tra tự động trên toàn bộ log sinh thực đơn</w:t>
            </w:r>
          </w:p>
        </w:tc>
      </w:tr>
      <w:tr>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RQ1</w:t>
            </w:r>
          </w:p>
        </w:tc>
        <w:tc>
          <w:tcPr>
            <w:tcW w:type="pct" w:w="3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Tỷ lệ thực đơn đạt ngưỡng lâm sàng ngay lần sinh đầu tiên / sau tối đa 3 lần sinh lại</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≥70% / ≥95%</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Chạy trên bộ ca mô phỏng chuẩn hoá</w:t>
            </w:r>
          </w:p>
        </w:tc>
      </w:tr>
      <w:tr>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RQ2</w:t>
            </w:r>
          </w:p>
        </w:tc>
        <w:tc>
          <w:tcPr>
            <w:tcW w:type="pct" w:w="3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Tỷ lệ thực đơn được chuyên gia phê duyệt không sửa hoặc chỉ sửa nhẹ (dưới 10% khối lượng)</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≥70%</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Đối chiếu log duyệt với bản nháp ban đầu</w:t>
            </w:r>
          </w:p>
        </w:tc>
      </w:tr>
      <w:tr>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RQ2</w:t>
            </w:r>
          </w:p>
        </w:tc>
        <w:tc>
          <w:tcPr>
            <w:tcW w:type="pct" w:w="3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Thời gian trung bình để chuyên gia hoàn tất một lượt duyệt</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 phút</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Đo trực tiếp trên giao diện duyệt</w:t>
            </w:r>
          </w:p>
        </w:tc>
      </w:tr>
      <w:tr>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RQ5</w:t>
            </w:r>
          </w:p>
        </w:tc>
        <w:tc>
          <w:tcPr>
            <w:tcW w:type="pct" w:w="3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Độ nhạy phát hiện tương tác thuốc–thực phẩm mức độ nghiêm trọng cao</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≥90%</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ca red-team có gắn nhãn trước</w:t>
            </w:r>
          </w:p>
        </w:tc>
      </w:tr>
      <w:tr>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RQ6 (mở rộng)</w:t>
            </w:r>
          </w:p>
        </w:tc>
        <w:tc>
          <w:tcPr>
            <w:tcW w:type="pct" w:w="3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Mức độ lệch khối lượng nguyên liệu ước tính so với ước lượng chuyên gia</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Trong khoảng chấp nhận được do chuyên gia xác nhận</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trên tối thiểu 5 kịch bản mâm cơm mẫu</w:t>
            </w:r>
          </w:p>
        </w:tc>
      </w:tr>
    </w:tbl>
    <w:p>
      <w:pPr>
        <w:spacing w:after="120"/>
      </w:pPr>
    </w:p>
    <w:p>
      <w:pPr>
        <w:pStyle w:val="Heading2"/>
        <w:spacing w:after="160" w:before="320"/>
      </w:pPr>
      <w:r>
        <w:rPr>
          <w:rFonts w:ascii="Calibri" w:cs="Calibri" w:eastAsia="Calibri" w:hAnsi="Calibri"/>
          <w:b/>
          <w:bCs/>
          <w:color w:val="2E5395"/>
          <w:sz w:val="26"/>
          <w:szCs w:val="26"/>
        </w:rPr>
        <w:t xml:space="preserve">3.5. Lộ trình mở rộng dữ liệu và câu hỏi nghiên cứu theo giai đoạn</w:t>
      </w:r>
    </w:p>
    <w:p>
      <w:pPr>
        <w:spacing w:after="160" w:line="300"/>
        <w:jc w:val="both"/>
      </w:pPr>
      <w:r>
        <w:rPr>
          <w:rFonts w:ascii="Calibri" w:cs="Calibri" w:eastAsia="Calibri" w:hAnsi="Calibri"/>
          <w:i w:val="false"/>
          <w:iCs w:val="false"/>
          <w:sz w:val="22"/>
          <w:szCs w:val="22"/>
        </w:rPr>
        <w:t xml:space="preserve">Chương 2 đã trình bày lộ trình dữ liệu theo ba giai đoạn (V1/V2/V3). Bảng dưới đây khớp nối lộ trình đó với các câu hỏi nghiên cứu tương ứng, để toàn bộ tài liệu nhất quán từ dữ liệu đầu vào tới câu hỏi nghiên cứu có thể trả lời ở mỗi giai đoạn.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Giai đoạn</w:t>
            </w:r>
          </w:p>
        </w:tc>
        <w:tc>
          <w:tcPr>
            <w:tcW w:type="pct" w:w="28.00000000000000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Dữ liệu chủ yếu</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Câu hỏi nghiên cứu có thể trả lời</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Điều kiện tiên quyết</w:t>
            </w:r>
          </w:p>
        </w:tc>
      </w:tr>
      <w:tr>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V1 — Bản dựng (6 tuần)</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Tầng 1 đầy đủ; Tầng 2–3 mô phỏng qua form nhập tay</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RQ1, RQ2, RQ5 (đầy đủ); RQ6 (mở rộng); RQ3 (mức minh hoạ khái niệm)</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cần — dữ liệu 100% mô phỏng</w:t>
            </w:r>
          </w:p>
        </w:tc>
      </w:tr>
      <w:tr>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V2 — Thí điểm thực tế</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Tầng 1–3 với bệnh nhân thật tại một đơn vị y tế, Tầng 4 thí điểm giới hạn</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RQ3 (đầy đủ); bắt đầu thu thập dữ liệu nền cho RQ4, RQ8</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Phê duyệt hội đồng đạo đức, hợp tác với cơ sở y tế, sự đồng ý của bệnh nhân</w:t>
            </w:r>
          </w:p>
        </w:tc>
      </w:tr>
      <w:tr>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V3 — Mở rộng / nghiên cứu outcome</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Đầy đủ bốn tầng, theo dõi dài hạn nhiều tháng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RQ4, RQ7, RQ8</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Thiết kế nghiên cứu can thiệp có đối chứng, nguồn lực và thời gian vượt xa khuôn khổ dự án xây dựng sản phẩm ban đầu</w:t>
            </w:r>
          </w:p>
        </w:tc>
      </w:tr>
    </w:tbl>
    <w:p>
      <w:pPr>
        <w:spacing w:after="120"/>
      </w:pPr>
    </w:p>
    <w:p>
      <w:pPr>
        <w:spacing w:after="160" w:line="300"/>
        <w:jc w:val="both"/>
      </w:pPr>
      <w:r>
        <w:rPr>
          <w:rFonts w:ascii="Calibri" w:cs="Calibri" w:eastAsia="Calibri" w:hAnsi="Calibri"/>
          <w:i w:val="false"/>
          <w:iCs w:val="false"/>
          <w:sz w:val="22"/>
          <w:szCs w:val="22"/>
        </w:rPr>
        <w:t xml:space="preserve">Việc trình bày rõ lộ trình ba giai đoạn có hai tác dụng: (1) giúp dự án tránh cam kết quá mức trong 6 tuần — một rủi ro phổ biến của các dự án AI y tế khi cố gắng chứng minh giá trị lâm sàng dài hạn bằng một bản dựng ngắn hạn; và (2) cung cấp một hướng phát triển rõ ràng cho các bên liên quan (nhà đầu tư, đơn vị y tế hợp tác, hội đồng đánh giá) thấy được dự án hiểu đúng ranh giới giữa "xây dựng sản phẩm an toàn" và "chứng minh hiệu quả lâm sàng" — hai việc khác nhau về bản chất và không thể làm đồng thời trong cùng một giai đoạn nguồn lực hạn chế.</w:t>
      </w:r>
    </w:p>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4. BẰNG CHỨNG NGHIÊN CỨU CHO CÁC LUẬN ĐIỂM CHÍNH</w:t>
      </w:r>
    </w:p>
    <w:p>
      <w:pPr>
        <w:spacing w:after="160" w:line="300"/>
        <w:jc w:val="both"/>
      </w:pPr>
      <w:r>
        <w:rPr>
          <w:rFonts w:ascii="Calibri" w:cs="Calibri" w:eastAsia="Calibri" w:hAnsi="Calibri"/>
          <w:i w:val="false"/>
          <w:iCs w:val="false"/>
          <w:sz w:val="22"/>
          <w:szCs w:val="22"/>
        </w:rPr>
        <w:t xml:space="preserve">Chương này tập hợp bằng chứng có nguồn cho từng luận điểm và câu hỏi nghiên cứu đã nêu ở Chương 1 và Chương 3. Nguyên tắc rà soát: ưu tiên nguồn công bố trong giai đoạn 2025–2026; nguồn cũ hơn chỉ giữ lại khi vẫn là chuẩn hiện hành hoặc chưa có bản thay thế.</w:t>
      </w:r>
    </w:p>
    <w:p>
      <w:pPr>
        <w:pStyle w:val="Heading2"/>
        <w:spacing w:after="160" w:before="320"/>
      </w:pPr>
      <w:r>
        <w:rPr>
          <w:rFonts w:ascii="Calibri" w:cs="Calibri" w:eastAsia="Calibri" w:hAnsi="Calibri"/>
          <w:b/>
          <w:bCs/>
          <w:color w:val="2E5395"/>
          <w:sz w:val="26"/>
          <w:szCs w:val="26"/>
        </w:rPr>
        <w:t xml:space="preserve">4.1. Vì sao mô hình ngôn ngữ không được tự sinh con số dinh dưỡng</w:t>
      </w:r>
    </w:p>
    <w:p>
      <w:pPr>
        <w:spacing w:after="160" w:line="300"/>
        <w:jc w:val="both"/>
      </w:pPr>
      <w:r>
        <w:rPr>
          <w:rFonts w:ascii="Calibri" w:cs="Calibri" w:eastAsia="Calibri" w:hAnsi="Calibri"/>
          <w:i w:val="false"/>
          <w:iCs w:val="false"/>
          <w:sz w:val="22"/>
          <w:szCs w:val="22"/>
        </w:rPr>
        <w:t xml:space="preserve">Đây là luận điểm nền tảng của toàn bộ kiến trúc. Nếu luận điểm này sai, thiết kế tách bạch "mô hình chọn món — hệ thống xác định tính số" trở nên thừa. Bảng dưới đây tổng hợp bằng chứng định lượng từ các nghiên cứu độc lập.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Bằng chứng</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Con số</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Nguồn</w:t>
            </w:r>
          </w:p>
        </w:tc>
        <w:tc>
          <w:tcPr>
            <w:tcW w:type="pct" w:w="14.00000000000000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Năm</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Hệ thống dựa trên tri thức cho kế hoạch chính xác hơn mô hình ngôn ngữ thuần; hiệu năng mô hình cải thiện rõ rệt khi được cung cấp sẵn mục tiêu năng lượng</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so sánh đối đầu trên hồ sơ bệnh không lây nhiễm</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Frontiers in Nutrition, doi:10.3389/fnut.2026.1894893</w:t>
            </w:r>
          </w:p>
        </w:tc>
        <w:tc>
          <w:tcPr>
            <w:tcW w:type="pct" w:w="14.00000000000000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7/2026</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ngôn ngữ lập thực đơn cho đái tháo đường týp 2: nhiều mô hình cho tổng năng lượng thấp hơn có ý nghĩa thống kê so với thực đơn chuẩn do chuyên gia dinh dưỡng soạn</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 &lt; 0,05</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Healthcare, doi:10.3390/healthcare14060739</w:t>
            </w:r>
          </w:p>
        </w:tc>
        <w:tc>
          <w:tcPr>
            <w:tcW w:type="pct" w:w="14.00000000000000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2026</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Cùng nghiên cứu trên: hầu hết mô hình cho thực đơn có lượng chất xơ thấp hơn thực đơn chuẩn</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như trên</w:t>
            </w:r>
          </w:p>
        </w:tc>
        <w:tc>
          <w:tcPr>
            <w:tcW w:type="pct" w:w="14.00000000000000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2026</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Ứng dụng truy xuất tăng cường (RAG) trong thận học giảm đáng kể hiện tượng bịa thông tin khi trả lời câu hỏi phức tạp về chế độ ăn cho bệnh thận</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Miao và cộng sự, dẫn lại trong Frontiers in AI 2026</w:t>
            </w:r>
          </w:p>
        </w:tc>
        <w:tc>
          <w:tcPr>
            <w:tcW w:type="pct" w:w="14.00000000000000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2024</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Truy xuất dữ liệu có cấu trúc cải thiện độ chính xác so với mô hình ngôn ngữ thông thường</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Zhou và cộng sự (NutriRAG), dẫn lại trong Frontiers in AI 2026</w:t>
            </w:r>
          </w:p>
        </w:tc>
        <w:tc>
          <w:tcPr>
            <w:tcW w:type="pct" w:w="14.00000000000000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2026</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ngôn ngữ còn hạn chế ở dinh dưỡng điều trị bệnh mạn tính, ở phép tính dinh dưỡng, và ở độ chính xác khi làm việc bằng ngôn ngữ khác tiếng Anh</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Journal of Medical Internet Research 2025;1:e78625</w:t>
            </w:r>
          </w:p>
        </w:tc>
        <w:tc>
          <w:tcPr>
            <w:tcW w:type="pct" w:w="14.00000000000000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2025</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ngôn ngữ ước tính dinh dưỡng từ ảnh món ăn: sai số phần trăm tuyệt đối trung bình cho năng lượng</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ChatGPT-4o 35,8% · Claude 3.5 Sonnet 35,8% · Gemini 1.5 Pro 64,2–109,9%</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Current Developments in Nutrition, PMID 41081011</w:t>
            </w:r>
          </w:p>
        </w:tc>
        <w:tc>
          <w:tcPr>
            <w:tcW w:type="pct" w:w="14.00000000000000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2025</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Hướng sai lệch: mọi mô hình đều ước tính THẤP hơn thực tế, và sai lệch tăng dần theo kích thước khẩu phần</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độ dốc bias –0,23 đến –0,50</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như trên</w:t>
            </w:r>
          </w:p>
        </w:tc>
        <w:tc>
          <w:tcPr>
            <w:tcW w:type="pct" w:w="14.00000000000000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2025</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thị giác chuyên dụng tốt nhất (không phải mô hình ngôn ngữ)</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MAE 41,3 kcal / MAPE 16,5%</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Nutrition5k, CVPR</w:t>
            </w:r>
          </w:p>
        </w:tc>
        <w:tc>
          <w:tcPr>
            <w:tcW w:type="pct" w:w="14.00000000000000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2021</w:t>
            </w:r>
          </w:p>
        </w:tc>
      </w:tr>
    </w:tbl>
    <w:p>
      <w:pPr>
        <w:spacing w:after="12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DCE6F5" w:val="clear"/>
            <w:tcMar>
              <w:top w:type="dxa" w:w="140"/>
              <w:left w:type="dxa" w:w="220"/>
              <w:bottom w:type="dxa" w:w="140"/>
              <w:right w:type="dxa" w:w="220"/>
            </w:tcMar>
          </w:tcPr>
          <w:p>
            <w:pPr>
              <w:spacing w:after="0"/>
              <w:jc w:val="both"/>
            </w:pPr>
            <w:r>
              <w:rPr>
                <w:rFonts w:ascii="Calibri" w:cs="Calibri" w:eastAsia="Calibri" w:hAnsi="Calibri"/>
                <w:b/>
                <w:bCs/>
                <w:color w:val="1F3864"/>
                <w:sz w:val="21"/>
                <w:szCs w:val="21"/>
              </w:rPr>
              <w:t xml:space="preserve">Kết luận định lượng:  </w:t>
            </w:r>
            <w:r>
              <w:rPr>
                <w:rFonts w:ascii="Calibri" w:cs="Calibri" w:eastAsia="Calibri" w:hAnsi="Calibri"/>
                <w:sz w:val="21"/>
                <w:szCs w:val="21"/>
              </w:rPr>
              <w:t xml:space="preserve"> ngưỡng lâm sàng mà dự án đặt ra là ±10% năng lượng. Mô hình thị giác chuyên dụng tốt nhất đạt sai số 16,5%; mô hình ngôn ngữ đa phương thức đạt khoảng 36%. Không mô hình nào hiện đủ chính xác để tự sinh con số dinh dưỡng cho bệnh nhân mãn tính. Đây không phải nhận định của nhóm dự án mà là số đo đã công bố.</w:t>
            </w:r>
          </w:p>
        </w:tc>
      </w:tr>
    </w:tbl>
    <w:p>
      <w:pPr>
        <w:spacing w:after="120"/>
      </w:pPr>
    </w:p>
    <w:p>
      <w:pPr>
        <w:spacing w:after="160" w:line="300"/>
        <w:jc w:val="both"/>
      </w:pPr>
      <w:r>
        <w:rPr>
          <w:rFonts w:ascii="Calibri" w:cs="Calibri" w:eastAsia="Calibri" w:hAnsi="Calibri"/>
          <w:i w:val="false"/>
          <w:iCs w:val="false"/>
          <w:sz w:val="22"/>
          <w:szCs w:val="22"/>
        </w:rPr>
        <w:t xml:space="preserve">Một chi tiết đáng lưu ý về mặt an toàn: hướng sai lệch của các mô hình là ước tính thấp hơn thực tế, và mức lệch tăng theo kích thước khẩu phần. Với bệnh nhân suy thận cần hạn chế đạm, đây là hướng nguy hiểm nhất — hệ thống báo an toàn trong khi bệnh nhân đã vượt ngưỡng.</w:t>
      </w:r>
    </w:p>
    <w:p>
      <w:pPr>
        <w:pStyle w:val="Heading3"/>
        <w:spacing w:after="120" w:before="220"/>
      </w:pPr>
      <w:r>
        <w:rPr>
          <w:rFonts w:ascii="Calibri" w:cs="Calibri" w:eastAsia="Calibri" w:hAnsi="Calibri"/>
          <w:b/>
          <w:bCs/>
          <w:color w:val="595959"/>
          <w:sz w:val="23"/>
          <w:szCs w:val="23"/>
        </w:rPr>
        <w:t xml:space="preserve">4.1.1. Một bằng chứng ngược chiều cần nêu rõ</w:t>
      </w:r>
    </w:p>
    <w:p>
      <w:pPr>
        <w:spacing w:after="160" w:line="300"/>
        <w:jc w:val="both"/>
      </w:pPr>
      <w:r>
        <w:rPr>
          <w:rFonts w:ascii="Calibri" w:cs="Calibri" w:eastAsia="Calibri" w:hAnsi="Calibri"/>
          <w:i w:val="false"/>
          <w:iCs w:val="false"/>
          <w:sz w:val="22"/>
          <w:szCs w:val="22"/>
        </w:rPr>
        <w:t xml:space="preserve">Nghiên cứu công bố tháng 6/2026 giới thiệu mô hình đa phương thức phân tích vi chất từ ảnh, phủ 65 chất dinh dưỡng, đánh giá theo bốn thành phần: khả năng từ chối trả lời khi không chắc, mức độ bịa thông tin, tính khả dụng tổng thể, và độ chính xác số theo từng chất. Biến thể lớn nhất đạt kết quả ngang hoặc vượt các mô hình thương mại hàng đầu ở đa số chất dinh dưỡng.</w:t>
      </w:r>
    </w:p>
    <w:p>
      <w:pPr>
        <w:spacing w:after="160" w:line="300"/>
        <w:jc w:val="both"/>
      </w:pPr>
      <w:r>
        <w:rPr>
          <w:rFonts w:ascii="Calibri" w:cs="Calibri" w:eastAsia="Calibri" w:hAnsi="Calibri"/>
          <w:i w:val="false"/>
          <w:iCs w:val="false"/>
          <w:sz w:val="22"/>
          <w:szCs w:val="22"/>
        </w:rPr>
        <w:t xml:space="preserve">Nghĩa là lĩnh vực đang tiến rất nhanh. Luận điểm "mô hình thị giác chưa đủ chính xác" vẫn đúng ở thời điểm hiện tại và với ngưỡng ±10%, nhưng sẽ không đúng mãi. Nhóm dự án chọn cách phát biểu sau, vì nó vừa trung thực vừa phản ánh đúng ưu điểm của kiến trúc:</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Cách phát biểu chuẩn:  </w:t>
            </w:r>
            <w:r>
              <w:rPr>
                <w:rFonts w:ascii="Calibri" w:cs="Calibri" w:eastAsia="Calibri" w:hAnsi="Calibri"/>
                <w:sz w:val="21"/>
                <w:szCs w:val="21"/>
              </w:rPr>
              <w:t xml:space="preserve"> "Tại thời điểm này, với ngưỡng lâm sàng ±10%, chưa có mô hình nào đủ chính xác để tự sinh con số dinh dưỡng. Kiến trúc của hệ thống tách bạch phần chọn món và phần tính số, nên khi mô hình đủ tốt, chỉ cần thay một thành phần chứ không phải viết lại hệ thống."</w:t>
            </w:r>
          </w:p>
        </w:tc>
      </w:tr>
    </w:tbl>
    <w:p>
      <w:pPr>
        <w:spacing w:after="120"/>
      </w:pPr>
    </w:p>
    <w:p>
      <w:pPr>
        <w:pStyle w:val="Heading2"/>
        <w:spacing w:after="160" w:before="320"/>
      </w:pPr>
      <w:r>
        <w:rPr>
          <w:rFonts w:ascii="Calibri" w:cs="Calibri" w:eastAsia="Calibri" w:hAnsi="Calibri"/>
          <w:b/>
          <w:bCs/>
          <w:color w:val="2E5395"/>
          <w:sz w:val="26"/>
          <w:szCs w:val="26"/>
        </w:rPr>
        <w:t xml:space="preserve">4.2. Bằng chứng cho ràng buộc khả năng chi trả</w:t>
      </w:r>
    </w:p>
    <w:p>
      <w:pPr>
        <w:spacing w:after="160" w:line="300"/>
        <w:jc w:val="both"/>
      </w:pPr>
      <w:r>
        <w:rPr>
          <w:rFonts w:ascii="Calibri" w:cs="Calibri" w:eastAsia="Calibri" w:hAnsi="Calibri"/>
          <w:i w:val="false"/>
          <w:iCs w:val="false"/>
          <w:sz w:val="22"/>
          <w:szCs w:val="22"/>
        </w:rPr>
        <w:t xml:space="preserve">Biến thu nhập và khả năng chi trả không phải là tính năng phụ mà là ràng buộc thiết kế. Bằng chứng định lượng cho thị trường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Chỉ số</w:t>
            </w:r>
          </w:p>
        </w:tc>
        <w:tc>
          <w:tcPr>
            <w:tcW w:type="pct" w:w="6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Giá trị</w:t>
            </w:r>
          </w:p>
        </w:tc>
      </w:tr>
      <w:tr>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Chi phí một chế độ ăn lành mạnh tại Việt Nam (2016–2020)</w:t>
            </w:r>
          </w:p>
        </w:tc>
        <w:tc>
          <w:tcPr>
            <w:tcW w:type="pct" w:w="6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3,08 đô la quốc tế theo sức mua tương đương 2017 mỗi người mỗi ngày, tương đương khoảng 24.070 đồng</w:t>
            </w:r>
          </w:p>
        </w:tc>
      </w:tr>
      <w:tr>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Tỉ trọng chi phí của nhóm thực phẩm giàu dinh dưỡng (đạm, rau, quả, sữa)</w:t>
            </w:r>
          </w:p>
        </w:tc>
        <w:tc>
          <w:tcPr>
            <w:tcW w:type="pct" w:w="6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khoảng 80% tổng chi phí</w:t>
            </w:r>
          </w:p>
        </w:tc>
      </w:tr>
      <w:tr>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Khả năng chi trả</w:t>
            </w:r>
          </w:p>
        </w:tc>
        <w:tc>
          <w:tcPr>
            <w:tcW w:type="pct" w:w="6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Chế độ ăn lành mạnh rẻ nhất vẫn không nằm trong khả năng chi trả của khoảng 70% hộ gia đình thu nhập thấp</w:t>
            </w:r>
          </w:p>
        </w:tc>
      </w:tr>
      <w:tr>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Gánh nặng chi phí với hộ thu nhập thấp</w:t>
            </w:r>
          </w:p>
        </w:tc>
        <w:tc>
          <w:tcPr>
            <w:tcW w:type="pct" w:w="6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Tuân thủ khuyến nghị dinh dưỡng quốc gia có thể chiếm tới 70% thu nhập</w:t>
            </w:r>
          </w:p>
        </w:tc>
      </w:tr>
      <w:tr>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Chênh lệch vùng miền</w:t>
            </w:r>
          </w:p>
        </w:tc>
        <w:tc>
          <w:tcPr>
            <w:tcW w:type="pct" w:w="6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du và miền núi phía Bắc có khả năng chi trả thấp nhất; Đông Nam Bộ và Đồng bằng sông Hồng cao nhất</w:t>
            </w:r>
          </w:p>
        </w:tc>
      </w:tr>
    </w:tbl>
    <w:p>
      <w:pPr>
        <w:spacing w:after="120"/>
      </w:pPr>
    </w:p>
    <w:p>
      <w:pPr>
        <w:spacing w:after="160" w:line="300"/>
        <w:jc w:val="both"/>
      </w:pPr>
      <w:r>
        <w:rPr>
          <w:rFonts w:ascii="Calibri" w:cs="Calibri" w:eastAsia="Calibri" w:hAnsi="Calibri"/>
          <w:i w:val="false"/>
          <w:iCs w:val="false"/>
          <w:sz w:val="22"/>
          <w:szCs w:val="22"/>
        </w:rPr>
        <w:t xml:space="preserve">Nguồn: Cost and affordability of healthy diets in Vietnam, Public Health Nutrition (Cambridge University Press), 2023, PMID 38037710.</w:t>
      </w:r>
    </w:p>
    <w:p>
      <w:pPr>
        <w:spacing w:after="160" w:line="300"/>
        <w:jc w:val="both"/>
      </w:pPr>
      <w:r>
        <w:rPr>
          <w:rFonts w:ascii="Calibri" w:cs="Calibri" w:eastAsia="Calibri" w:hAnsi="Calibri"/>
          <w:i w:val="false"/>
          <w:iCs w:val="false"/>
          <w:sz w:val="22"/>
          <w:szCs w:val="22"/>
        </w:rPr>
        <w:t xml:space="preserve">Hệ quả thiết kế: một thực đơn đúng tuyệt đối về lâm sàng nhưng vượt khả năng chi trả sẽ có tỉ lệ tuân thủ bằng không. Mà nhóm bệnh nhân mãn tính thu nhập thấp lại chính là nhóm đông nhất. Điều này cũng phù hợp với định hướng của ADA Standards of Care 2026 về việc đánh giá các yếu tố xã hội quyết định sức khoẻ khi thiết kế can thiệp.</w:t>
      </w:r>
    </w:p>
    <w:p>
      <w:pPr>
        <w:pStyle w:val="Heading3"/>
        <w:spacing w:after="120" w:before="220"/>
      </w:pPr>
      <w:r>
        <w:rPr>
          <w:rFonts w:ascii="Calibri" w:cs="Calibri" w:eastAsia="Calibri" w:hAnsi="Calibri"/>
          <w:b/>
          <w:bCs/>
          <w:color w:val="595959"/>
          <w:sz w:val="23"/>
          <w:szCs w:val="23"/>
        </w:rPr>
        <w:t xml:space="preserve">4.2.1. Khuyến nghị về cách thu thập biến này</w:t>
      </w:r>
    </w:p>
    <w:p>
      <w:pPr>
        <w:spacing w:after="160" w:line="300"/>
        <w:jc w:val="both"/>
      </w:pPr>
      <w:r>
        <w:rPr>
          <w:rFonts w:ascii="Calibri" w:cs="Calibri" w:eastAsia="Calibri" w:hAnsi="Calibri"/>
          <w:i w:val="false"/>
          <w:iCs w:val="false"/>
          <w:sz w:val="22"/>
          <w:szCs w:val="22"/>
        </w:rPr>
        <w:t xml:space="preserve">Nhóm dự án khuyến nghị KHÔNG hỏi trực tiếp tổng thu nhập gia đình trong hồ sơ bệnh nhân, vì ba lý do:</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Quyền riêng tư: thu nhập là thông tin nhạy cảm, làm giảm tỉ lệ hoàn thành hồ sơ và tăng nghĩa vụ bảo vệ dữ liệu theo Nghị định 13/2023/NĐ-CP.</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Không cần thiết về mặt kỹ thuật: thứ hệ thống thực sự cần là ngân sách dành cho bữa ăn, không phải thu nhập của hộ gia đình.</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Rủi ro đạo đức: một hệ thống y tế gợi ý chế độ ăn khác nhau dựa trên thu nhập cần được cân nhắc rất kỹ, đặc biệt nếu bị hiểu là người có thu nhập thấp nhận được tư vấn kém hơn.</w:t>
      </w:r>
    </w:p>
    <w:p>
      <w:pPr>
        <w:spacing w:after="160" w:line="300"/>
        <w:jc w:val="both"/>
      </w:pPr>
      <w:r>
        <w:rPr>
          <w:rFonts w:ascii="Calibri" w:cs="Calibri" w:eastAsia="Calibri" w:hAnsi="Calibri"/>
          <w:i w:val="false"/>
          <w:iCs w:val="false"/>
          <w:sz w:val="22"/>
          <w:szCs w:val="22"/>
        </w:rPr>
        <w:t xml:space="preserve">Thay vào đó, hệ thống hỏi một câu tuỳ chọn dạng khoảng: mức chi tiêu mong muốn cho tiền ăn mỗi ngày của người bệnh, chia thành các khoảng dưới 50 nghìn, 50–100 nghìn, 100–150 nghìn, trên 150 nghìn, hoặc bỏ qua. Cách này cung cấp đúng thông tin hệ thống cần mà không chạm vào dữ liệu thu nhập.</w:t>
      </w:r>
    </w:p>
    <w:p>
      <w:pPr>
        <w:spacing w:after="160" w:line="300"/>
        <w:jc w:val="both"/>
      </w:pPr>
      <w:r>
        <w:rPr>
          <w:rFonts w:ascii="Calibri" w:cs="Calibri" w:eastAsia="Calibri" w:hAnsi="Calibri"/>
          <w:i w:val="false"/>
          <w:iCs w:val="false"/>
          <w:sz w:val="22"/>
          <w:szCs w:val="22"/>
        </w:rPr>
        <w:t xml:space="preserve">Biến nghề nghiệp được giữ lại nhưng đổi mục đích sử dụng chính: dùng để ước tính mức độ hoạt động thể lực trong công thức tính tổng năng lượng tiêu hao. Lao động chân tay và nhân viên văn phòng có nhu cầu năng lượng khác nhau đáng kể; đây là công dụng lâm sàng chính đáng và dễ giải thích với người bệnh.</w:t>
      </w:r>
    </w:p>
    <w:p>
      <w:pPr>
        <w:pStyle w:val="Heading2"/>
        <w:spacing w:after="160" w:before="320"/>
      </w:pPr>
      <w:r>
        <w:rPr>
          <w:rFonts w:ascii="Calibri" w:cs="Calibri" w:eastAsia="Calibri" w:hAnsi="Calibri"/>
          <w:b/>
          <w:bCs/>
          <w:color w:val="2E5395"/>
          <w:sz w:val="26"/>
          <w:szCs w:val="26"/>
        </w:rPr>
        <w:t xml:space="preserve">4.3. Bằng chứng cho các câu hỏi nghiên cứu còn lại</w:t>
      </w:r>
    </w:p>
    <w:p>
      <w:pPr>
        <w:pStyle w:val="Heading3"/>
        <w:spacing w:after="120" w:before="220"/>
      </w:pPr>
      <w:r>
        <w:rPr>
          <w:rFonts w:ascii="Calibri" w:cs="Calibri" w:eastAsia="Calibri" w:hAnsi="Calibri"/>
          <w:b/>
          <w:bCs/>
          <w:color w:val="595959"/>
          <w:sz w:val="23"/>
          <w:szCs w:val="23"/>
        </w:rPr>
        <w:t xml:space="preserve">4.3.1. Cơ chế phê duyệt của chuyên gia (RQ2)</w:t>
      </w:r>
    </w:p>
    <w:p>
      <w:pPr>
        <w:spacing w:after="160" w:line="300"/>
        <w:jc w:val="both"/>
      </w:pPr>
      <w:r>
        <w:rPr>
          <w:rFonts w:ascii="Calibri" w:cs="Calibri" w:eastAsia="Calibri" w:hAnsi="Calibri"/>
          <w:i w:val="false"/>
          <w:iCs w:val="false"/>
          <w:sz w:val="22"/>
          <w:szCs w:val="22"/>
        </w:rPr>
        <w:t xml:space="preserve">Chưa tìm được nghiên cứu đo trực tiếp mức độ cải thiện an toàn nhờ cơ chế con người trong vòng lặp đối với thực đơn lâm sàng. Đây vừa là khoảng trống nghiên cứu, vừa là lý do câu hỏi này đáng thực hiện. Bằng chứng gián tiếp hiện có gồm: nghiên cứu Healthcare 2026 kết luận rằng độ an toàn lâm sàng và mức tuân thủ hướng dẫn của thực đơn do mô hình ngôn ngữ sinh ra vẫn còn chưa chắc chắn; và Thông tư 08/2024/TT-BYT quy định bác sĩ điều trị bắt buộc hội chẩn khoa Dinh dưỡng đối với người bệnh suy dinh dưỡng nặng, cho thấy cơ chế phê duyệt của chuyên gia phù hợp với khung pháp lý hiện hành.</w:t>
      </w:r>
    </w:p>
    <w:p>
      <w:pPr>
        <w:pStyle w:val="Heading3"/>
        <w:spacing w:after="120" w:before="220"/>
      </w:pPr>
      <w:r>
        <w:rPr>
          <w:rFonts w:ascii="Calibri" w:cs="Calibri" w:eastAsia="Calibri" w:hAnsi="Calibri"/>
          <w:b/>
          <w:bCs/>
          <w:color w:val="595959"/>
          <w:sz w:val="23"/>
          <w:szCs w:val="23"/>
        </w:rPr>
        <w:t xml:space="preserve">4.3.2. Tương tác thuốc – thực phẩm (RQ5)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Nguồn dữ liệu</w:t>
            </w:r>
          </w:p>
        </w:tc>
        <w:tc>
          <w:tcPr>
            <w:tcW w:type="pct" w:w="33%"/>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Quy mô</w:t>
            </w:r>
          </w:p>
        </w:tc>
        <w:tc>
          <w:tcPr>
            <w:tcW w:type="pct" w:w="45%"/>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Đánh giá khả năng sử dụng</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FooDrugs (IMDEA Food Institute)</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3.430.062 tương tác tiềm năng: 1.108.429 trích xuất từ tài liệu khoa học, 2.321.633 suy ra từ dữ liệu biểu hiện gene. Công khai trên Zenodo</w:t>
            </w:r>
          </w:p>
        </w:tc>
        <w:tc>
          <w:tcPr>
            <w:tcW w:type="pct" w:w="45%"/>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dùng trực tiếp được. Mô hình trích xuất đạt F1 = 0,77, tức khoảng 23% sai. Đây là tương tác tiềm năng, chưa được kiểm chứng lâm sàng</w:t>
            </w:r>
          </w:p>
        </w:tc>
      </w:tr>
      <w:tr>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DDID</w:t>
            </w:r>
          </w:p>
        </w:tc>
        <w:tc>
          <w:tcPr>
            <w:tcW w:type="pct" w:w="33%"/>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23.950 tương tác, 1.338 thực phẩm và thảo dược, 1.516 thuốc</w:t>
            </w:r>
          </w:p>
        </w:tc>
        <w:tc>
          <w:tcPr>
            <w:tcW w:type="pct" w:w="45%"/>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Cần kiểm tra điều kiện sử dụng; quy mô vượt xa nhu cầu bốn nhóm bệnh mục tiêu</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DrugBank</w:t>
            </w:r>
          </w:p>
        </w:tc>
        <w:tc>
          <w:tcPr>
            <w:tcW w:type="pct" w:w="33%"/>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15.451 thuốc</w:t>
            </w:r>
          </w:p>
        </w:tc>
        <w:tc>
          <w:tcPr>
            <w:tcW w:type="pct" w:w="45%"/>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Chú thích tương tác thực phẩm hạn chế và không đầy đủ</w:t>
            </w:r>
          </w:p>
        </w:tc>
      </w:tr>
    </w:tbl>
    <w:p>
      <w:pPr>
        <w:spacing w:after="120"/>
      </w:pPr>
    </w:p>
    <w:p>
      <w:pPr>
        <w:spacing w:after="160" w:line="300"/>
        <w:jc w:val="both"/>
      </w:pPr>
      <w:r>
        <w:rPr>
          <w:rFonts w:ascii="Calibri" w:cs="Calibri" w:eastAsia="Calibri" w:hAnsi="Calibri"/>
          <w:i w:val="false"/>
          <w:iCs w:val="false"/>
          <w:sz w:val="22"/>
          <w:szCs w:val="22"/>
        </w:rPr>
        <w:t xml:space="preserve">Chính nghiên cứu FooDrugs ghi nhận rằng các cơ sở dữ liệu hiện có có chú thích tương tác thực phẩm–thuốc hạn chế, không đầy đủ và ít chồng lấp nhau. Nếu nạp trực tiếp hàng triệu cặp tương tác tiềm năng vào hệ thống cảnh báo, kết quả sẽ là cảnh báo tràn lan — chuyên gia sẽ nhanh chóng bỏ qua toàn bộ cảnh báo, và tính năng mất hết giá trị. Vì vậy dự án giữ phương án tuyển chọn thủ công khoảng 80 cặp quan trọng nhất, và sử dụng các cơ sở dữ liệu lớn làm nguồn sinh ứng viên cho quá trình tuyển chọn thay vì nguồn cảnh báo trực tiếp.</w:t>
      </w:r>
    </w:p>
    <w:p>
      <w:pPr>
        <w:pStyle w:val="Heading3"/>
        <w:spacing w:after="120" w:before="220"/>
      </w:pPr>
      <w:r>
        <w:rPr>
          <w:rFonts w:ascii="Calibri" w:cs="Calibri" w:eastAsia="Calibri" w:hAnsi="Calibri"/>
          <w:b/>
          <w:bCs/>
          <w:color w:val="595959"/>
          <w:sz w:val="23"/>
          <w:szCs w:val="23"/>
        </w:rPr>
        <w:t xml:space="preserve">4.3.3. Phân rã món ăn phức hợp (RQ6)</w:t>
      </w:r>
    </w:p>
    <w:p>
      <w:pPr>
        <w:spacing w:after="160" w:line="300"/>
        <w:jc w:val="both"/>
      </w:pPr>
      <w:r>
        <w:rPr>
          <w:rFonts w:ascii="Calibri" w:cs="Calibri" w:eastAsia="Calibri" w:hAnsi="Calibri"/>
          <w:i w:val="false"/>
          <w:iCs w:val="false"/>
          <w:sz w:val="22"/>
          <w:szCs w:val="22"/>
        </w:rPr>
        <w:t xml:space="preserve">Có nghiên cứu trực tiếp về bài toán này, công bố năm 2025, nhấn mạnh rằng việc nhận diện và phân rã nguyên liệu trong món ăn phức hợp là thiết yếu để xác định và thay thế nguyên liệu gây dị ứng hoặc không dung nạp, đồng thời để đánh giá dinh dưỡng chính xác. Điều này liên kết trực tiếp tính năng phân rã mâm cơm với mục tiêu an toàn dị ứng, chứ không chỉ là tiện lợi cho người dùng.</w:t>
      </w:r>
    </w:p>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5. KIỂM KÊ DỮ LIỆU, MÔ HÌNH VÀ PHƯƠNG ÁN XÂY DỰNG AI</w:t>
      </w:r>
    </w:p>
    <w:p>
      <w:pPr>
        <w:spacing w:after="160" w:line="300"/>
        <w:jc w:val="both"/>
      </w:pPr>
      <w:r>
        <w:rPr>
          <w:rFonts w:ascii="Calibri" w:cs="Calibri" w:eastAsia="Calibri" w:hAnsi="Calibri"/>
          <w:i w:val="false"/>
          <w:iCs w:val="false"/>
          <w:sz w:val="22"/>
          <w:szCs w:val="22"/>
        </w:rPr>
        <w:t xml:space="preserve">Chương này trả lời câu hỏi thực dụng: những gì đã có sẵn dùng được, những gì phải tự xây, và những gì tưởng là có nhưng thực tế không tồn tại. Mỗi mục đều nêu rõ điều kiện sử dụng và giới hạn.</w:t>
      </w:r>
    </w:p>
    <w:p>
      <w:pPr>
        <w:pStyle w:val="Heading2"/>
        <w:spacing w:after="160" w:before="320"/>
      </w:pPr>
      <w:r>
        <w:rPr>
          <w:rFonts w:ascii="Calibri" w:cs="Calibri" w:eastAsia="Calibri" w:hAnsi="Calibri"/>
          <w:b/>
          <w:bCs/>
          <w:color w:val="2E5395"/>
          <w:sz w:val="26"/>
          <w:szCs w:val="26"/>
        </w:rPr>
        <w:t xml:space="preserve">5.1. Dữ liệu thành phần thực phẩm</w:t>
      </w:r>
    </w:p>
    <w:p>
      <w:pPr>
        <w:spacing w:after="160" w:line="300"/>
        <w:jc w:val="both"/>
      </w:pPr>
      <w:r>
        <w:rPr>
          <w:rFonts w:ascii="Calibri" w:cs="Calibri" w:eastAsia="Calibri" w:hAnsi="Calibri"/>
          <w:i w:val="false"/>
          <w:iCs w:val="false"/>
          <w:sz w:val="22"/>
          <w:szCs w:val="22"/>
        </w:rPr>
        <w:t xml:space="preserve">Đây từng được đánh giá là rủi ro cao nhất của dự án. Rà soát cho thấy Bảng thành phần thực phẩm Việt Nam năm 2007 do Viện Dinh dưỡng biên soạn hiện được lưu trữ công khai trên máy chủ của Tổ chức Lương thực và Nông nghiệp Liên hợp quốc, ở định dạng PDF dạng văn bản (không phải ảnh quét), nên có thể trích xuất bằng chương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Đặc điểm</w:t>
            </w:r>
          </w:p>
        </w:tc>
        <w:tc>
          <w:tcPr>
            <w:tcW w:type="pct" w:w="6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Giá trị</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Số thực phẩm</w:t>
            </w:r>
          </w:p>
        </w:tc>
        <w:tc>
          <w:tcPr>
            <w:tcW w:type="pct" w:w="6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526, chia thành 14 nhóm</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Số chất dinh dưỡng mỗi thực phẩm</w:t>
            </w:r>
          </w:p>
        </w:tc>
        <w:tc>
          <w:tcPr>
            <w:tcW w:type="pct" w:w="6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86</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purin không</w:t>
            </w:r>
          </w:p>
        </w:tc>
        <w:tc>
          <w:tcPr>
            <w:tcW w:type="pct" w:w="6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 thiết yếu cho nhóm bệnh gout</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natri, kali, phospho không</w:t>
            </w:r>
          </w:p>
        </w:tc>
        <w:tc>
          <w:tcPr>
            <w:tcW w:type="pct" w:w="6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 thiết yếu cho bệnh thận mạn và tăng huyết áp</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tỉ lệ thải bỏ không</w:t>
            </w:r>
          </w:p>
        </w:tc>
        <w:tc>
          <w:tcPr>
            <w:tcW w:type="pct" w:w="6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 cần cho quy đổi khẩu phần thực tế</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Khả năng truy vết nguồn</w:t>
            </w:r>
          </w:p>
        </w:tc>
        <w:tc>
          <w:tcPr>
            <w:tcW w:type="pct" w:w="6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Mỗi giá trị có mã nguồn tham chiếu từ 1 đến 7, chỉ rõ số liệu lấy từ bảng năm 2000, FAO 1972, USDA phiên bản 18, bảng Đức 2006, bảng Đan Mạch 2006, bảng ASEAN 2000, hay nghiên cứu của Viện Dinh dưỡng giai đoạn 2000–2007</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Nhóm gia vị và nước chấm</w:t>
            </w:r>
          </w:p>
        </w:tc>
        <w:tc>
          <w:tcPr>
            <w:tcW w:type="pct" w:w="6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23 thực phẩm, gồm nước mắm các loại, mắm tôm, xì dầu, tương ớt — đúng nhóm quan trọng nhất cho bài toán kiểm soát muối</w:t>
            </w:r>
          </w:p>
        </w:tc>
      </w:tr>
    </w:tbl>
    <w:p>
      <w:pPr>
        <w:spacing w:after="12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DCE6F5" w:val="clear"/>
            <w:tcMar>
              <w:top w:type="dxa" w:w="140"/>
              <w:left w:type="dxa" w:w="220"/>
              <w:bottom w:type="dxa" w:w="140"/>
              <w:right w:type="dxa" w:w="220"/>
            </w:tcMar>
          </w:tcPr>
          <w:p>
            <w:pPr>
              <w:spacing w:after="0"/>
              <w:jc w:val="both"/>
            </w:pPr>
            <w:r>
              <w:rPr>
                <w:rFonts w:ascii="Calibri" w:cs="Calibri" w:eastAsia="Calibri" w:hAnsi="Calibri"/>
                <w:b/>
                <w:bCs/>
                <w:color w:val="1F3864"/>
                <w:sz w:val="21"/>
                <w:szCs w:val="21"/>
              </w:rPr>
              <w:t xml:space="preserve">Lưu ý về phiên bản:  </w:t>
            </w:r>
            <w:r>
              <w:rPr>
                <w:rFonts w:ascii="Calibri" w:cs="Calibri" w:eastAsia="Calibri" w:hAnsi="Calibri"/>
                <w:sz w:val="21"/>
                <w:szCs w:val="21"/>
              </w:rPr>
              <w:t xml:space="preserve"> bản 2007 không phải bản mới nhất. Đã có bản năm 2017 với 628 thực phẩm, kèm một bảng tra cứu theo món ăn. Tuy nhiên bản 2007 là bản duy nhất truy cập công khai được và có đầy đủ 86 chất cho từng thực phẩm. Phương án của dự án: dùng bản 2007 làm nền, ghi rõ số phiên bản trong trường nguồn, đồng thời liên hệ thư viện trường để đối chiếu bản 2017.</w:t>
            </w:r>
          </w:p>
        </w:tc>
      </w:tr>
    </w:tbl>
    <w:p>
      <w:pPr>
        <w:spacing w:after="120"/>
      </w:pPr>
    </w:p>
    <w:p>
      <w:pPr>
        <w:spacing w:after="160" w:line="300"/>
        <w:jc w:val="both"/>
      </w:pPr>
      <w:r>
        <w:rPr>
          <w:rFonts w:ascii="Calibri" w:cs="Calibri" w:eastAsia="Calibri" w:hAnsi="Calibri"/>
          <w:i w:val="false"/>
          <w:iCs w:val="false"/>
          <w:sz w:val="22"/>
          <w:szCs w:val="22"/>
        </w:rPr>
        <w:t xml:space="preserve">Một cạm bẫy kỹ thuật đã được xác định: phần chữ tiếng Việt trong tệp PDF sử dụng bảng mã phông chữ đời cũ, nên khi trích xuất trực tiếp sẽ cho ra chuỗi ký tự sai. Cần một bước chuyển bảng mã. Phần số liệu thì trích xuất bình thường — đã kiểm chứng thực tế trên một số thực phẩm.</w:t>
      </w:r>
    </w:p>
    <w:p>
      <w:pPr>
        <w:pStyle w:val="Heading2"/>
        <w:spacing w:after="160" w:before="320"/>
      </w:pPr>
      <w:r>
        <w:rPr>
          <w:rFonts w:ascii="Calibri" w:cs="Calibri" w:eastAsia="Calibri" w:hAnsi="Calibri"/>
          <w:b/>
          <w:bCs/>
          <w:color w:val="2E5395"/>
          <w:sz w:val="26"/>
          <w:szCs w:val="26"/>
        </w:rPr>
        <w:t xml:space="preserve">5.2. Dữ liệu ảnh món ăn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Bộ dữ liệu</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Quy mô</w:t>
            </w:r>
          </w:p>
        </w:tc>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Kết quả tốt nhất đã công bố</w:t>
            </w:r>
          </w:p>
        </w:tc>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Đánh giá sử dụng</w:t>
            </w:r>
          </w:p>
        </w:tc>
      </w:tr>
      <w:tr>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30VNFoods</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25.136 ảnh, 30 món</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khoảng 95%</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nhận diện tên món, không ước tính khẩu phần</w:t>
            </w:r>
          </w:p>
        </w:tc>
      </w:tr>
      <w:tr>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VinaFood21</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13.950 ảnh, 21 món</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94,9%; mức cơ sở 74,81%</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Như trên</w:t>
            </w:r>
          </w:p>
        </w:tc>
      </w:tr>
    </w:tbl>
    <w:p>
      <w:pPr>
        <w:spacing w:after="120"/>
      </w:pPr>
    </w:p>
    <w:p>
      <w:pPr>
        <w:spacing w:after="160" w:line="300"/>
        <w:jc w:val="both"/>
      </w:pPr>
      <w:r>
        <w:rPr>
          <w:rFonts w:ascii="Calibri" w:cs="Calibri" w:eastAsia="Calibri" w:hAnsi="Calibri"/>
          <w:i w:val="false"/>
          <w:iCs w:val="false"/>
          <w:sz w:val="22"/>
          <w:szCs w:val="22"/>
        </w:rPr>
        <w:t xml:space="preserve">Hai bộ dữ liệu này không giải được bài toán của dự án. Chúng cho biết "đây là bát phở" nhưng không cho biết bao nhiêu gam và bao nhiêu miligam natri — mà đó mới là thông tin bệnh nhân suy thận cần. Độ phủ 21 đến 30 món cũng quá hẹp so với thực đơn hằng ngày. Kết luận: giữ quyết định loại nhận diện ảnh khỏi phiên bản đầu tiên.</w:t>
      </w:r>
    </w:p>
    <w:p>
      <w:pPr>
        <w:pStyle w:val="Heading2"/>
        <w:spacing w:after="160" w:before="320"/>
      </w:pPr>
      <w:r>
        <w:rPr>
          <w:rFonts w:ascii="Calibri" w:cs="Calibri" w:eastAsia="Calibri" w:hAnsi="Calibri"/>
          <w:b/>
          <w:bCs/>
          <w:color w:val="2E5395"/>
          <w:sz w:val="26"/>
          <w:szCs w:val="26"/>
        </w:rPr>
        <w:t xml:space="preserve">5.3. Bộ dữ liệu và chuẩn đánh giá quốc tế</w:t>
      </w:r>
    </w:p>
    <w:p>
      <w:pPr>
        <w:spacing w:after="160" w:line="300"/>
        <w:jc w:val="both"/>
      </w:pPr>
      <w:r>
        <w:rPr>
          <w:rFonts w:ascii="Calibri" w:cs="Calibri" w:eastAsia="Calibri" w:hAnsi="Calibri"/>
          <w:i w:val="false"/>
          <w:iCs w:val="false"/>
          <w:sz w:val="22"/>
          <w:szCs w:val="22"/>
        </w:rPr>
        <w:t xml:space="preserve">Rà soát các công bố năm 2025–2026 cho thấy đã có những chuẩn đánh giá sát với bài toán của dự án hơn nhiều so với các chuẩn y khoa tổng quát từng được cân nhắc trước đây.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Tên</w:t>
            </w:r>
          </w:p>
        </w:tc>
        <w:tc>
          <w:tcPr>
            <w:tcW w:type="pct" w:w="1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Năm</w:t>
            </w:r>
          </w:p>
        </w:tc>
        <w:tc>
          <w:tcPr>
            <w:tcW w:type="pct" w:w="7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 và mức độ liên quan</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FAM-Bench</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5/2026</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đánh giá đa phương thức cho suy luận thực phẩm theo tình trạng bệnh. 2.500 mẫu đã được chuyên gia dinh dưỡng thẩm định, dẫn xuất từ 3.859 công thức, phủ 13 tình trạng sức khoẻ liên quan chế độ ăn. Câu hỏi cốt lõi không phải "món này là gì" mà "món này có phù hợp với tình trạng bệnh này không" — trùng khớp với bài toán của dự án. Đã công bố mã nguồn và bộ kịch bản đánh giá</w:t>
            </w:r>
          </w:p>
        </w:tc>
      </w:tr>
      <w:tr>
        <w:tc>
          <w:tcPr>
            <w:tcW w:type="pct" w:w="1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NutriBench</w:t>
            </w:r>
          </w:p>
        </w:tc>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2024</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dữ liệu đánh giá mô hình ngôn ngữ về ước tính dinh dưỡng từ MÔ TẢ BẰNG CHỮ, không phải từ ảnh — khớp đúng phương thức đầu vào của dự án</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DiningBench</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4/2026</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đánh giá phân cấp, đa góc nhìn cho nhận thức và suy luận trong lĩnh vực ăn uống</w:t>
            </w:r>
          </w:p>
        </w:tc>
      </w:tr>
      <w:tr>
        <w:tc>
          <w:tcPr>
            <w:tcW w:type="pct" w:w="1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ACETADA</w:t>
            </w:r>
          </w:p>
        </w:tc>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2025</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Ảnh bữa ăn kèm thông tin dinh dưỡng do chuyên gia thẩm định, có thêm toạ độ và mốc thời gian</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January Food Benchmark</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2025</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đánh giá công khai kèm bộ công cụ cho phân tích thực phẩm đa phương thức</w:t>
            </w:r>
          </w:p>
        </w:tc>
      </w:tr>
      <w:tr>
        <w:tc>
          <w:tcPr>
            <w:tcW w:type="pct" w:w="1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Nutrition5k</w:t>
            </w:r>
          </w:p>
        </w:tc>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2021</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Khoảng 5.000 khay thức ăn có dữ liệu chiều sâu và phân rã tới từng nguyên liệu. Giấy phép mở. Dữ liệu thu thập tại căng tin ở Hoa Kỳ nên không dùng để huấn luyện cho món Việt, nhưng là mốc đối chứng giá trị</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MetaFood3D</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2024</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dữ liệu ba chiều về thực phẩm có chú thích dinh dưỡng</w:t>
            </w:r>
          </w:p>
        </w:tc>
      </w:tr>
    </w:tbl>
    <w:p>
      <w:pPr>
        <w:spacing w:after="120"/>
      </w:pP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Ứng dụng cho dự án:  </w:t>
            </w:r>
            <w:r>
              <w:rPr>
                <w:rFonts w:ascii="Calibri" w:cs="Calibri" w:eastAsia="Calibri" w:hAnsi="Calibri"/>
                <w:sz w:val="21"/>
                <w:szCs w:val="21"/>
              </w:rPr>
              <w:t xml:space="preserve"> sử dụng khung tiêu chí của FAM-Bench để xây dựng bộ đánh giá 60 ca tiếng Việt, thay vì tự nghĩ ra tiêu chí từ đầu. Lợi ích kép: tiết kiệm công sức và có mốc so sánh quốc tế cho phần bằng chứng đánh giá.</w:t>
            </w:r>
          </w:p>
        </w:tc>
      </w:tr>
    </w:tbl>
    <w:p>
      <w:pPr>
        <w:spacing w:after="120"/>
      </w:pPr>
    </w:p>
    <w:p>
      <w:pPr>
        <w:pStyle w:val="Heading2"/>
        <w:spacing w:after="160" w:before="320"/>
      </w:pPr>
      <w:r>
        <w:rPr>
          <w:rFonts w:ascii="Calibri" w:cs="Calibri" w:eastAsia="Calibri" w:hAnsi="Calibri"/>
          <w:b/>
          <w:bCs/>
          <w:color w:val="2E5395"/>
          <w:sz w:val="26"/>
          <w:szCs w:val="26"/>
        </w:rPr>
        <w:t xml:space="preserve">5.4. Mô hình biểu diễn nguyên liệu</w:t>
      </w:r>
    </w:p>
    <w:p>
      <w:pPr>
        <w:spacing w:after="160" w:line="300"/>
        <w:jc w:val="both"/>
      </w:pPr>
      <w:r>
        <w:rPr>
          <w:rFonts w:ascii="Calibri" w:cs="Calibri" w:eastAsia="Calibri" w:hAnsi="Calibri"/>
          <w:i w:val="false"/>
          <w:iCs w:val="false"/>
          <w:sz w:val="22"/>
          <w:szCs w:val="22"/>
        </w:rPr>
        <w:t xml:space="preserve">Nghiên cứu công bố tháng 5/2026 giới thiệu một họ ba mô hình biểu diễn nguyên liệu thực phẩm, huấn luyện trên 4,14 triệu công thức từ 11 nguồn thuộc bảy ngôn ngữ, trong đó có tiếng Việt. Từ vựng được chuẩn hoá về 1.790 nguyên liệu. Giấy phép cho phép sử dụng tự do kèm ghi công, và các vector biểu diễn được công bố dưới dạng tệp CSV kèm theo bài báo, tải về được ngay.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Dùng được cho</w:t>
            </w:r>
          </w:p>
        </w:tc>
        <w:tc>
          <w:tcPr>
            <w:tcW w:type="pct" w:w="5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Không được dùng cho</w:t>
            </w:r>
          </w:p>
        </w:tc>
      </w:tr>
      <w:tr>
        <w:tc>
          <w:tcPr>
            <w:tcW w:type="pct" w:w="5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Gợi ý thay thế nguyên liệu: tìm nguyên liệu gần nhau trong không gian biểu diễn để đề xuất thay thế khi cần giảm natri hoặc kali</w:t>
            </w:r>
          </w:p>
        </w:tc>
        <w:tc>
          <w:tcPr>
            <w:tcW w:type="pct" w:w="5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Sinh giá trị dinh dưỡng — đây là biểu diễn về hương vị và thành phần hoá học, không phải bảng thành phần</w:t>
            </w:r>
          </w:p>
        </w:tc>
      </w:tr>
      <w:tr>
        <w:tc>
          <w:tcPr>
            <w:tcW w:type="pct" w:w="5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hoá tên nguyên liệu và xử lý món ngoài cơ sở dữ liệu</w:t>
            </w:r>
          </w:p>
        </w:tc>
        <w:tc>
          <w:tcPr>
            <w:tcW w:type="pct" w:w="5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Thay thế cho bảng thành phần thực phẩm của Viện Dinh dưỡng</w:t>
            </w:r>
          </w:p>
        </w:tc>
      </w:tr>
      <w:tr>
        <w:tc>
          <w:tcPr>
            <w:tcW w:type="pct" w:w="5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Phân nhóm nguyên liệu theo vùng ẩm thực để lọc ứng viên theo miền</w:t>
            </w:r>
          </w:p>
        </w:tc>
        <w:tc>
          <w:tcPr>
            <w:tcW w:type="pct" w:w="5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Suy ra tính an toàn lâm sàng</w:t>
            </w:r>
          </w:p>
        </w:tc>
      </w:tr>
    </w:tbl>
    <w:p>
      <w:pPr>
        <w:spacing w:after="120"/>
      </w:pPr>
    </w:p>
    <w:p>
      <w:pPr>
        <w:spacing w:after="160" w:line="300"/>
        <w:jc w:val="both"/>
      </w:pPr>
      <w:r>
        <w:rPr>
          <w:rFonts w:ascii="Calibri" w:cs="Calibri" w:eastAsia="Calibri" w:hAnsi="Calibri"/>
          <w:i w:val="false"/>
          <w:iCs w:val="false"/>
          <w:sz w:val="22"/>
          <w:szCs w:val="22"/>
        </w:rPr>
        <w:t xml:space="preserve">Việc cần làm trước khi đưa vào kế hoạch chính thức: tải danh sách từ vựng và đếm số nguyên liệu Việt Nam thực sự có trong 1.790 mục. Bài báo nêu tiếng Việt là một trong bảy ngôn ngữ nhưng không công bố tỉ lệ. Nếu chỉ có vài chục nguyên liệu Việt thì giá trị thực tế thấp hơn nhiều so với kỳ vọng ban đầu.</w:t>
      </w:r>
    </w:p>
    <w:p>
      <w:pPr>
        <w:pStyle w:val="Heading2"/>
        <w:spacing w:after="160" w:before="320"/>
      </w:pPr>
      <w:r>
        <w:rPr>
          <w:rFonts w:ascii="Calibri" w:cs="Calibri" w:eastAsia="Calibri" w:hAnsi="Calibri"/>
          <w:b/>
          <w:bCs/>
          <w:color w:val="2E5395"/>
          <w:sz w:val="26"/>
          <w:szCs w:val="26"/>
        </w:rPr>
        <w:t xml:space="preserve">5.5. Những gì không tồn tại</w:t>
      </w:r>
    </w:p>
    <w:p>
      <w:pPr>
        <w:spacing w:after="160" w:line="300"/>
        <w:jc w:val="both"/>
      </w:pPr>
      <w:r>
        <w:rPr>
          <w:rFonts w:ascii="Calibri" w:cs="Calibri" w:eastAsia="Calibri" w:hAnsi="Calibri"/>
          <w:i w:val="false"/>
          <w:iCs w:val="false"/>
          <w:sz w:val="22"/>
          <w:szCs w:val="22"/>
        </w:rPr>
        <w:t xml:space="preserve">Rà soát kho mô hình và dữ liệu công khai cho thấy không có bộ dữ liệu dinh dưỡng lâm sàng tiếng Việt nào sử dụng được. Các bộ dữ liệu dinh dưỡng tìm thấy đều nhỏ, không có nguồn gốc rõ ràng, và thiếu các vi chất quan trọng như natri, kali, phospho, purin.</w:t>
      </w:r>
    </w:p>
    <w:p>
      <w:pPr>
        <w:spacing w:after="160" w:line="300"/>
        <w:jc w:val="both"/>
      </w:pPr>
      <w:r>
        <w:rPr>
          <w:rFonts w:ascii="Calibri" w:cs="Calibri" w:eastAsia="Calibri" w:hAnsi="Calibri"/>
          <w:i w:val="false"/>
          <w:iCs w:val="false"/>
          <w:sz w:val="22"/>
          <w:szCs w:val="22"/>
        </w:rPr>
        <w:t xml:space="preserve">Tương tự, bộ dữ liệu công thức món ăn Việt Nam kèm cảnh báo dị ứng quy mô lớn từng được nhắc tới trong giai đoạn khảo sát ban đầu không tìm thấy tồn tại công khai. Kết luận: phần công thức món ăn Việt vẫn phải tự xây dựng, không có đường tắt.</w:t>
      </w:r>
    </w:p>
    <w:p>
      <w:pPr>
        <w:pStyle w:val="Heading2"/>
        <w:spacing w:after="160" w:before="320"/>
      </w:pPr>
      <w:r>
        <w:rPr>
          <w:rFonts w:ascii="Calibri" w:cs="Calibri" w:eastAsia="Calibri" w:hAnsi="Calibri"/>
          <w:b/>
          <w:bCs/>
          <w:color w:val="2E5395"/>
          <w:sz w:val="26"/>
          <w:szCs w:val="26"/>
        </w:rPr>
        <w:t xml:space="preserve">5.6. Phương án xây dựng — tự làm, tái sử dụng, hay gọi dịch vụ</w:t>
      </w:r>
    </w:p>
    <w:p>
      <w:pPr>
        <w:spacing w:after="160" w:line="300"/>
        <w:jc w:val="both"/>
      </w:pPr>
      <w:r>
        <w:rPr>
          <w:rFonts w:ascii="Calibri" w:cs="Calibri" w:eastAsia="Calibri" w:hAnsi="Calibri"/>
          <w:i w:val="false"/>
          <w:iCs w:val="false"/>
          <w:sz w:val="22"/>
          <w:szCs w:val="22"/>
        </w:rPr>
        <w:t xml:space="preserve">Nguyên tắc phân bổ: tự xây dựng phần quyết định an toàn lâm sàng, tái sử dụng phần còn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Thành phần</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Phương án</w:t>
            </w:r>
          </w:p>
        </w:tc>
        <w:tc>
          <w:tcPr>
            <w:tcW w:type="pct" w:w="4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Lý do</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tính định mức lâm sàng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Tự xây — đã hoàn thành, có bộ kiểm thử tự động</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Là tài sản trí tuệ chính; phải xác định và kiểm chứng được; không có sản phẩm sẵn nào phù hợp hướng dẫn áp dụng tại Việt Nam</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thành phần thực phẩm</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Trích xuất từ bản 2007 của Viện Dinh dưỡng, bổ sung từ cơ sở dữ liệu Hoa Kỳ</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Nguồn chính thống, mỗi giá trị có mã nguồn tham chiếu</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Công thức món ăn Việt</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Tự xây: mô hình sinh bản nháp, người rà soát và chỉnh sửa</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tồn tại nguồn công khai</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hoá tên và xử lý món ngoài cơ sở dữ liệu</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Tái sử dụng từ vựng của mô hình biểu diễn nguyên liệu, kết hợp bảng tên đồng nghĩa tự xây</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sẵn, giấy phép mở</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Gợi ý thay thế nguyên liệu</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Tái sử dụng vector biểu diễn nguyên liệu</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sẵn, đúng mục đích thiết kế</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Sinh thực đơn</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Gọi dịch vụ mô hình ngôn ngữ qua giao diện lập trình, dùng định dạng đầu ra có cấu trúc</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cần và không nên tự huấn luyện</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kiểm tra ngưỡng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Tự xây — đã hoàn thành</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Phải xác định được; đây là chốt an toàn cuối trước khi tới chuyên gia</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Tương tác thuốc và thực phẩm</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Tuyển chọn thủ công khoảng 80 cặp, dùng cơ sở dữ liệu lớn làm nguồn sinh ứng viên</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sẵn có có tỉ lệ sai đáng kể, không dùng trực tiếp được</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Truy xuất hướng dẫn lâm sàng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Tái sử dụng công nghệ tìm kiếm vector kết hợp tìm kiếm từ khoá</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Công nghệ đã trưởng thành</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Nhận diện ảnh món ăn</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thực hiện ở phiên bản đầu</w:t>
            </w:r>
          </w:p>
        </w:tc>
        <w:tc>
          <w:tcPr>
            <w:tcW w:type="pct" w:w="4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Bằng chứng ở Chương 4 cho thấy chưa đủ chính xác cho mục đích lâm sàng</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Ràng buộc chi phí</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Tự xây: thêm cột giá và ràng buộc trong bộ kiểm tra</w:t>
            </w:r>
          </w:p>
        </w:tc>
        <w:tc>
          <w:tcPr>
            <w:tcW w:type="pct" w:w="4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Đơn giản về kỹ thuật, giá trị cao về ý nghĩa</w:t>
            </w:r>
          </w:p>
        </w:tc>
      </w:tr>
    </w:tbl>
    <w:p>
      <w:pPr>
        <w:spacing w:after="120"/>
      </w:pP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Điểm đáng nhấn mạnh:  </w:t>
            </w:r>
            <w:r>
              <w:rPr>
                <w:rFonts w:ascii="Calibri" w:cs="Calibri" w:eastAsia="Calibri" w:hAnsi="Calibri"/>
                <w:sz w:val="21"/>
                <w:szCs w:val="21"/>
              </w:rPr>
              <w:t xml:space="preserve"> toàn bộ kiến trúc vận hành được mà không cần huấn luyện bất kỳ mô hình nào từ đầu. Hệ thống chạy trên một mô hình ngôn ngữ gọi qua giao diện lập trình, các vector biểu diễn có sẵn, mã nguồn xác định viết bằng Python, và truy vấn cơ sở dữ liệu. Hệ quả: chi phí vận hành thấp, dễ kiểm toán, và khi hướng dẫn lâm sàng cập nhật thì chỉ cần sửa dữ liệu chứ không phải huấn luyện lại.</w:t>
            </w:r>
          </w:p>
        </w:tc>
      </w:tr>
    </w:tbl>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6. CẬP NHẬT HƯỚNG DẪN LÂM SÀNG VÀ ĐIỀU CHỈNH BỘ QUY TẮC</w:t>
      </w:r>
    </w:p>
    <w:p>
      <w:pPr>
        <w:spacing w:after="160" w:line="300"/>
        <w:jc w:val="both"/>
      </w:pPr>
      <w:r>
        <w:rPr>
          <w:rFonts w:ascii="Calibri" w:cs="Calibri" w:eastAsia="Calibri" w:hAnsi="Calibri"/>
          <w:i w:val="false"/>
          <w:iCs w:val="false"/>
          <w:sz w:val="22"/>
          <w:szCs w:val="22"/>
        </w:rPr>
        <w:t xml:space="preserve">Rà soát hướng dẫn lâm sàng theo hướng ưu tiên bản mới nhất đã phát hiện bộ quy tắc ban đầu của hệ thống đang dựa trên một hướng dẫn đã bị thay thế, và thiếu hai chốt an toàn quan trọng. Chương này ghi lại phát hiện, cơ sở, và cách hệ thống đã được sửa.</w:t>
      </w:r>
    </w:p>
    <w:p>
      <w:pPr>
        <w:pStyle w:val="Heading2"/>
        <w:spacing w:after="160" w:before="320"/>
      </w:pPr>
      <w:r>
        <w:rPr>
          <w:rFonts w:ascii="Calibri" w:cs="Calibri" w:eastAsia="Calibri" w:hAnsi="Calibri"/>
          <w:b/>
          <w:bCs/>
          <w:color w:val="2E5395"/>
          <w:sz w:val="26"/>
          <w:szCs w:val="26"/>
        </w:rPr>
        <w:t xml:space="preserve">6.1. KDIGO 2024 thay thế KDIGO 2012</w:t>
      </w:r>
    </w:p>
    <w:p>
      <w:pPr>
        <w:spacing w:after="160" w:line="300"/>
        <w:jc w:val="both"/>
      </w:pPr>
      <w:r>
        <w:rPr>
          <w:rFonts w:ascii="Calibri" w:cs="Calibri" w:eastAsia="Calibri" w:hAnsi="Calibri"/>
          <w:i w:val="false"/>
          <w:iCs w:val="false"/>
          <w:sz w:val="22"/>
          <w:szCs w:val="22"/>
        </w:rPr>
        <w:t xml:space="preserve">Hướng dẫn hiện hành cho bệnh thận mạn chưa lọc máu là bản năm 2024, thay thế bản 2012, xây dựng trên tổng quan hệ thống các nghiên cứu đến tháng 7 năm 2023. Các nội dung liên quan trực tiếp tới bộ quy tắc của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Mã</w:t>
            </w:r>
          </w:p>
        </w:tc>
        <w:tc>
          <w:tcPr>
            <w:tcW w:type="pct" w:w="4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w:t>
            </w:r>
          </w:p>
        </w:tc>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Ảnh hưởng</w:t>
            </w:r>
          </w:p>
        </w:tc>
      </w:tr>
      <w:tr>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Khuyến nghị 3.3.1.1</w:t>
            </w:r>
          </w:p>
        </w:tc>
        <w:tc>
          <w:tcPr>
            <w:tcW w:type="pct" w:w="4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Duy trì lượng đạm 0,8 g trên mỗi kg cân nặng mỗi ngày ở người lớn mắc bệnh thận mạn giai đoạn 3 đến 5. Mức bằng chứng 2C</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Đây là một mức duy nhất, không phải khoảng 0,6–0,8 như quy tắc cũ. Mức 2C là khuyến nghị yếu</w:t>
            </w:r>
          </w:p>
        </w:tc>
      </w:tr>
      <w:tr>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Điểm thực hành 3.3.1.1</w:t>
            </w:r>
          </w:p>
        </w:tc>
        <w:tc>
          <w:tcPr>
            <w:tcW w:type="pct" w:w="4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Tránh lượng đạm cao vượt 1,3 g mỗi kg mỗi ngày ở người có nguy cơ bệnh tiến triển</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Bổ sung thành trần an toàn tuyệt đối</w:t>
            </w:r>
          </w:p>
        </w:tc>
      </w:tr>
      <w:tr>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Điểm thực hành 3.3.1.2</w:t>
            </w:r>
          </w:p>
        </w:tc>
        <w:tc>
          <w:tcPr>
            <w:tcW w:type="pct" w:w="4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Chế độ rất thấp đạm kết hợp chất bổ sung chỉ cân nhắc cho người sẵn sàng và có khả năng, dưới giám sát chặt chẽ</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phải phương án mặc định</w:t>
            </w:r>
          </w:p>
        </w:tc>
      </w:tr>
      <w:tr>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Điểm thực hành 3.3.1.3</w:t>
            </w:r>
          </w:p>
        </w:tc>
        <w:tc>
          <w:tcPr>
            <w:tcW w:type="pct" w:w="4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kê chế độ thấp hoặc rất thấp đạm cho người bệnh thận mạn có chuyển hoá không ổn định</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Chốt an toàn còn thiếu trong hệ thống</w:t>
            </w:r>
          </w:p>
        </w:tc>
      </w:tr>
      <w:tr>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Điểm thực hành 3.3.1.5</w:t>
            </w:r>
          </w:p>
        </w:tc>
        <w:tc>
          <w:tcPr>
            <w:tcW w:type="pct" w:w="4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Với người cao tuổi có tình trạng suy yếu và thiểu cơ, cân nhắc mục tiêu đạm và năng lượng CAO HƠN</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Chốt an toàn còn thiếu — và đây đúng là nhóm bệnh nhân mục tiêu của dự án</w:t>
            </w:r>
          </w:p>
        </w:tc>
      </w:tr>
      <w:tr>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Khuyến nghị 3.3.2.1</w:t>
            </w:r>
          </w:p>
        </w:tc>
        <w:tc>
          <w:tcPr>
            <w:tcW w:type="pct" w:w="4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Natri dưới 2 g mỗi ngày, tương đương dưới 5 g muối</w:t>
            </w:r>
          </w:p>
        </w:tc>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Khớp với quy tắc hiện có</w:t>
            </w:r>
          </w:p>
        </w:tc>
      </w:tr>
      <w:tr>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Điểm thực hành 3.3.2.1</w:t>
            </w:r>
          </w:p>
        </w:tc>
        <w:tc>
          <w:tcPr>
            <w:tcW w:type="pct" w:w="4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hạn chế muối với bệnh thận mất muối</w:t>
            </w:r>
          </w:p>
        </w:tc>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Trường hợp ngoại lệ cần xử lý riêng</w:t>
            </w:r>
          </w:p>
        </w:tc>
      </w:tr>
    </w:tbl>
    <w:p>
      <w:pPr>
        <w:spacing w:after="120"/>
      </w:pPr>
    </w:p>
    <w:p>
      <w:pPr>
        <w:pStyle w:val="Heading3"/>
        <w:spacing w:after="120" w:before="220"/>
      </w:pPr>
      <w:r>
        <w:rPr>
          <w:rFonts w:ascii="Calibri" w:cs="Calibri" w:eastAsia="Calibri" w:hAnsi="Calibri"/>
          <w:b/>
          <w:bCs/>
          <w:color w:val="595959"/>
          <w:sz w:val="23"/>
          <w:szCs w:val="23"/>
        </w:rPr>
        <w:t xml:space="preserve">6.1.1. Bất đồng giữa các hiệp hội là có thật</w:t>
      </w:r>
    </w:p>
    <w:p>
      <w:pPr>
        <w:spacing w:after="160" w:line="300"/>
        <w:jc w:val="both"/>
      </w:pPr>
      <w:r>
        <w:rPr>
          <w:rFonts w:ascii="Calibri" w:cs="Calibri" w:eastAsia="Calibri" w:hAnsi="Calibri"/>
          <w:i w:val="false"/>
          <w:iCs w:val="false"/>
          <w:sz w:val="22"/>
          <w:szCs w:val="22"/>
        </w:rPr>
        <w:t xml:space="preserve">Ba tổ chức quốc tế đưa ra ba con số khác nhau cho cùng một nhóm bệnh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Hướng dẫn</w:t>
            </w:r>
          </w:p>
        </w:tc>
        <w:tc>
          <w:tcPr>
            <w:tcW w:type="pct" w:w="56.00000000000001%"/>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Khuyến nghị đạm cho bệnh thận mạn giai đoạn 3–5</w:t>
            </w:r>
          </w:p>
        </w:tc>
        <w:tc>
          <w:tcPr>
            <w:tcW w:type="pct" w:w="2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Mức bằng chứng</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KDOQI 2020</w:t>
            </w:r>
          </w:p>
        </w:tc>
        <w:tc>
          <w:tcPr>
            <w:tcW w:type="pct" w:w="56.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0,55–0,60 g/kg với người không mắc đái tháo đường; 0,6–0,8 g/kg với người mắc đái tháo đường</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1A</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KDIGO 2024</w:t>
            </w:r>
          </w:p>
        </w:tc>
        <w:tc>
          <w:tcPr>
            <w:tcW w:type="pct" w:w="56.00000000000001%"/>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0,8 g/kg</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2C</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Hiệp hội Thận Vương quốc Anh</w:t>
            </w:r>
          </w:p>
        </w:tc>
        <w:tc>
          <w:tcPr>
            <w:tcW w:type="pct" w:w="56.00000000000001%"/>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hạn chế</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r>
    </w:tbl>
    <w:p>
      <w:pPr>
        <w:spacing w:after="12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DCE6F5" w:val="clear"/>
            <w:tcMar>
              <w:top w:type="dxa" w:w="140"/>
              <w:left w:type="dxa" w:w="220"/>
              <w:bottom w:type="dxa" w:w="140"/>
              <w:right w:type="dxa" w:w="220"/>
            </w:tcMar>
          </w:tcPr>
          <w:p>
            <w:pPr>
              <w:spacing w:after="0"/>
              <w:jc w:val="both"/>
            </w:pPr>
            <w:r>
              <w:rPr>
                <w:rFonts w:ascii="Calibri" w:cs="Calibri" w:eastAsia="Calibri" w:hAnsi="Calibri"/>
                <w:b/>
                <w:bCs/>
                <w:color w:val="1F3864"/>
                <w:sz w:val="21"/>
                <w:szCs w:val="21"/>
              </w:rPr>
              <w:t xml:space="preserve">Ý nghĩa thiết kế:  </w:t>
            </w:r>
            <w:r>
              <w:rPr>
                <w:rFonts w:ascii="Calibri" w:cs="Calibri" w:eastAsia="Calibri" w:hAnsi="Calibri"/>
                <w:sz w:val="21"/>
                <w:szCs w:val="21"/>
              </w:rPr>
              <w:t xml:space="preserve"> hệ thống không thể giả vờ tồn tại một con số duy nhất đúng. Bắt buộc phải chọn một hướng dẫn và ghi rõ đã chọn theo hướng dẫn nào. Đây chính là lý do mỗi quy tắc trong hệ thống đều có trường ghi nguồn hướng dẫn và mức bằng chứng.</w:t>
            </w:r>
          </w:p>
        </w:tc>
      </w:tr>
    </w:tbl>
    <w:p>
      <w:pPr>
        <w:spacing w:after="120"/>
      </w:pPr>
    </w:p>
    <w:p>
      <w:pPr>
        <w:pStyle w:val="Heading2"/>
        <w:spacing w:after="160" w:before="320"/>
      </w:pPr>
      <w:r>
        <w:rPr>
          <w:rFonts w:ascii="Calibri" w:cs="Calibri" w:eastAsia="Calibri" w:hAnsi="Calibri"/>
          <w:b/>
          <w:bCs/>
          <w:color w:val="2E5395"/>
          <w:sz w:val="26"/>
          <w:szCs w:val="26"/>
        </w:rPr>
        <w:t xml:space="preserve">6.2. ADA Standards of Care in Diabetes 2026</w:t>
      </w:r>
    </w:p>
    <w:p>
      <w:pPr>
        <w:spacing w:after="160" w:line="300"/>
        <w:jc w:val="both"/>
      </w:pPr>
      <w:r>
        <w:rPr>
          <w:rFonts w:ascii="Calibri" w:cs="Calibri" w:eastAsia="Calibri" w:hAnsi="Calibri"/>
          <w:i w:val="false"/>
          <w:iCs w:val="false"/>
          <w:sz w:val="22"/>
          <w:szCs w:val="22"/>
        </w:rPr>
        <w:t xml:space="preserve">Bản cập nhật công bố tháng 1 năm 2026. Các nội dung ảnh hưởng tới thiết kế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 cập nhật</w:t>
            </w:r>
          </w:p>
        </w:tc>
        <w:tc>
          <w:tcPr>
            <w:tcW w:type="pct" w:w="5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Ảnh hưởng tới dự án</w:t>
            </w:r>
          </w:p>
        </w:tc>
      </w:tr>
      <w:tr>
        <w:tc>
          <w:tcPr>
            <w:tcW w:type="pct" w:w="4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Người cao tuổi mắc đái tháo đường cần tối thiểu 0,8 g đạm mỗi kg mỗi ngày để duy trì khối nạc, có thể cao hơn nếu cần phục hồi khối cơ</w:t>
            </w:r>
          </w:p>
        </w:tc>
        <w:tc>
          <w:tcPr>
            <w:tcW w:type="pct" w:w="5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Kết hợp với điểm thực hành 3.3.1.5 của KDIGO, với bệnh nhân cao tuổi mắc đồng thời đái tháo đường và bệnh thận mạn, việc hạ đạm xuống dưới 0,8 đi ngược cả hai hướng dẫn</w:t>
            </w:r>
          </w:p>
        </w:tc>
      </w:tr>
      <w:tr>
        <w:tc>
          <w:tcPr>
            <w:tcW w:type="pct" w:w="4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Sàng lọc thừa cân và béo phì bằng chỉ số khối cơ thể KẾT HỢP tỉ lệ vòng eo trên vòng hông hoặc đo thành phần cơ thể</w:t>
            </w:r>
          </w:p>
        </w:tc>
        <w:tc>
          <w:tcPr>
            <w:tcW w:type="pct" w:w="5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Xác nhận trực tiếp nhóm biến nhân trắc học định kỳ mà hệ thống thu thập ở Tầng 2</w:t>
            </w:r>
          </w:p>
        </w:tc>
      </w:tr>
      <w:tr>
        <w:tc>
          <w:tcPr>
            <w:tcW w:type="pct" w:w="4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Mục tiêu giảm 5 đến 7 phần trăm cân nặng để cải thiện đường huyết và nguy cơ tim mạch</w:t>
            </w:r>
          </w:p>
        </w:tc>
        <w:tc>
          <w:tcPr>
            <w:tcW w:type="pct" w:w="5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Thay cho công thức giảm cân chung</w:t>
            </w:r>
          </w:p>
        </w:tc>
      </w:tr>
      <w:tr>
        <w:tc>
          <w:tcPr>
            <w:tcW w:type="pct" w:w="4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Nhấn mạnh nguồn tinh bột chất lượng cao, ít chế biến, giàu chất xơ, bất kể tổng lượng tinh bột</w:t>
            </w:r>
          </w:p>
        </w:tc>
        <w:tc>
          <w:tcPr>
            <w:tcW w:type="pct" w:w="5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Củng cố quy tắc chất xơ; bổ sung tiêu chí mức độ chế biến</w:t>
            </w:r>
          </w:p>
        </w:tc>
      </w:tr>
      <w:tr>
        <w:tc>
          <w:tcPr>
            <w:tcW w:type="pct" w:w="4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Đánh giá yếu tố xã hội quyết định sức khoẻ khi thiết kế can thiệp nhằm tối đa hoá công bằng y tế</w:t>
            </w:r>
          </w:p>
        </w:tc>
        <w:tc>
          <w:tcPr>
            <w:tcW w:type="pct" w:w="5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Hậu thuẫn cho việc đưa ràng buộc khả năng chi trả vào hệ thống</w:t>
            </w:r>
          </w:p>
        </w:tc>
      </w:tr>
    </w:tbl>
    <w:p>
      <w:pPr>
        <w:spacing w:after="120"/>
      </w:pPr>
    </w:p>
    <w:p>
      <w:pPr>
        <w:spacing w:after="160" w:line="300"/>
        <w:jc w:val="both"/>
      </w:pPr>
      <w:r>
        <w:rPr>
          <w:rFonts w:ascii="Calibri" w:cs="Calibri" w:eastAsia="Calibri" w:hAnsi="Calibri"/>
          <w:i w:val="false"/>
          <w:iCs w:val="false"/>
          <w:sz w:val="22"/>
          <w:szCs w:val="22"/>
        </w:rPr>
        <w:t xml:space="preserve">Hiệp hội Đái tháo đường Hoa Kỳ cho biết sẽ công bố một báo cáo đồng thuận riêng về dinh dưỡng trong năm 2026. Nếu tài liệu này ra trước thời điểm nghiệm thu, bộ quy tắc cần được rà soát lại.</w:t>
      </w:r>
    </w:p>
    <w:p>
      <w:pPr>
        <w:pStyle w:val="Heading2"/>
        <w:spacing w:after="160" w:before="320"/>
      </w:pPr>
      <w:r>
        <w:rPr>
          <w:rFonts w:ascii="Calibri" w:cs="Calibri" w:eastAsia="Calibri" w:hAnsi="Calibri"/>
          <w:b/>
          <w:bCs/>
          <w:color w:val="2E5395"/>
          <w:sz w:val="26"/>
          <w:szCs w:val="26"/>
        </w:rPr>
        <w:t xml:space="preserve">6.3. Một nhận định lâm sàng mà quy tắc hiện tại còn bỏ sót</w:t>
      </w:r>
    </w:p>
    <w:p>
      <w:pPr>
        <w:spacing w:after="160" w:line="300"/>
        <w:jc w:val="both"/>
      </w:pPr>
      <w:r>
        <w:rPr>
          <w:rFonts w:ascii="Calibri" w:cs="Calibri" w:eastAsia="Calibri" w:hAnsi="Calibri"/>
          <w:i w:val="false"/>
          <w:iCs w:val="false"/>
          <w:sz w:val="22"/>
          <w:szCs w:val="22"/>
        </w:rPr>
        <w:t xml:space="preserve">KDIGO 2024 nhấn mạnh chế độ ăn thiên về thực vật, và lưu ý rằng kali cùng phosphat từ thực phẩm thực vật ít chế biến có sinh khả dụng thấp hơn đáng kể so với từ thực phẩm siêu chế biến.</w:t>
      </w:r>
    </w:p>
    <w:p>
      <w:pPr>
        <w:spacing w:after="160" w:line="300"/>
        <w:jc w:val="both"/>
      </w:pPr>
      <w:r>
        <w:rPr>
          <w:rFonts w:ascii="Calibri" w:cs="Calibri" w:eastAsia="Calibri" w:hAnsi="Calibri"/>
          <w:i w:val="false"/>
          <w:iCs w:val="false"/>
          <w:sz w:val="22"/>
          <w:szCs w:val="22"/>
        </w:rPr>
        <w:t xml:space="preserve">Nghĩa là 300 mg kali từ rau xanh không tương đương 300 mg kali từ nước ngọt chứa phụ gia phosphat. Bộ kiểm tra hiện tại chỉ cộng tổng khối lượng, nên sẽ phạt oan rau xanh và bỏ lọt thực phẩm siêu chế biến. Đề xuất bổ sung: thêm trường phân loại sinh khả dụng vào bảng thực phẩm và áp hệ số khi kiểm tra ngưỡng kali và phospho. Đây là cải tiến nhỏ về mặt kỹ thuật nhưng đúng về lâm sàng.</w:t>
      </w:r>
    </w:p>
    <w:p>
      <w:pPr>
        <w:pStyle w:val="Heading2"/>
        <w:spacing w:after="160" w:before="320"/>
      </w:pPr>
      <w:r>
        <w:rPr>
          <w:rFonts w:ascii="Calibri" w:cs="Calibri" w:eastAsia="Calibri" w:hAnsi="Calibri"/>
          <w:b/>
          <w:bCs/>
          <w:color w:val="2E5395"/>
          <w:sz w:val="26"/>
          <w:szCs w:val="26"/>
        </w:rPr>
        <w:t xml:space="preserve">6.4. Bộ quy tắc sau khi sửa</w:t>
      </w:r>
    </w:p>
    <w:p>
      <w:pPr>
        <w:spacing w:after="160" w:line="300"/>
        <w:jc w:val="both"/>
      </w:pPr>
      <w:r>
        <w:rPr>
          <w:rFonts w:ascii="Calibri" w:cs="Calibri" w:eastAsia="Calibri" w:hAnsi="Calibri"/>
          <w:i w:val="false"/>
          <w:iCs w:val="false"/>
          <w:sz w:val="22"/>
          <w:szCs w:val="22"/>
        </w:rPr>
        <w:t xml:space="preserve">Bộ quy tắc lâm sàng đã được cập nhật, bổ sung ba cơ chế mới: quyền ưu tiên giữa các hướng dẫn, cờ an toàn vô hiệu hoá quy tắc, và cờ điều kiện kích hoạt quy tắc.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Mã quy tắc</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Cơ sở</w:t>
            </w:r>
          </w:p>
        </w:tc>
        <w:tc>
          <w:tcPr>
            <w:tcW w:type="pct" w:w="3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Cơ chế</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CKD-PRO-01</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Trần đạm 0,8 g/kg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KDIGO 2024 Khuyến nghị 3.3.1.1, mức 2C</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Bị vô hiệu khi bệnh nhân có cờ suy yếu/thiểu cơ hoặc chuyển hoá không ổn định. Mức cảnh báo, không chặn cứng, vì đây là khuyến nghị yếu</w:t>
            </w:r>
          </w:p>
        </w:tc>
      </w:tr>
      <w:tr>
        <w:tc>
          <w:tcPr>
            <w:tcW w:type="pct" w:w="1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CKD-PRO-02</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Sàn đạm 0,6 g/kg</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KDOQI 2020. KDIGO 2024 không đặt mức tối thiểu; đây là lựa chọn có ý thức của dự án để phòng suy dinh dưỡng</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Bị vô hiệu khi chuyển hoá không ổn định</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CKD-PRO-05</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Trần đạm tuyệt đối 1,3 g/kg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KDIGO 2024 Điểm thực hành 3.3.1.1</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Chặn cứng. Không cờ nào vô hiệu hoá được — vẫn giữ hiệu lực ngay cả khi các quy tắc khác đã bị gỡ</w:t>
            </w:r>
          </w:p>
        </w:tc>
      </w:tr>
      <w:tr>
        <w:tc>
          <w:tcPr>
            <w:tcW w:type="pct" w:w="1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T2DM-PRO-02</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Sàn đạm 0,8 g/kg cho người cao tuổi</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ADA Standards of Care 2026</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kích hoạt khi bệnh nhân từ 65 tuổi trở lên</w:t>
            </w:r>
          </w:p>
        </w:tc>
      </w:tr>
      <w:tr>
        <w:tc>
          <w:tcPr>
            <w:tcW w:type="pct" w:w="1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CKD-NA-01</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Trần natri 2000 mg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KDIGO 2024 Khuyến nghị 3.3.2.1, mức 2C</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Dự án CHỦ Ý đặt mức chặn cứng dù khuyến nghị là yếu, vì kiểm soát natri là trục chính của bài toán. Lựa chọn này được ghi nhận công khai trong dữ liệu</w:t>
            </w:r>
          </w:p>
        </w:tc>
      </w:tr>
    </w:tbl>
    <w:p>
      <w:pPr>
        <w:spacing w:after="120"/>
      </w:pPr>
    </w:p>
    <w:p>
      <w:pPr>
        <w:pStyle w:val="Heading3"/>
        <w:spacing w:after="120" w:before="220"/>
      </w:pPr>
      <w:r>
        <w:rPr>
          <w:rFonts w:ascii="Calibri" w:cs="Calibri" w:eastAsia="Calibri" w:hAnsi="Calibri"/>
          <w:b/>
          <w:bCs/>
          <w:color w:val="595959"/>
          <w:sz w:val="23"/>
          <w:szCs w:val="23"/>
        </w:rPr>
        <w:t xml:space="preserve">6.4.1. Hành vi hệ thống sau khi sửa — bốn tình huống kiểm chứng</w:t>
      </w:r>
    </w:p>
    <w:p>
      <w:pPr>
        <w:spacing w:after="160" w:line="300"/>
        <w:jc w:val="both"/>
      </w:pPr>
      <w:r>
        <w:rPr>
          <w:rFonts w:ascii="Calibri" w:cs="Calibri" w:eastAsia="Calibri" w:hAnsi="Calibri"/>
          <w:i w:val="false"/>
          <w:iCs w:val="false"/>
          <w:sz w:val="22"/>
          <w:szCs w:val="22"/>
        </w:rPr>
        <w:t xml:space="preserve">Bộ quy tắc mới đã được kiểm chứng bằng chương trình trên bốn hồ sơ đại diện, kết quả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Tình huống</w:t>
            </w:r>
          </w:p>
        </w:tc>
        <w:tc>
          <w:tcPr>
            <w:tcW w:type="pct" w:w="4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Định mức đạm</w:t>
            </w:r>
          </w:p>
        </w:tc>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Chuyển chuyên gia</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thận mạn giai đoạn 4, 58 tuổi, chuyển hoá ổn định</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39 đến 52 g mỗi ngày, tương ứng 0,6 đến 0,8 g/kg</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thận mạn giai đoạn 4, 72 tuổi, CÓ suy yếu và thiểu cơ</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39 đến 84,5 g — trần 0,8 g/kg đã được gỡ theo điểm thực hành 3.3.1.5, chỉ còn trần an toàn 1,3 g/kg</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kèm ghi chú nêu rõ quy tắc nào bị gỡ và căn cứ</w:t>
            </w:r>
          </w:p>
        </w:tc>
      </w:tr>
      <w:tr>
        <w:tc>
          <w:tcPr>
            <w:tcW w:type="pct" w:w="3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Bệnh thận mạn giai đoạn 4, chuyển hoá KHÔNG ổn định</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còn trần an toàn 1,3 g/kg; cả trần và sàn hạn chế đều bị gỡ theo điểm thực hành 3.3.1.3</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w:t>
            </w:r>
          </w:p>
        </w:tc>
      </w:tr>
      <w:tr>
        <w:tc>
          <w:tcPr>
            <w:tcW w:type="pct" w:w="3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Đái tháo đường týp 2 kèm bệnh thận mạn giai đoạn 4, 72 tuổi</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Sàn 52 g theo ADA gặp đúng trần 52 g theo KDIGO — dải cho phép rộng bằng không</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Có. Hệ thống phát hiện dải quá hẹp, không tự chọn bên nào</w:t>
            </w:r>
          </w:p>
        </w:tc>
      </w:tr>
    </w:tbl>
    <w:p>
      <w:pPr>
        <w:spacing w:after="120"/>
      </w:pP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Vì sao tình huống thứ tư quan trọng:  </w:t>
            </w:r>
            <w:r>
              <w:rPr>
                <w:rFonts w:ascii="Calibri" w:cs="Calibri" w:eastAsia="Calibri" w:hAnsi="Calibri"/>
                <w:sz w:val="21"/>
                <w:szCs w:val="21"/>
              </w:rPr>
              <w:t xml:space="preserve"> đây là điểm mà hai hướng dẫn quốc tế gặp nhau tại đúng một giá trị, khiến không thực đơn nào thoả mãn được. Một hệ thống kém sẽ âm thầm chọn một bên. Hệ thống này phát hiện và chuyển cho chuyên gia quyết định — đúng nguyên tắc con người là chốt chặn cuối.</w:t>
            </w:r>
          </w:p>
        </w:tc>
      </w:tr>
    </w:tbl>
    <w:p>
      <w:pPr>
        <w:spacing w:after="120"/>
      </w:pPr>
    </w:p>
    <w:p>
      <w:pPr>
        <w:pStyle w:val="Heading2"/>
        <w:spacing w:after="160" w:before="320"/>
      </w:pPr>
      <w:r>
        <w:rPr>
          <w:rFonts w:ascii="Calibri" w:cs="Calibri" w:eastAsia="Calibri" w:hAnsi="Calibri"/>
          <w:b/>
          <w:bCs/>
          <w:color w:val="2E5395"/>
          <w:sz w:val="26"/>
          <w:szCs w:val="26"/>
        </w:rPr>
        <w:t xml:space="preserve">6.5. Đính chính số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w:t>
            </w:r>
          </w:p>
        </w:tc>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Trước</w:t>
            </w:r>
          </w:p>
        </w:tc>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Sau</w:t>
            </w:r>
          </w:p>
        </w:tc>
        <w:tc>
          <w:tcPr>
            <w:tcW w:type="pct" w:w="28.00000000000000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Lý do</w:t>
            </w:r>
          </w:p>
        </w:tc>
      </w:tr>
      <w:tr>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Mức tiêu thụ muối</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8,1 đến 9,4 g mỗi ngày</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8,1 g mỗi ngày theo Điều tra STEPS 2021</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Hai con số đến từ hai cuộc điều tra khác nhau, không phải một khoảng. Con số 8,1 g được chính Viện Dinh dưỡng dẫn lại trong tài liệu năm 2026</w:t>
            </w:r>
          </w:p>
        </w:tc>
      </w:tr>
      <w:tr>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thành phần thực phẩm</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Ngụ ý bản 2007 là bản mới nhất</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Ghi rõ là bản 2007; ghi nhận tồn tại bản 2017 với 628 thực phẩm</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Tránh khẳng định sai về phiên bản</w:t>
            </w:r>
          </w:p>
        </w:tc>
      </w:tr>
    </w:tbl>
    <w:p>
      <w:pPr>
        <w:spacing w:after="120"/>
      </w:pPr>
    </w:p>
    <w:p>
      <w:pPr>
        <w:pStyle w:val="Heading2"/>
        <w:spacing w:after="160" w:before="320"/>
      </w:pPr>
      <w:r>
        <w:rPr>
          <w:rFonts w:ascii="Calibri" w:cs="Calibri" w:eastAsia="Calibri" w:hAnsi="Calibri"/>
          <w:b/>
          <w:bCs/>
          <w:color w:val="2E5395"/>
          <w:sz w:val="26"/>
          <w:szCs w:val="26"/>
        </w:rPr>
        <w:t xml:space="preserve">6.6. Việc còn phải làm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7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Nội dung</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Ưu tiên</w:t>
            </w:r>
          </w:p>
        </w:tc>
      </w:tr>
      <w:tr>
        <w:tc>
          <w:tcPr>
            <w:tcW w:type="pct" w:w="7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Đối chiếu từng ngưỡng trong bộ quy tắc với văn bản hướng dẫn gốc, chuyển trạng thái từ chờ kiểm chứng sang đã kiểm chứng</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Cao</w:t>
            </w:r>
          </w:p>
        </w:tc>
      </w:tr>
      <w:tr>
        <w:tc>
          <w:tcPr>
            <w:tcW w:type="pct" w:w="7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Áp dụng khung tiêu chí của chuẩn đánh giá quốc tế cho bộ 60 ca tiếng Việt</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Cao</w:t>
            </w:r>
          </w:p>
        </w:tc>
      </w:tr>
      <w:tr>
        <w:tc>
          <w:tcPr>
            <w:tcW w:type="pct" w:w="7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Trích xuất bảng thành phần thực phẩm từ tệp PDF, gồm bước chuyển bảng mã tiếng Việt; liên hệ thư viện về bản 2017</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Cao</w:t>
            </w:r>
          </w:p>
        </w:tc>
      </w:tr>
      <w:tr>
        <w:tc>
          <w:tcPr>
            <w:tcW w:type="pct" w:w="7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Đánh giá độ phủ nguyên liệu Việt Nam trong bộ từ vựng của mô hình biểu diễn nguyên liệu</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7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Thu thập giá thực phẩm kèm ngày và nguồn cho khoảng 50 nguyên liệu chính</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7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Bổ sung trường phân loại sinh khả dụng cho kali và phospho</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7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Rà lại bộ quy tắc nếu báo cáo đồng thuận về dinh dưỡng của ADA công bố trước thời điểm nghiệm thu</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Theo dõi</w:t>
            </w:r>
          </w:p>
        </w:tc>
      </w:tr>
    </w:tbl>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7. TẬN DỤNG DỮ LIỆU VÀ MÔ HÌNH CÓ SẴN — THIẾT KẾ TÍCH HỢP</w:t>
      </w:r>
    </w:p>
    <w:p>
      <w:pPr>
        <w:spacing w:after="160" w:line="300"/>
        <w:jc w:val="both"/>
      </w:pPr>
      <w:r>
        <w:rPr>
          <w:rFonts w:ascii="Calibri" w:cs="Calibri" w:eastAsia="Calibri" w:hAnsi="Calibri"/>
          <w:i w:val="false"/>
          <w:iCs w:val="false"/>
          <w:sz w:val="22"/>
          <w:szCs w:val="22"/>
        </w:rPr>
        <w:t xml:space="preserve">Chương này trả lời câu hỏi triển khai: với các tài nguyên đã khảo sát ở Chương 5, cụ thể là dùng cái gì, ở đâu trong hệ thống, và với ràng buộc an toàn nào. Trọng tâm là ba nhóm ứng dụng: thị giác máy tính để nhận dạng và phân tách món ăn, xử lý ngôn ngữ để tư vấn và hướng dẫn nấu ăn, và cảnh báo tương tác thuốc.</w:t>
      </w:r>
    </w:p>
    <w:p>
      <w:pPr>
        <w:pStyle w:val="Heading2"/>
        <w:spacing w:after="160" w:before="320"/>
      </w:pPr>
      <w:r>
        <w:rPr>
          <w:rFonts w:ascii="Calibri" w:cs="Calibri" w:eastAsia="Calibri" w:hAnsi="Calibri"/>
          <w:b/>
          <w:bCs/>
          <w:color w:val="2E5395"/>
          <w:sz w:val="26"/>
          <w:szCs w:val="26"/>
        </w:rPr>
        <w:t xml:space="preserve">7.1. Nguyên tắc phân tuyến — điều kiện để dùng mô hình một cách an toàn</w:t>
      </w:r>
    </w:p>
    <w:p>
      <w:pPr>
        <w:spacing w:after="160" w:line="300"/>
        <w:jc w:val="both"/>
      </w:pPr>
      <w:r>
        <w:rPr>
          <w:rFonts w:ascii="Calibri" w:cs="Calibri" w:eastAsia="Calibri" w:hAnsi="Calibri"/>
          <w:i w:val="false"/>
          <w:iCs w:val="false"/>
          <w:sz w:val="22"/>
          <w:szCs w:val="22"/>
        </w:rPr>
        <w:t xml:space="preserve">Mọi mô hình bên ngoài đưa vào hệ thống đều được xếp vào đúng một trong ba tuyến. Tuyến quy định mô hình đó được phép làm gì và kết quả của nó đi tiếp theo đường nào.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Tuyến</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Được phép làm</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Không được làm</w:t>
            </w:r>
          </w:p>
        </w:tc>
        <w:tc>
          <w:tcPr>
            <w:tcW w:type="pct" w:w="28.00000000000000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Điều kiện đi tiếp</w:t>
            </w:r>
          </w:p>
        </w:tc>
      </w:tr>
      <w:tr>
        <w:tc>
          <w:tcPr>
            <w:tcW w:type="pct" w:w="1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 — Sinh số</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Tra cứu và cộng giá trị dinh dưỡng từ bảng thành phần thực phẩm; kiểm tra ngưỡng lâm sàng</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có mô hình học máy nào được đặt ở tuyến này</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Kết quả là số liệu chính thức của hệ thống</w:t>
            </w:r>
          </w:p>
        </w:tc>
      </w:tr>
      <w:tr>
        <w:tc>
          <w:tcPr>
            <w:tcW w:type="pct" w:w="1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 — Gợi ý</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Nhận dạng món, phân tách nguyên liệu, nhận dạng tiếng nói, trích xuất tên thuốc, chuẩn hoá tên món</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được sinh ra bất kỳ con số dinh dưỡng nào; không được đi thẳng sang tuyến A</w:t>
            </w:r>
          </w:p>
        </w:tc>
        <w:tc>
          <w:tcPr>
            <w:tcW w:type="pct" w:w="28.00000000000000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Bắt buộc qua bước người dùng xác nhận danh sách món và khối lượng</w:t>
            </w:r>
          </w:p>
        </w:tc>
      </w:tr>
      <w:tr>
        <w:tc>
          <w:tcPr>
            <w:tcW w:type="pct" w:w="1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 — Diễn đạt</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Giải thích khuyến nghị, hướng dẫn cách chế biến, đọc thành tiếng, trả lời câu hỏi dinh dưỡng có trích dẫn</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được thay đổi số liệu đã tính; không được đưa ra chỉ định y khoa</w:t>
            </w:r>
          </w:p>
        </w:tc>
        <w:tc>
          <w:tcPr>
            <w:tcW w:type="pct" w:w="28.00000000000000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hoạt động trên thực đơn đã được chuyên gia duyệt</w:t>
            </w:r>
          </w:p>
        </w:tc>
      </w:tr>
    </w:tbl>
    <w:p>
      <w:pPr>
        <w:spacing w:after="12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DCE6F5" w:val="clear"/>
            <w:tcMar>
              <w:top w:type="dxa" w:w="140"/>
              <w:left w:type="dxa" w:w="220"/>
              <w:bottom w:type="dxa" w:w="140"/>
              <w:right w:type="dxa" w:w="220"/>
            </w:tcMar>
          </w:tcPr>
          <w:p>
            <w:pPr>
              <w:spacing w:after="0"/>
              <w:jc w:val="both"/>
            </w:pPr>
            <w:r>
              <w:rPr>
                <w:rFonts w:ascii="Calibri" w:cs="Calibri" w:eastAsia="Calibri" w:hAnsi="Calibri"/>
                <w:b/>
                <w:bCs/>
                <w:color w:val="1F3864"/>
                <w:sz w:val="21"/>
                <w:szCs w:val="21"/>
              </w:rPr>
              <w:t xml:space="preserve">Vì sao phân tuyến là điều kiện tiên quyết:  </w:t>
            </w:r>
            <w:r>
              <w:rPr>
                <w:rFonts w:ascii="Calibri" w:cs="Calibri" w:eastAsia="Calibri" w:hAnsi="Calibri"/>
                <w:sz w:val="21"/>
                <w:szCs w:val="21"/>
              </w:rPr>
              <w:t xml:space="preserve"> Chương 4 cho thấy mô hình thị giác tốt nhất còn sai số 16,5% và mô hình ngôn ngữ đa phương thức khoảng 36%, trong khi ngưỡng lâm sàng là 10%. Nhưng cùng những mô hình đó lại rất tốt ở việc trả lời câu hỏi "trong ảnh này có những món gì". Phân tuyến cho phép khai thác đúng phần mô hình làm tốt mà không để sai số của chúng chảy vào con số cuối cùng.</w:t>
            </w:r>
          </w:p>
        </w:tc>
      </w:tr>
    </w:tbl>
    <w:p>
      <w:pPr>
        <w:spacing w:after="120"/>
      </w:pPr>
    </w:p>
    <w:p>
      <w:pPr>
        <w:spacing w:after="80" w:before="160"/>
        <w:jc w:val="center"/>
      </w:pPr>
      <w:r>
        <w:drawing>
          <wp:inline distT="0" distB="0" distL="0" distR="0">
            <wp:extent cx="44767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70535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Hình 7.1 — Ba tuyến xử lý và vị trí của từng mô hình bên ngoài</w:t>
      </w:r>
    </w:p>
    <w:p>
      <w:pPr>
        <w:pStyle w:val="Heading2"/>
        <w:spacing w:after="160" w:before="320"/>
      </w:pPr>
      <w:r>
        <w:rPr>
          <w:rFonts w:ascii="Calibri" w:cs="Calibri" w:eastAsia="Calibri" w:hAnsi="Calibri"/>
          <w:b/>
          <w:bCs/>
          <w:color w:val="2E5395"/>
          <w:sz w:val="26"/>
          <w:szCs w:val="26"/>
        </w:rPr>
        <w:t xml:space="preserve">7.2. Thị giác máy tính — dùng được tới đâu</w:t>
      </w:r>
    </w:p>
    <w:p>
      <w:pPr>
        <w:pStyle w:val="Heading3"/>
        <w:spacing w:after="120" w:before="220"/>
      </w:pPr>
      <w:r>
        <w:rPr>
          <w:rFonts w:ascii="Calibri" w:cs="Calibri" w:eastAsia="Calibri" w:hAnsi="Calibri"/>
          <w:b/>
          <w:bCs/>
          <w:color w:val="595959"/>
          <w:sz w:val="23"/>
          <w:szCs w:val="23"/>
        </w:rPr>
        <w:t xml:space="preserve">7.2.1. Đánh giá thẳng từng tầng năng lực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Tầng năng lực</w:t>
            </w:r>
          </w:p>
        </w:tc>
        <w:tc>
          <w:tcPr>
            <w:tcW w:type="pct" w:w="3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Tài nguyên có sẵn</w:t>
            </w:r>
          </w:p>
        </w:tc>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Mức độ chính xác đã công bố</w:t>
            </w:r>
          </w:p>
        </w:tc>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Kết luận</w:t>
            </w:r>
          </w:p>
        </w:tc>
      </w:tr>
      <w:tr>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Nhận dạng tên món</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30VNFoods (25.136 ảnh, 30 món); VinaFood21 (13.950 ảnh, 21 món). Kiến trúc đạt kết quả tốt nhất: ConvNeXt V2, hoặc bổ sung khối chú ý quay</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khoảng 95% trên 30 món; 94,9% trên 21 món</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Dùng được cho gợi ý, nhưng độ phủ chỉ 21–30 món nên phải luôn kèm ô tìm kiếm thủ công</w:t>
            </w:r>
          </w:p>
        </w:tc>
      </w:tr>
      <w:tr>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Phân tách nguyên liệu ở mức điểm ảnh</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dữ liệu FoodSeg103 (4.983 ảnh huấn luyện, 29.530 mặt nạ nguyên liệu, 104 lớp). Mô hình: SegFormer tinh chỉnh, FoodSAM, IngredSAM</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SegFormer-B1: độ chính xác điểm ảnh 0,79 nhưng chỉ số giao trên hợp trung bình chỉ 0,32</w:t>
            </w:r>
          </w:p>
        </w:tc>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Nhận biết được có nguyên liệu gì, nhưng ranh giới và diện tích chưa đủ tin cậy. KHÔNG dùng để suy ra khối lượng</w:t>
            </w:r>
          </w:p>
        </w:tc>
      </w:tr>
      <w:tr>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Ước tính khẩu phần từ ảnh</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Nutrition5k có dữ liệu chiều sâu; các phương pháp dựa trên mô hình ba chiều</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sai số phần trăm tuyệt đối tốt nhất 16,5%</w:t>
            </w:r>
          </w:p>
        </w:tc>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Vượt ngưỡng lâm sàng 10%. Không đưa vào hệ thống ở giai đoạn này</w:t>
            </w:r>
          </w:p>
        </w:tc>
      </w:tr>
    </w:tbl>
    <w:p>
      <w:pPr>
        <w:spacing w:after="120"/>
      </w:pPr>
    </w:p>
    <w:p>
      <w:pPr>
        <w:pStyle w:val="Heading3"/>
        <w:spacing w:after="120" w:before="220"/>
      </w:pPr>
      <w:r>
        <w:rPr>
          <w:rFonts w:ascii="Calibri" w:cs="Calibri" w:eastAsia="Calibri" w:hAnsi="Calibri"/>
          <w:b/>
          <w:bCs/>
          <w:color w:val="595959"/>
          <w:sz w:val="23"/>
          <w:szCs w:val="23"/>
        </w:rPr>
        <w:t xml:space="preserve">7.2.2. Thiết kế được chọn: ghi nhật ký có thị giác hỗ trợ</w:t>
      </w:r>
    </w:p>
    <w:p>
      <w:pPr>
        <w:spacing w:after="160" w:line="300"/>
        <w:jc w:val="both"/>
      </w:pPr>
      <w:r>
        <w:rPr>
          <w:rFonts w:ascii="Calibri" w:cs="Calibri" w:eastAsia="Calibri" w:hAnsi="Calibri"/>
          <w:i w:val="false"/>
          <w:iCs w:val="false"/>
          <w:sz w:val="22"/>
          <w:szCs w:val="22"/>
        </w:rPr>
        <w:t xml:space="preserve">Thay vì để thị giác tính dinh dưỡng, hệ thống dùng thị giác để rút ngắn thao tác nhập liệu. Luồng cụ thể:</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Người dùng chụp ảnh mâm cơm.</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Mô hình phân tách đề xuất danh sách nguyên liệu nhìn thấy được; mô hình nhận dạng món đề xuất tên món nếu khớp với danh mục đã biết.</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Hệ thống hiển thị danh sách đề xuất kèm mức độ tin cậy, và tự động ánh xạ về mã thực phẩm trong cơ sở dữ liệu.</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Người dùng xác nhận, sửa hoặc thêm bớt, và nhập khối lượng bằng đơn vị quen thuộc như bát, thìa, miếng. Đây là bước bắt buộc, không bỏ qua được.</w:t>
      </w:r>
    </w:p>
    <w:p>
      <w:pPr>
        <w:spacing w:after="100" w:line="290"/>
        <w:ind w:left="460" w:hanging="300"/>
        <w:jc w:val="both"/>
      </w:pPr>
      <w:r>
        <w:rPr>
          <w:rFonts w:ascii="Calibri" w:cs="Calibri" w:eastAsia="Calibri" w:hAnsi="Calibri"/>
          <w:sz w:val="22"/>
          <w:szCs w:val="22"/>
        </w:rPr>
        <w:t xml:space="preserve">5. </w:t>
      </w:r>
      <w:r>
        <w:rPr>
          <w:rFonts w:ascii="Calibri" w:cs="Calibri" w:eastAsia="Calibri" w:hAnsi="Calibri"/>
          <w:sz w:val="22"/>
          <w:szCs w:val="22"/>
        </w:rPr>
        <w:t xml:space="preserve">Sau khi xác nhận, hệ thống tra bảng thành phần thực phẩm và tính toán bằng truy vấn cơ sở dữ liệu, giống hệt như khi người dùng nhập tay hoàn toàn.</w:t>
      </w:r>
    </w:p>
    <w:p>
      <w:pPr>
        <w:spacing w:after="160" w:line="300"/>
        <w:jc w:val="both"/>
      </w:pPr>
      <w:r>
        <w:rPr>
          <w:rFonts w:ascii="Calibri" w:cs="Calibri" w:eastAsia="Calibri" w:hAnsi="Calibri"/>
          <w:i w:val="false"/>
          <w:iCs w:val="false"/>
          <w:sz w:val="22"/>
          <w:szCs w:val="22"/>
        </w:rPr>
        <w:t xml:space="preserve">Giá trị mang lại: giảm thời gian ghi một bữa ăn từ khoảng một phút xuống dưới hai mươi giây, mà không đưa thêm bất kỳ sai số nào vào con số dinh dưỡng. Nếu mô hình thị giác đoán sai, hậu quả duy nhất là người dùng phải sửa một dòng — không phải một khuyến nghị lâm sàng sai.</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Ràng buộc kỹ thuật bắt buộc:  </w:t>
            </w:r>
            <w:r>
              <w:rPr>
                <w:rFonts w:ascii="Calibri" w:cs="Calibri" w:eastAsia="Calibri" w:hAnsi="Calibri"/>
                <w:sz w:val="21"/>
                <w:szCs w:val="21"/>
              </w:rPr>
              <w:t xml:space="preserve"> đầu ra của tầng thị giác chỉ được chứa mã thực phẩm và độ tin cậy, tuyệt đối không chứa trường khối lượng hay giá trị dinh dưỡng. Đây là cùng một cơ chế đã áp dụng cho mô hình ngôn ngữ ở tầng sinh thực đơn, và cũng được kiểm tra tự động trong bộ kiểm thử.</w:t>
            </w:r>
          </w:p>
        </w:tc>
      </w:tr>
    </w:tbl>
    <w:p>
      <w:pPr>
        <w:spacing w:after="120"/>
      </w:pPr>
    </w:p>
    <w:p>
      <w:pPr>
        <w:pStyle w:val="Heading2"/>
        <w:spacing w:after="160" w:before="320"/>
      </w:pPr>
      <w:r>
        <w:rPr>
          <w:rFonts w:ascii="Calibri" w:cs="Calibri" w:eastAsia="Calibri" w:hAnsi="Calibri"/>
          <w:b/>
          <w:bCs/>
          <w:color w:val="2E5395"/>
          <w:sz w:val="26"/>
          <w:szCs w:val="26"/>
        </w:rPr>
        <w:t xml:space="preserve">7.3. Mô hình ngôn ngữ tiếng Việt — nhóm tài nguyên bị bỏ sót</w:t>
      </w:r>
    </w:p>
    <w:p>
      <w:pPr>
        <w:spacing w:after="160" w:line="300"/>
        <w:jc w:val="both"/>
      </w:pPr>
      <w:r>
        <w:rPr>
          <w:rFonts w:ascii="Calibri" w:cs="Calibri" w:eastAsia="Calibri" w:hAnsi="Calibri"/>
          <w:i w:val="false"/>
          <w:iCs w:val="false"/>
          <w:sz w:val="22"/>
          <w:szCs w:val="22"/>
        </w:rPr>
        <w:t xml:space="preserve">Khảo sát kho mô hình công khai cho thấy tuy không có mô hình nhận dạng món ăn Việt Nam nào sẵn dùng, nhưng hệ sinh thái mô hình ngôn ngữ tiếng Việt lại rất phong phú và có giấy phép mở. Đây là nhóm tài nguyên có tỉ lệ giá trị trên công sức cao nhất mà dự án có thể khai thác ngay.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Nhu cầu trong hệ thống</w:t>
            </w:r>
          </w:p>
        </w:tc>
        <w:tc>
          <w:tcPr>
            <w:tcW w:type="pct" w:w="2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Mô hình sẵn có</w:t>
            </w:r>
          </w:p>
        </w:tc>
        <w:tc>
          <w:tcPr>
            <w:tcW w:type="pct" w:w="2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Quy mô và giấy phép</w:t>
            </w:r>
          </w:p>
        </w:tc>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Ghi chú triển khai</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Truy xuất hướng dẫn lâm sàng tiếng Việt</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vietnamese-bi-encoder của BKAI</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135 triệu tham số, giấy phép Apache 2.0, hơn 2,8 triệu lượt tải</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Nhỏ, chạy được trên máy chủ miễn phí không cần card đồ hoạ. Đã được dùng trong hàng chục ứng dụng hỏi đáp pháp luật và y tế tiếng Việt</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Nâng chất lượng truy xuất</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Vietnamese_Reranker của AITeamVN</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568 triệu tham số, Apache 2.0</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Xếp hạng lại kết quả sau bước truy xuất. Chỉ bật khi cần độ chính xác cao vì tốn tài nguyên hơn</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Phương án thay thế cho truy xuất</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Vietnamese_Embedding_v2 của AITeamVN</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568 triệu tham số, Apache 2.0, có bản tối ưu ONNX</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Mạnh hơn nhưng nặng hơn. Chọn theo tài nguyên máy chủ thực tế</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Trích xuất tên thuốc và bệnh từ văn bản tiếng Việt</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Qwen2.5-7B-Vietnamese-Medical-NER</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7,6 tỉ tham số</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Quá lớn để tự chạy trên hạ tầng miễn phí; gọi qua dịch vụ suy luận. Dùng cho bài toán đọc đơn thuốc</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Nhập liệu bằng giọng nói</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wav2vec2-base-vietnamese-250h; parakeet-ctc-0.6b-Vietnamese của NVIDIA</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Mã nguồn mở</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Xem mục 7.3.1</w:t>
            </w:r>
          </w:p>
        </w:tc>
      </w:tr>
      <w:tr>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Đọc thực đơn thành tiếng</w:t>
            </w:r>
          </w:p>
        </w:tc>
        <w:tc>
          <w:tcPr>
            <w:tcW w:type="pct" w:w="2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F5-TTS-Vietnamese-ViVoice; Kokoro-Vietnamese</w:t>
            </w:r>
          </w:p>
        </w:tc>
        <w:tc>
          <w:tcPr>
            <w:tcW w:type="pct" w:w="2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Mã nguồn mở</w:t>
            </w:r>
          </w:p>
        </w:tc>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Xem mục 7.3.1</w:t>
            </w:r>
          </w:p>
        </w:tc>
      </w:tr>
      <w:tr>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hoá tên món người dùng gõ sai</w:t>
            </w:r>
          </w:p>
        </w:tc>
        <w:tc>
          <w:tcPr>
            <w:tcW w:type="pct" w:w="2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vietnamese-correction-v2</w:t>
            </w:r>
          </w:p>
        </w:tc>
        <w:tc>
          <w:tcPr>
            <w:tcW w:type="pct" w:w="2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Mã nguồn mở</w:t>
            </w:r>
          </w:p>
        </w:tc>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Xử lý lỗi gõ thiếu dấu, sai chính tả trước khi tra cứu tên món</w:t>
            </w:r>
          </w:p>
        </w:tc>
      </w:tr>
    </w:tbl>
    <w:p>
      <w:pPr>
        <w:spacing w:after="120"/>
      </w:pPr>
    </w:p>
    <w:p>
      <w:pPr>
        <w:pStyle w:val="Heading3"/>
        <w:spacing w:after="120" w:before="220"/>
      </w:pPr>
      <w:r>
        <w:rPr>
          <w:rFonts w:ascii="Calibri" w:cs="Calibri" w:eastAsia="Calibri" w:hAnsi="Calibri"/>
          <w:b/>
          <w:bCs/>
          <w:color w:val="595959"/>
          <w:sz w:val="23"/>
          <w:szCs w:val="23"/>
        </w:rPr>
        <w:t xml:space="preserve">7.3.1. Giọng nói — hướng khai thác phù hợp nhất với người dùng mục tiêu</w:t>
      </w:r>
    </w:p>
    <w:p>
      <w:pPr>
        <w:spacing w:after="160" w:line="300"/>
        <w:jc w:val="both"/>
      </w:pPr>
      <w:r>
        <w:rPr>
          <w:rFonts w:ascii="Calibri" w:cs="Calibri" w:eastAsia="Calibri" w:hAnsi="Calibri"/>
          <w:i w:val="false"/>
          <w:iCs w:val="false"/>
          <w:sz w:val="22"/>
          <w:szCs w:val="22"/>
        </w:rPr>
        <w:t xml:space="preserve">Nhóm bệnh nhân mục tiêu của dự án phần lớn trên 40 tuổi, trong đó một tỉ lệ đáng kể hạn chế về thao tác công nghệ. Việc yêu cầu họ gõ tên món ăn nhiều lần mỗi ngày là rào cản thực tế lớn hơn nhiều so với vấn đề kỹ thuật.</w:t>
      </w:r>
    </w:p>
    <w:p>
      <w:pPr>
        <w:spacing w:after="160" w:line="300"/>
        <w:jc w:val="both"/>
      </w:pPr>
      <w:r>
        <w:rPr>
          <w:rFonts w:ascii="Calibri" w:cs="Calibri" w:eastAsia="Calibri" w:hAnsi="Calibri"/>
          <w:i w:val="false"/>
          <w:iCs w:val="false"/>
          <w:sz w:val="22"/>
          <w:szCs w:val="22"/>
        </w:rPr>
        <w:t xml:space="preserve">Hệ sinh thái tiếng Việt có sẵn cả mô hình nhận dạng tiếng nói lẫn mô hình đọc văn bản thành tiếng, đều mã nguồn mở. Hai hướng khai thác:</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Ghi nhật ký bằng giọng nói. </w:t>
      </w:r>
      <w:r>
        <w:rPr>
          <w:rFonts w:ascii="Calibri" w:cs="Calibri" w:eastAsia="Calibri" w:hAnsi="Calibri"/>
          <w:b w:val="false"/>
          <w:bCs w:val="false"/>
          <w:i w:val="false"/>
          <w:iCs w:val="false"/>
          <w:sz w:val="22"/>
          <w:szCs w:val="22"/>
        </w:rPr>
        <w:t xml:space="preserve">N</w:t>
      </w:r>
    </w:p>
    <w:p>
      <w:pPr>
        <w:pStyle w:val="ListParagraph"/>
        <w:numPr>
          <w:ilvl w:val="0"/>
          <w:numId w:val="2"/>
        </w:numPr>
        <w:spacing w:after="100" w:line="290"/>
        <w:jc w:val="both"/>
      </w:pPr>
      <w:r>
        <w:rPr>
          <w:rFonts w:ascii="Calibri" w:cs="Calibri" w:eastAsia="Calibri" w:hAnsi="Calibri"/>
          <w:b/>
          <w:bCs/>
          <w:i w:val="false"/>
          <w:iCs w:val="false"/>
          <w:sz w:val="22"/>
          <w:szCs w:val="22"/>
        </w:rPr>
        <w:t xml:space="preserve">Đọc thực đơn và cảnh báo thành tiếng. </w:t>
      </w:r>
      <w:r>
        <w:rPr>
          <w:rFonts w:ascii="Calibri" w:cs="Calibri" w:eastAsia="Calibri" w:hAnsi="Calibri"/>
          <w:b w:val="false"/>
          <w:bCs w:val="false"/>
          <w:i w:val="false"/>
          <w:iCs w:val="false"/>
          <w:sz w:val="22"/>
          <w:szCs w:val="22"/>
        </w:rPr>
        <w:t xml:space="preserve">Đ</w:t>
      </w:r>
    </w:p>
    <w:p>
      <w:pPr>
        <w:spacing w:after="160" w:line="300"/>
        <w:jc w:val="both"/>
      </w:pPr>
      <w:r>
        <w:rPr>
          <w:rFonts w:ascii="Calibri" w:cs="Calibri" w:eastAsia="Calibri" w:hAnsi="Calibri"/>
          <w:i w:val="false"/>
          <w:iCs w:val="false"/>
          <w:sz w:val="22"/>
          <w:szCs w:val="22"/>
        </w:rPr>
        <w:t xml:space="preserve">Đây là hướng khai thác có chi phí kỹ thuật thấp nhưng tạo khác biệt rõ về trải nghiệm, và trực tiếp giải quyết một rào cản đã nêu trong phần phân tích đối tượng ở Chương 1.</w:t>
      </w:r>
    </w:p>
    <w:p>
      <w:pPr>
        <w:pStyle w:val="Heading2"/>
        <w:spacing w:after="160" w:before="320"/>
      </w:pPr>
      <w:r>
        <w:rPr>
          <w:rFonts w:ascii="Calibri" w:cs="Calibri" w:eastAsia="Calibri" w:hAnsi="Calibri"/>
          <w:b/>
          <w:bCs/>
          <w:color w:val="2E5395"/>
          <w:sz w:val="26"/>
          <w:szCs w:val="26"/>
        </w:rPr>
        <w:t xml:space="preserve">7.4. Tư vấn món ăn và hướng dẫn nấu ăn</w:t>
      </w:r>
    </w:p>
    <w:p>
      <w:pPr>
        <w:spacing w:after="160" w:line="300"/>
        <w:jc w:val="both"/>
      </w:pPr>
      <w:r>
        <w:rPr>
          <w:rFonts w:ascii="Calibri" w:cs="Calibri" w:eastAsia="Calibri" w:hAnsi="Calibri"/>
          <w:i w:val="false"/>
          <w:iCs w:val="false"/>
          <w:sz w:val="22"/>
          <w:szCs w:val="22"/>
        </w:rPr>
        <w:t xml:space="preserve">Đây là phần mô hình ngôn ngữ phát huy đúng thế mạnh: diễn đạt, giải thích, và hướng dẫn thao tác. Nhưng phải hoạt động trong khuôn khổ chặt.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Ràng buộc</w:t>
            </w:r>
          </w:p>
        </w:tc>
        <w:tc>
          <w:tcPr>
            <w:tcW w:type="pct" w:w="6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Cách thực thi</w:t>
            </w:r>
          </w:p>
        </w:tc>
      </w:tr>
      <w:tr>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Chỉ hướng dẫn nấu các món đã có trong thực đơn được chuyên gia duyệt</w:t>
            </w:r>
          </w:p>
        </w:tc>
        <w:tc>
          <w:tcPr>
            <w:tcW w:type="pct" w:w="6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Đầu vào của bước này là mã thực đơn đã ở trạng thái được duyệt; không nhận yêu cầu tự do</w:t>
            </w:r>
          </w:p>
        </w:tc>
      </w:tr>
      <w:tr>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được thay đổi nguyên liệu hoặc khối lượng đã duyệt</w:t>
            </w:r>
          </w:p>
        </w:tc>
        <w:tc>
          <w:tcPr>
            <w:tcW w:type="pct" w:w="6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Nguyên liệu và khối lượng truyền vào dưới dạng dữ liệu cố định; mô hình chỉ sinh phần lời hướng dẫn thao tác</w:t>
            </w:r>
          </w:p>
        </w:tc>
      </w:tr>
      <w:tr>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Kỹ thuật chế biến phải phục vụ mục tiêu lâm sàng của người bệnh</w:t>
            </w:r>
          </w:p>
        </w:tc>
        <w:tc>
          <w:tcPr>
            <w:tcW w:type="pct" w:w="6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Hệ thống truyền kèm các vi phạm ngưỡng và bệnh lý để mô hình ưu tiên đúng kỹ thuật, ví dụ giảm natri hoặc giảm kali</w:t>
            </w:r>
          </w:p>
        </w:tc>
      </w:tr>
      <w:tr>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Mọi khuyến nghị mang tính lâm sàng phải trích dẫn được</w:t>
            </w:r>
          </w:p>
        </w:tc>
        <w:tc>
          <w:tcPr>
            <w:tcW w:type="pct" w:w="6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Phần giải thích lấy từ tầng truy xuất hướng dẫn, có kèm nguồn</w:t>
            </w:r>
          </w:p>
        </w:tc>
      </w:tr>
    </w:tbl>
    <w:p>
      <w:pPr>
        <w:spacing w:after="120"/>
      </w:pPr>
    </w:p>
    <w:p>
      <w:pPr>
        <w:spacing w:after="160" w:line="300"/>
        <w:jc w:val="both"/>
      </w:pPr>
      <w:r>
        <w:rPr>
          <w:rFonts w:ascii="Calibri" w:cs="Calibri" w:eastAsia="Calibri" w:hAnsi="Calibri"/>
          <w:i w:val="false"/>
          <w:iCs w:val="false"/>
          <w:sz w:val="22"/>
          <w:szCs w:val="22"/>
        </w:rPr>
        <w:t xml:space="preserve">Một điểm khai thác có giá trị lâm sàng thật: kỹ thuật chế biến có thể thay đổi đáng kể hàm lượng một số chất mà không cần đổi món. Ví dụ, hướng dẫn chần rau qua nước sôi rồi đổ nước là biện pháp giảm kali được nêu trong tài liệu dinh dưỡng cho bệnh thận; hướng dẫn không chan nước dùng và bỏ bát nước chấm dọn kèm là biện pháp giảm natri hiệu quả với món Việt, do phần lớn lượng muối nằm ở nước dùng và nước chấm chứ không ở phần cái.</w:t>
      </w:r>
    </w:p>
    <w:p>
      <w:pPr>
        <w:spacing w:after="160" w:line="300"/>
        <w:jc w:val="both"/>
      </w:pPr>
      <w:r>
        <w:rPr>
          <w:rFonts w:ascii="Calibri" w:cs="Calibri" w:eastAsia="Calibri" w:hAnsi="Calibri"/>
          <w:i w:val="false"/>
          <w:iCs w:val="false"/>
          <w:sz w:val="22"/>
          <w:szCs w:val="22"/>
        </w:rPr>
        <w:t xml:space="preserve">Đây là loại lời khuyên mà người bệnh thực hiện được ngay, không tốn thêm tiền, và không đòi hỏi thay đổi thói quen ăn uống của cả gia đình — phù hợp với ràng buộc chi phí đã phân tích ở Chương 4.</w:t>
      </w:r>
    </w:p>
    <w:p>
      <w:pPr>
        <w:pStyle w:val="Heading2"/>
        <w:spacing w:after="160" w:before="320"/>
      </w:pPr>
      <w:r>
        <w:rPr>
          <w:rFonts w:ascii="Calibri" w:cs="Calibri" w:eastAsia="Calibri" w:hAnsi="Calibri"/>
          <w:b/>
          <w:bCs/>
          <w:color w:val="2E5395"/>
          <w:sz w:val="26"/>
          <w:szCs w:val="26"/>
        </w:rPr>
        <w:t xml:space="preserve">7.5. Cảnh báo tương tác thuốc và thực phẩm</w:t>
      </w:r>
    </w:p>
    <w:p>
      <w:pPr>
        <w:pStyle w:val="Heading3"/>
        <w:spacing w:after="120" w:before="220"/>
      </w:pPr>
      <w:r>
        <w:rPr>
          <w:rFonts w:ascii="Calibri" w:cs="Calibri" w:eastAsia="Calibri" w:hAnsi="Calibri"/>
          <w:b/>
          <w:bCs/>
          <w:color w:val="595959"/>
          <w:sz w:val="23"/>
          <w:szCs w:val="23"/>
        </w:rPr>
        <w:t xml:space="preserve">7.5.1. Bài toán khó thực sự nằm ở tên thuốc</w:t>
      </w:r>
    </w:p>
    <w:p>
      <w:pPr>
        <w:spacing w:after="160" w:line="300"/>
        <w:jc w:val="both"/>
      </w:pPr>
      <w:r>
        <w:rPr>
          <w:rFonts w:ascii="Calibri" w:cs="Calibri" w:eastAsia="Calibri" w:hAnsi="Calibri"/>
          <w:i w:val="false"/>
          <w:iCs w:val="false"/>
          <w:sz w:val="22"/>
          <w:szCs w:val="22"/>
        </w:rPr>
        <w:t xml:space="preserve">Bảng tương tác của hệ thống được lập theo hoạt chất. Nhưng người bệnh Việt Nam hầu như luôn gọi thuốc theo tên biệt dược. Nếu không giải được bước ánh xạ từ tên biệt dược sang hoạt chất, toàn bộ tính năng cảnh báo sẽ không kích hoạt được trong thực tế.</w:t>
      </w:r>
    </w:p>
    <w:p>
      <w:pPr>
        <w:spacing w:after="160" w:line="300"/>
        <w:jc w:val="both"/>
      </w:pPr>
      <w:r>
        <w:rPr>
          <w:rFonts w:ascii="Calibri" w:cs="Calibri" w:eastAsia="Calibri" w:hAnsi="Calibri"/>
          <w:i w:val="false"/>
          <w:iCs w:val="false"/>
          <w:sz w:val="22"/>
          <w:szCs w:val="22"/>
        </w:rPr>
        <w:t xml:space="preserve">Nguồn giải quyết: Ngân hàng dữ liệu ngành Dược do Cục Quản lý Dược thuộc Bộ Y tế vận hành, chứa thông tin của hơn mười nghìn đầu thuốc đang lưu hành tại Việt Nam, tra cứu được theo tên thuốc, hoạt chất, số đăng ký, dạng bào chế và hàm lượng. Đây là nguồn chính thống cấp nhà nước và là lời giải phù hợp nhất cho bài toán ánh xạ này.</w:t>
      </w:r>
    </w:p>
    <w:p>
      <w:pPr>
        <w:spacing w:after="160" w:line="300"/>
        <w:jc w:val="both"/>
      </w:pPr>
      <w:r>
        <w:rPr>
          <w:rFonts w:ascii="Calibri" w:cs="Calibri" w:eastAsia="Calibri" w:hAnsi="Calibri"/>
          <w:i w:val="false"/>
          <w:iCs w:val="false"/>
          <w:sz w:val="22"/>
          <w:szCs w:val="22"/>
        </w:rPr>
        <w:t xml:space="preserve">Cần kiểm tra điều kiện sử dụng dữ liệu trước khi tích hợp. Nếu không có giao diện lập trình công khai, phương án thay thế là xây dựng bảng ánh xạ thủ công cho khoảng một trăm biệt dược phổ biến nhất thuộc bốn nhóm bệnh mục tiêu — khối lượng công việc vừa phải và đủ dùng cho phiên bản đầu.</w:t>
      </w:r>
    </w:p>
    <w:p>
      <w:pPr>
        <w:pStyle w:val="Heading3"/>
        <w:spacing w:after="120" w:before="220"/>
      </w:pPr>
      <w:r>
        <w:rPr>
          <w:rFonts w:ascii="Calibri" w:cs="Calibri" w:eastAsia="Calibri" w:hAnsi="Calibri"/>
          <w:b/>
          <w:bCs/>
          <w:color w:val="595959"/>
          <w:sz w:val="23"/>
          <w:szCs w:val="23"/>
        </w:rPr>
        <w:t xml:space="preserve">7.5.2. Luồng xử lý hoàn chỉnh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Bước</w:t>
            </w:r>
          </w:p>
        </w:tc>
        <w:tc>
          <w:tcPr>
            <w:tcW w:type="pct" w:w="4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Xử lý</w:t>
            </w:r>
          </w:p>
        </w:tc>
        <w:tc>
          <w:tcPr>
            <w:tcW w:type="pct" w:w="1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Tuyến</w:t>
            </w:r>
          </w:p>
        </w:tc>
        <w:tc>
          <w:tcPr>
            <w:tcW w:type="pct" w:w="4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Ghi chú</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1</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Người dùng nhập tên thuốc bằng cách gõ, nói, hoặc chụp ảnh đơn thuốc</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Nhiều đường vào để giảm rào cản</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2</w:t>
            </w:r>
          </w:p>
        </w:tc>
        <w:tc>
          <w:tcPr>
            <w:tcW w:type="pct" w:w="4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Trích xuất tên thuốc và liều từ văn bản tiếng Việt</w:t>
            </w:r>
          </w:p>
        </w:tc>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Dùng mô hình trích xuất thực thể y tế tiếng Việt</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3</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Ánh xạ tên biệt dược sang hoạt chất</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Tra Ngân hàng dữ liệu ngành Dược hoặc bảng ánh xạ nội bộ</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4</w:t>
            </w:r>
          </w:p>
        </w:tc>
        <w:tc>
          <w:tcPr>
            <w:tcW w:type="pct" w:w="4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Người dùng xác nhận danh sách thuốc và hoạt chất</w:t>
            </w:r>
          </w:p>
        </w:tc>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Bắt buộc. Nhận diện sai tên thuốc là rủi ro nghiêm trọng</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5</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Đối chiếu hoạt chất với bảng tương tác thuốc và thực phẩm</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Tra cứu xác định, không dùng mô hình</w:t>
            </w:r>
          </w:p>
        </w:tc>
      </w:tr>
      <w:tr>
        <w:tc>
          <w:tcPr>
            <w:tcW w:type="pct" w:w="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6</w:t>
            </w:r>
          </w:p>
        </w:tc>
        <w:tc>
          <w:tcPr>
            <w:tcW w:type="pct" w:w="4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Sinh cảnh báo có cấu trúc: thuốc, thực phẩm, cơ chế, hành động, nguồn</w:t>
            </w:r>
          </w:p>
        </w:tc>
        <w:tc>
          <w:tcPr>
            <w:tcW w:type="pct" w:w="1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A</w:t>
            </w:r>
          </w:p>
        </w:tc>
        <w:tc>
          <w:tcPr>
            <w:tcW w:type="pct" w:w="4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Nội dung cảnh báo lấy từ bảng dữ liệu, không do mô hình sinh</w:t>
            </w:r>
          </w:p>
        </w:tc>
      </w:tr>
      <w:tr>
        <w:tc>
          <w:tcPr>
            <w:tcW w:type="pct" w:w="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7</w:t>
            </w:r>
          </w:p>
        </w:tc>
        <w:tc>
          <w:tcPr>
            <w:tcW w:type="pct" w:w="4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Diễn đạt cảnh báo thành lời dễ hiểu cho người bệnh</w:t>
            </w:r>
          </w:p>
        </w:tc>
        <w:tc>
          <w:tcPr>
            <w:tcW w:type="pct" w:w="1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w:t>
            </w:r>
          </w:p>
        </w:tc>
        <w:tc>
          <w:tcPr>
            <w:tcW w:type="pct" w:w="4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chỉ diễn đạt lại, không thêm thông tin mới</w:t>
            </w:r>
          </w:p>
        </w:tc>
      </w:tr>
    </w:tbl>
    <w:p>
      <w:pPr>
        <w:spacing w:after="120"/>
      </w:pPr>
    </w:p>
    <w:tbl>
      <w:tblPr>
        <w:tblW w:type="pct" w:w="100%"/>
        <w:tblBorders>
          <w:top w:val="single" w:color="B03A2E" w:sz="4"/>
          <w:left w:val="single" w:color="B03A2E" w:sz="24"/>
          <w:bottom w:val="single" w:color="B03A2E" w:sz="4"/>
          <w:right w:val="single" w:color="B03A2E" w:sz="4"/>
          <w:insideH w:val="single" w:color="auto" w:sz="4"/>
          <w:insideV w:val="single" w:color="auto" w:sz="4"/>
        </w:tblBorders>
      </w:tblPr>
      <w:tblGrid>
        <w:gridCol w:w="100"/>
      </w:tblGrid>
      <w:tr>
        <w:tc>
          <w:tcPr>
            <w:shd w:fill="FBE4E2" w:val="clear"/>
            <w:tcMar>
              <w:top w:type="dxa" w:w="140"/>
              <w:left w:type="dxa" w:w="220"/>
              <w:bottom w:type="dxa" w:w="140"/>
              <w:right w:type="dxa" w:w="220"/>
            </w:tcMar>
          </w:tcPr>
          <w:p>
            <w:pPr>
              <w:spacing w:after="0"/>
              <w:jc w:val="both"/>
            </w:pPr>
            <w:r>
              <w:rPr>
                <w:rFonts w:ascii="Calibri" w:cs="Calibri" w:eastAsia="Calibri" w:hAnsi="Calibri"/>
                <w:b/>
                <w:bCs/>
                <w:color w:val="B03A2E"/>
                <w:sz w:val="21"/>
                <w:szCs w:val="21"/>
              </w:rPr>
              <w:t xml:space="preserve">Ranh giới an toàn tuyệt đối:  </w:t>
            </w:r>
            <w:r>
              <w:rPr>
                <w:rFonts w:ascii="Calibri" w:cs="Calibri" w:eastAsia="Calibri" w:hAnsi="Calibri"/>
                <w:sz w:val="21"/>
                <w:szCs w:val="21"/>
              </w:rPr>
              <w:t xml:space="preserve"> hệ thống chỉ cảnh báo về tương tác giữa thuốc và thực phẩm, và luôn khuyến nghị trao đổi với bác sĩ điều trị. Hệ thống không bao giờ đề xuất ngừng thuốc, đổi thuốc, hay thay đổi liều — kể cả khi phát hiện tương tác ở mức nghiêm trọng. Quy tắc chặn chỉ định y khoa áp dụng cho toàn bộ luồng này.</w:t>
            </w:r>
          </w:p>
        </w:tc>
      </w:tr>
    </w:tbl>
    <w:p>
      <w:pPr>
        <w:spacing w:after="120"/>
      </w:pPr>
    </w:p>
    <w:p>
      <w:pPr>
        <w:pStyle w:val="Heading2"/>
        <w:spacing w:after="160" w:before="320"/>
      </w:pPr>
      <w:r>
        <w:rPr>
          <w:rFonts w:ascii="Calibri" w:cs="Calibri" w:eastAsia="Calibri" w:hAnsi="Calibri"/>
          <w:b/>
          <w:bCs/>
          <w:color w:val="2E5395"/>
          <w:sz w:val="26"/>
          <w:szCs w:val="26"/>
        </w:rPr>
        <w:t xml:space="preserve">7.6. Bảng tổng hợp tài nguyên và thứ tự triển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Tài nguyên</w:t>
            </w:r>
          </w:p>
        </w:tc>
        <w:tc>
          <w:tcPr>
            <w:tcW w:type="pct" w:w="32%"/>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Dùng cho</w:t>
            </w:r>
          </w:p>
        </w:tc>
        <w:tc>
          <w:tcPr>
            <w:tcW w:type="pct" w:w="20%"/>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Giai đoạn</w:t>
            </w:r>
          </w:p>
        </w:tc>
        <w:tc>
          <w:tcPr>
            <w:tcW w:type="pct" w:w="18%"/>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Mức ưu tiên</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Bảng thành phần thực phẩm Việt Nam 2007</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Toàn bộ số liệu dinh dưỡng</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Phiên bản đầu</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Bắt buộc</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vietnamese-bi-encoder</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Truy xuất hướng dẫn lâm sàng tiếng Việt</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Phiên bản đầu</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Bắt buộc</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Ngân hàng dữ liệu ngành Dược</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Ánh xạ biệt dược sang hoạt chất</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Phiên bản đầu</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Cao</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vector biểu diễn nguyên liệu</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Gợi ý thay thế nguyên liệu, chuẩn hoá tên</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Phiên bản đầu</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vietnamese-correction</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Chuẩn hoá tên món người dùng gõ</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Phiên bản đầu</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Vietnamese_Reranker</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Nâng chất lượng truy xuất</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Mở rộng</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nhận dạng tiếng nói tiếng Việt</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Ghi nhật ký bằng giọng nói</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Mở rộng</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Cao về giá trị trải nghiệm</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đọc văn bản thành tiếng</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Đọc thực đơn cho người cao tuổi</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Mở rộng</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trích xuất thực thể y tế tiếng Việt</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Đọc đơn thuốc</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Mở rộng</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Trung bình</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Mô hình phân tách nguyên liệu trong ảnh</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Gợi ý danh sách món khi ghi nhật ký</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Mở rộng</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Thấp, chỉ khi phần lõi đã ổn định</w:t>
            </w:r>
          </w:p>
        </w:tc>
      </w:tr>
      <w:tr>
        <w:tc>
          <w:tcPr>
            <w:tcW w:type="pct" w:w="3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dữ liệu ảnh món ăn Việt Nam</w:t>
            </w:r>
          </w:p>
        </w:tc>
        <w:tc>
          <w:tcPr>
            <w:tcW w:type="pct" w:w="32%"/>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Tinh chỉnh mô hình nhận dạng món</w:t>
            </w:r>
          </w:p>
        </w:tc>
        <w:tc>
          <w:tcPr>
            <w:tcW w:type="pct" w:w="20%"/>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Nghiên cứu tiếp theo</w:t>
            </w:r>
          </w:p>
        </w:tc>
        <w:tc>
          <w:tcPr>
            <w:tcW w:type="pct" w:w="18%"/>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Thấp</w:t>
            </w:r>
          </w:p>
        </w:tc>
      </w:tr>
      <w:tr>
        <w:tc>
          <w:tcPr>
            <w:tcW w:type="pct" w:w="3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Bộ dữ liệu ước tính khẩu phần từ ảnh</w:t>
            </w:r>
          </w:p>
        </w:tc>
        <w:tc>
          <w:tcPr>
            <w:tcW w:type="pct" w:w="32%"/>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Đối chứng cho phần đánh giá</w:t>
            </w:r>
          </w:p>
        </w:tc>
        <w:tc>
          <w:tcPr>
            <w:tcW w:type="pct" w:w="20%"/>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Nghiên cứu tiếp theo</w:t>
            </w:r>
          </w:p>
        </w:tc>
        <w:tc>
          <w:tcPr>
            <w:tcW w:type="pct" w:w="18%"/>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Không triển khai</w:t>
            </w:r>
          </w:p>
        </w:tc>
      </w:tr>
    </w:tbl>
    <w:p>
      <w:pPr>
        <w:spacing w:after="120"/>
      </w:pPr>
    </w:p>
    <w:p>
      <w:pPr>
        <w:spacing w:after="160" w:line="300"/>
        <w:jc w:val="both"/>
      </w:pPr>
      <w:r>
        <w:rPr>
          <w:rFonts w:ascii="Calibri" w:cs="Calibri" w:eastAsia="Calibri" w:hAnsi="Calibri"/>
          <w:i w:val="false"/>
          <w:iCs w:val="false"/>
          <w:sz w:val="22"/>
          <w:szCs w:val="22"/>
        </w:rPr>
        <w:t xml:space="preserve">Nguyên tắc sắp thứ tự: ưu tiên tài nguyên nằm trên tuyến A và tuyến C trước, vì chúng ảnh hưởng trực tiếp tới độ đúng và độ tin cậy của hệ thống. Các tài nguyên tuyến B chỉ cải thiện trải nghiệm nhập liệu, nên chỉ triển khai sau khi phần lõi đã chạy ổn định và có bộ đánh giá.</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2F0D9" w:val="clear"/>
            <w:tcMar>
              <w:top w:type="dxa" w:w="140"/>
              <w:left w:type="dxa" w:w="220"/>
              <w:bottom w:type="dxa" w:w="140"/>
              <w:right w:type="dxa" w:w="220"/>
            </w:tcMar>
          </w:tcPr>
          <w:p>
            <w:pPr>
              <w:spacing w:after="0"/>
              <w:jc w:val="both"/>
            </w:pPr>
            <w:r>
              <w:rPr>
                <w:rFonts w:ascii="Calibri" w:cs="Calibri" w:eastAsia="Calibri" w:hAnsi="Calibri"/>
                <w:b/>
                <w:bCs/>
                <w:color w:val="2E7D32"/>
                <w:sz w:val="21"/>
                <w:szCs w:val="21"/>
              </w:rPr>
              <w:t xml:space="preserve">Một kết luận đáng chú ý:  </w:t>
            </w:r>
            <w:r>
              <w:rPr>
                <w:rFonts w:ascii="Calibri" w:cs="Calibri" w:eastAsia="Calibri" w:hAnsi="Calibri"/>
                <w:sz w:val="21"/>
                <w:szCs w:val="21"/>
              </w:rPr>
              <w:t xml:space="preserve"> toàn bộ thiết kế trong chương này không đòi hỏi huấn luyện mới bất kỳ mô hình nào. Mọi thành phần đều là mô hình có sẵn với giấy phép mở, hoặc dịch vụ gọi qua giao diện lập trình, hoặc mã nguồn xác định do nhóm tự viết. Đây là điều kiện quan trọng để dự án hoàn thành trong khung thời gian và nguồn lực đã có.</w:t>
            </w:r>
          </w:p>
        </w:tc>
      </w:tr>
    </w:tbl>
    <w:p>
      <w:r>
        <w:br w:type="page"/>
      </w:r>
    </w:p>
    <w:p>
      <w:pPr>
        <w:pStyle w:val="Heading1"/>
        <w:pBdr>
          <w:bottom w:val="single" w:color="1F3864" w:sz="12" w:space="6"/>
        </w:pBdr>
        <w:spacing w:after="240" w:before="480"/>
      </w:pPr>
      <w:r>
        <w:rPr>
          <w:rFonts w:ascii="Calibri" w:cs="Calibri" w:eastAsia="Calibri" w:hAnsi="Calibri"/>
          <w:b/>
          <w:bCs/>
          <w:color w:val="1F3864"/>
          <w:sz w:val="32"/>
          <w:szCs w:val="32"/>
        </w:rPr>
        <w:t xml:space="preserve">A. PHỤ LỤC</w:t>
      </w:r>
    </w:p>
    <w:p>
      <w:pPr>
        <w:pStyle w:val="Heading2"/>
        <w:spacing w:after="160" w:before="320"/>
      </w:pPr>
      <w:r>
        <w:rPr>
          <w:rFonts w:ascii="Calibri" w:cs="Calibri" w:eastAsia="Calibri" w:hAnsi="Calibri"/>
          <w:b/>
          <w:bCs/>
          <w:color w:val="2E5395"/>
          <w:sz w:val="26"/>
          <w:szCs w:val="26"/>
        </w:rPr>
        <w:t xml:space="preserve">A.1. Bảng thuật ngữ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Thuật ngữ</w:t>
            </w:r>
          </w:p>
        </w:tc>
        <w:tc>
          <w:tcPr>
            <w:tcW w:type="pct" w:w="74%"/>
            <w:shd w:fill="1F3864" w:val="clear"/>
            <w:tcMar>
              <w:top w:type="dxa" w:w="90"/>
              <w:left w:type="dxa" w:w="110"/>
              <w:bottom w:type="dxa" w:w="90"/>
              <w:right w:type="dxa" w:w="110"/>
            </w:tcMar>
            <w:vAlign w:val="center"/>
          </w:tcPr>
          <w:p>
            <w:pPr>
              <w:spacing w:after="0"/>
              <w:jc w:val="center"/>
            </w:pPr>
            <w:r>
              <w:rPr>
                <w:rFonts w:ascii="Calibri" w:cs="Calibri" w:eastAsia="Calibri" w:hAnsi="Calibri"/>
                <w:b/>
                <w:bCs/>
                <w:color w:val="FFFFFF"/>
                <w:sz w:val="20"/>
                <w:szCs w:val="20"/>
              </w:rPr>
              <w:t xml:space="preserve">Giải thích</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HITL (Human-in-the-Loop)</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Cơ chế bắt buộc con người (chuyên gia dinh dưỡng/bác sĩ) xác nhận trước khi kết quả do hệ thống tự động sinh ra được sử dụng</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InBody / BIA</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Máy phân tích thành phần cơ thể bằng phương pháp trở kháng điện sinh học (Bioelectrical Impedance Analysis), đo khối cơ, khối mỡ, nước cơ thể</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CGM (Continuous Glucose Monitor)</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Thiết bị đo đường huyết liên tục qua cảm biến dán da, không cần lấy máu đầu ngón tay từng lần</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eGFR</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Mức lọc cầu thận ước tính (estimated Glomerular Filtration Rate), chỉ số chính xác định giai đoạn bệnh thận mạn</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DEXA</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Phương pháp đo mật độ xương bằng hấp thụ tia X năng lượng kép (Dual-Energy X-ray Absorptiometry)</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TDEE</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Tổng năng lượng tiêu hao mỗi ngày (Total Daily Energy Expenditure), gồm chuyển hoá cơ bản cộng năng lượng cho hoạt động thể lực</w:t>
            </w:r>
          </w:p>
        </w:tc>
      </w:tr>
      <w:tr>
        <w:tc>
          <w:tcPr>
            <w:tcW w:type="pct" w:w="26%"/>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RQ</w:t>
            </w:r>
          </w:p>
        </w:tc>
        <w:tc>
          <w:tcPr>
            <w:tcW w:type="pct" w:w="74%"/>
            <w:shd w:fill="FFFFFF"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Câu hỏi nghiên cứu (Research Question)</w:t>
            </w:r>
          </w:p>
        </w:tc>
      </w:tr>
      <w:tr>
        <w:tc>
          <w:tcPr>
            <w:tcW w:type="pct" w:w="26%"/>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mô phỏng</w:t>
            </w:r>
          </w:p>
        </w:tc>
        <w:tc>
          <w:tcPr>
            <w:tcW w:type="pct" w:w="74%"/>
            <w:shd w:fill="F2F2F2" w:val="clear"/>
            <w:tcMar>
              <w:top w:type="dxa" w:w="90"/>
              <w:left w:type="dxa" w:w="110"/>
              <w:bottom w:type="dxa" w:w="90"/>
              <w:right w:type="dxa" w:w="110"/>
            </w:tcMar>
            <w:vAlign w:val="center"/>
          </w:tcPr>
          <w:p>
            <w:pPr>
              <w:spacing w:after="0"/>
              <w:jc w:val="left"/>
            </w:pPr>
            <w:r>
              <w:rPr>
                <w:rFonts w:ascii="Calibri" w:cs="Calibri" w:eastAsia="Calibri" w:hAnsi="Calibri"/>
                <w:b w:val="false"/>
                <w:bCs w:val="false"/>
                <w:sz w:val="20"/>
                <w:szCs w:val="20"/>
              </w:rPr>
              <w:t xml:space="preserve">Dữ liệu hồ sơ bệnh nhân do đội dự án tự tạo ra để phát triển và kiểm thử, không phải dữ liệu người bệnh thật</w:t>
            </w:r>
          </w:p>
        </w:tc>
      </w:tr>
    </w:tbl>
    <w:p>
      <w:pPr>
        <w:spacing w:after="120"/>
      </w:pPr>
    </w:p>
    <w:p>
      <w:pPr>
        <w:pStyle w:val="Heading2"/>
        <w:spacing w:after="160" w:before="320"/>
      </w:pPr>
      <w:r>
        <w:rPr>
          <w:rFonts w:ascii="Calibri" w:cs="Calibri" w:eastAsia="Calibri" w:hAnsi="Calibri"/>
          <w:b/>
          <w:bCs/>
          <w:color w:val="2E5395"/>
          <w:sz w:val="26"/>
          <w:szCs w:val="26"/>
        </w:rPr>
        <w:t xml:space="preserve">A.2. Nguồn tham khảo chính</w:t>
      </w:r>
    </w:p>
    <w:p>
      <w:pPr>
        <w:spacing w:after="160" w:line="300"/>
        <w:jc w:val="both"/>
      </w:pPr>
      <w:r>
        <w:rPr>
          <w:rFonts w:ascii="Calibri" w:cs="Calibri" w:eastAsia="Calibri" w:hAnsi="Calibri"/>
          <w:i w:val="false"/>
          <w:iCs w:val="false"/>
          <w:sz w:val="22"/>
          <w:szCs w:val="22"/>
        </w:rPr>
        <w:t xml:space="preserve">Sắp theo độ mới. Toàn bộ nguồn đã được truy cập và xác minh trực tiếp trong quá trình rà soát tháng 7/2026.</w:t>
      </w:r>
    </w:p>
    <w:p>
      <w:pPr>
        <w:pStyle w:val="Heading3"/>
        <w:spacing w:after="120" w:before="220"/>
      </w:pPr>
      <w:r>
        <w:rPr>
          <w:rFonts w:ascii="Calibri" w:cs="Calibri" w:eastAsia="Calibri" w:hAnsi="Calibri"/>
          <w:b/>
          <w:bCs/>
          <w:color w:val="595959"/>
          <w:sz w:val="23"/>
          <w:szCs w:val="23"/>
        </w:rPr>
        <w:t xml:space="preserve">Công bố năm 2026</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An AI-driven multivariate approach for personalized healthy eating recommendations aligned with sustainable healthy diet food-group guidelines. Frontiers in Nutrition, 7/2026. doi:10.3389/fnut.2026.1894893</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NutriMLLM: Multimodal Large Language Models for Dietary Micronutrient Analysis. arXiv:2606.08948, 6/2026</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FAM-Bench: A Multimodal Benchmark for Condition-Aware Food-as-Medicine Reasoning. arXiv:2605.31410, 5/2026</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Epicure: Navigating the Emergent Geometry of Food Ingredient Embeddings. arXiv:2605.22391, 5/2026. Giấy phép CC BY 4.0</w:t>
      </w:r>
    </w:p>
    <w:p>
      <w:pPr>
        <w:spacing w:after="100" w:line="290"/>
        <w:ind w:left="460" w:hanging="300"/>
        <w:jc w:val="both"/>
      </w:pPr>
      <w:r>
        <w:rPr>
          <w:rFonts w:ascii="Calibri" w:cs="Calibri" w:eastAsia="Calibri" w:hAnsi="Calibri"/>
          <w:sz w:val="22"/>
          <w:szCs w:val="22"/>
        </w:rPr>
        <w:t xml:space="preserve">5. </w:t>
      </w:r>
      <w:r>
        <w:rPr>
          <w:rFonts w:ascii="Calibri" w:cs="Calibri" w:eastAsia="Calibri" w:hAnsi="Calibri"/>
          <w:sz w:val="22"/>
          <w:szCs w:val="22"/>
        </w:rPr>
        <w:t xml:space="preserve">An LLM-RAG Approach for Healthy Eating Index-Informed Personalized Food Recommendations. arXiv:2605.15213, 5/2026</w:t>
      </w:r>
    </w:p>
    <w:p>
      <w:pPr>
        <w:spacing w:after="100" w:line="290"/>
        <w:ind w:left="460" w:hanging="300"/>
        <w:jc w:val="both"/>
      </w:pPr>
      <w:r>
        <w:rPr>
          <w:rFonts w:ascii="Calibri" w:cs="Calibri" w:eastAsia="Calibri" w:hAnsi="Calibri"/>
          <w:sz w:val="22"/>
          <w:szCs w:val="22"/>
        </w:rPr>
        <w:t xml:space="preserve">6. </w:t>
      </w:r>
      <w:r>
        <w:rPr>
          <w:rFonts w:ascii="Calibri" w:cs="Calibri" w:eastAsia="Calibri" w:hAnsi="Calibri"/>
          <w:sz w:val="22"/>
          <w:szCs w:val="22"/>
        </w:rPr>
        <w:t xml:space="preserve">An explainable graph retrieval augmented generation framework for personalized nutrition recommendation. Frontiers in Artificial Intelligence, 4/2026</w:t>
      </w:r>
    </w:p>
    <w:p>
      <w:pPr>
        <w:spacing w:after="100" w:line="290"/>
        <w:ind w:left="460" w:hanging="300"/>
        <w:jc w:val="both"/>
      </w:pPr>
      <w:r>
        <w:rPr>
          <w:rFonts w:ascii="Calibri" w:cs="Calibri" w:eastAsia="Calibri" w:hAnsi="Calibri"/>
          <w:sz w:val="22"/>
          <w:szCs w:val="22"/>
        </w:rPr>
        <w:t xml:space="preserve">7. </w:t>
      </w:r>
      <w:r>
        <w:rPr>
          <w:rFonts w:ascii="Calibri" w:cs="Calibri" w:eastAsia="Calibri" w:hAnsi="Calibri"/>
          <w:sz w:val="22"/>
          <w:szCs w:val="22"/>
        </w:rPr>
        <w:t xml:space="preserve">DiningBench: A Hierarchical Multi-view Benchmark for Perception and Reasoning in the Dietary Domain. arXiv:2604.10425, 4/2026</w:t>
      </w:r>
    </w:p>
    <w:p>
      <w:pPr>
        <w:spacing w:after="100" w:line="290"/>
        <w:ind w:left="460" w:hanging="300"/>
        <w:jc w:val="both"/>
      </w:pPr>
      <w:r>
        <w:rPr>
          <w:rFonts w:ascii="Calibri" w:cs="Calibri" w:eastAsia="Calibri" w:hAnsi="Calibri"/>
          <w:sz w:val="22"/>
          <w:szCs w:val="22"/>
        </w:rPr>
        <w:t xml:space="preserve">8. </w:t>
      </w:r>
      <w:r>
        <w:rPr>
          <w:rFonts w:ascii="Calibri" w:cs="Calibri" w:eastAsia="Calibri" w:hAnsi="Calibri"/>
          <w:sz w:val="22"/>
          <w:szCs w:val="22"/>
        </w:rPr>
        <w:t xml:space="preserve">Evaluation of LLMs in retrieving food and nutritional context for RAG systems. arXiv:2603.09704, 3/2026</w:t>
      </w:r>
    </w:p>
    <w:p>
      <w:pPr>
        <w:spacing w:after="100" w:line="290"/>
        <w:ind w:left="460" w:hanging="300"/>
        <w:jc w:val="both"/>
      </w:pPr>
      <w:r>
        <w:rPr>
          <w:rFonts w:ascii="Calibri" w:cs="Calibri" w:eastAsia="Calibri" w:hAnsi="Calibri"/>
          <w:sz w:val="22"/>
          <w:szCs w:val="22"/>
        </w:rPr>
        <w:t xml:space="preserve">9. </w:t>
      </w:r>
      <w:r>
        <w:rPr>
          <w:rFonts w:ascii="Calibri" w:cs="Calibri" w:eastAsia="Calibri" w:hAnsi="Calibri"/>
          <w:sz w:val="22"/>
          <w:szCs w:val="22"/>
        </w:rPr>
        <w:t xml:space="preserve">Large Language Models as Clinical Nutrition Decision Tools: Quantitative Bias and Guideline Deviation in Type 2 Diabetes Meal Planning. Healthcare, 3/2026. doi:10.3390/healthcare14060739</w:t>
      </w:r>
    </w:p>
    <w:p>
      <w:pPr>
        <w:spacing w:after="100" w:line="290"/>
        <w:ind w:left="460" w:hanging="300"/>
        <w:jc w:val="both"/>
      </w:pPr>
      <w:r>
        <w:rPr>
          <w:rFonts w:ascii="Calibri" w:cs="Calibri" w:eastAsia="Calibri" w:hAnsi="Calibri"/>
          <w:sz w:val="22"/>
          <w:szCs w:val="22"/>
        </w:rPr>
        <w:t xml:space="preserve">10. </w:t>
      </w:r>
      <w:r>
        <w:rPr>
          <w:rFonts w:ascii="Calibri" w:cs="Calibri" w:eastAsia="Calibri" w:hAnsi="Calibri"/>
          <w:sz w:val="22"/>
          <w:szCs w:val="22"/>
        </w:rPr>
        <w:t xml:space="preserve">American Diabetes Association. Standards of Care in Diabetes—2026. Diabetes Care, tập 49, Supplement 1, 1/2026</w:t>
      </w:r>
    </w:p>
    <w:p>
      <w:pPr>
        <w:spacing w:after="100" w:line="290"/>
        <w:ind w:left="460" w:hanging="300"/>
        <w:jc w:val="both"/>
      </w:pPr>
      <w:r>
        <w:rPr>
          <w:rFonts w:ascii="Calibri" w:cs="Calibri" w:eastAsia="Calibri" w:hAnsi="Calibri"/>
          <w:sz w:val="22"/>
          <w:szCs w:val="22"/>
        </w:rPr>
        <w:t xml:space="preserve">11. </w:t>
      </w:r>
      <w:r>
        <w:rPr>
          <w:rFonts w:ascii="Calibri" w:cs="Calibri" w:eastAsia="Calibri" w:hAnsi="Calibri"/>
          <w:sz w:val="22"/>
          <w:szCs w:val="22"/>
        </w:rPr>
        <w:t xml:space="preserve">Viện Dinh dưỡng — tài liệu Ngày Thận Thế giới, 3/2026 (dẫn Điều tra STEPS 2021: 8,1 g muối mỗi ngày)</w:t>
      </w:r>
    </w:p>
    <w:p>
      <w:pPr>
        <w:pStyle w:val="Heading3"/>
        <w:spacing w:after="120" w:before="220"/>
      </w:pPr>
      <w:r>
        <w:rPr>
          <w:rFonts w:ascii="Calibri" w:cs="Calibri" w:eastAsia="Calibri" w:hAnsi="Calibri"/>
          <w:b/>
          <w:bCs/>
          <w:color w:val="595959"/>
          <w:sz w:val="23"/>
          <w:szCs w:val="23"/>
        </w:rPr>
        <w:t xml:space="preserve">Công bố năm 2025</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Performance Evaluation of 3 Large Language Models for Nutritional Content Estimation from Food Images. Current Developments in Nutrition, 2025. PMID 41081011</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Comparison of Accuracy in the Evaluation of Nutritional Labels Between Professional Nutritionists and Chatbots. Nutrients, 2025. PMC12526241</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Improving Personalized Meal Planning with Large Language Models: Identifying and Decomposing Compound Ingredients. Nutrients, 2025. PMC12073434</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Evaluating Large Language Models and Retrieval-Augmented Generation Enhancement for Delivering Guideline-Adherent Nutrition Information for Cardiovascular Disease Prevention. Journal of Medical Internet Research 2025;1:e78625</w:t>
      </w:r>
    </w:p>
    <w:p>
      <w:pPr>
        <w:spacing w:after="100" w:line="290"/>
        <w:ind w:left="460" w:hanging="300"/>
        <w:jc w:val="both"/>
      </w:pPr>
      <w:r>
        <w:rPr>
          <w:rFonts w:ascii="Calibri" w:cs="Calibri" w:eastAsia="Calibri" w:hAnsi="Calibri"/>
          <w:sz w:val="22"/>
          <w:szCs w:val="22"/>
        </w:rPr>
        <w:t xml:space="preserve">5. </w:t>
      </w:r>
      <w:r>
        <w:rPr>
          <w:rFonts w:ascii="Calibri" w:cs="Calibri" w:eastAsia="Calibri" w:hAnsi="Calibri"/>
          <w:sz w:val="22"/>
          <w:szCs w:val="22"/>
        </w:rPr>
        <w:t xml:space="preserve">Comprehensive Evaluation of Large Multimodal Models for Nutrition Analysis (bộ dữ liệu ACETADA). arXiv:2507.07048</w:t>
      </w:r>
    </w:p>
    <w:p>
      <w:pPr>
        <w:spacing w:after="100" w:line="290"/>
        <w:ind w:left="460" w:hanging="300"/>
        <w:jc w:val="both"/>
      </w:pPr>
      <w:r>
        <w:rPr>
          <w:rFonts w:ascii="Calibri" w:cs="Calibri" w:eastAsia="Calibri" w:hAnsi="Calibri"/>
          <w:sz w:val="22"/>
          <w:szCs w:val="22"/>
        </w:rPr>
        <w:t xml:space="preserve">6. </w:t>
      </w:r>
      <w:r>
        <w:rPr>
          <w:rFonts w:ascii="Calibri" w:cs="Calibri" w:eastAsia="Calibri" w:hAnsi="Calibri"/>
          <w:sz w:val="22"/>
          <w:szCs w:val="22"/>
        </w:rPr>
        <w:t xml:space="preserve">January Food Benchmark. arXiv:2508.09966</w:t>
      </w:r>
    </w:p>
    <w:p>
      <w:pPr>
        <w:spacing w:after="100" w:line="290"/>
        <w:ind w:left="460" w:hanging="300"/>
        <w:jc w:val="both"/>
      </w:pPr>
      <w:r>
        <w:rPr>
          <w:rFonts w:ascii="Calibri" w:cs="Calibri" w:eastAsia="Calibri" w:hAnsi="Calibri"/>
          <w:sz w:val="22"/>
          <w:szCs w:val="22"/>
        </w:rPr>
        <w:t xml:space="preserve">7. </w:t>
      </w:r>
      <w:r>
        <w:rPr>
          <w:rFonts w:ascii="Calibri" w:cs="Calibri" w:eastAsia="Calibri" w:hAnsi="Calibri"/>
          <w:sz w:val="22"/>
          <w:szCs w:val="22"/>
        </w:rPr>
        <w:t xml:space="preserve">Tạp chí Dinh dưỡng và Thực phẩm, số 21(4), 2025</w:t>
      </w:r>
    </w:p>
    <w:p>
      <w:pPr>
        <w:pStyle w:val="Heading3"/>
        <w:spacing w:after="120" w:before="220"/>
      </w:pPr>
      <w:r>
        <w:rPr>
          <w:rFonts w:ascii="Calibri" w:cs="Calibri" w:eastAsia="Calibri" w:hAnsi="Calibri"/>
          <w:b/>
          <w:bCs/>
          <w:color w:val="595959"/>
          <w:sz w:val="23"/>
          <w:szCs w:val="23"/>
        </w:rPr>
        <w:t xml:space="preserve">Công bố trước 2025 — vẫn là chuẩn hiện hành</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KDIGO 2024 Clinical Practice Guideline for the Evaluation and Management of Chronic Kidney Disease (thay thế bản 2012)</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KDOQI Clinical Practice Guideline for Nutrition in CKD, 2020 update</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NutriBench: a dataset for evaluating large language models on nutrition estimation from meal descriptions. arXiv:2407.12843</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DDID: a comprehensive resource for visualization and analysis of diet–drug interactions. Briefings in Bioinformatics, 2024</w:t>
      </w:r>
    </w:p>
    <w:p>
      <w:pPr>
        <w:spacing w:after="100" w:line="290"/>
        <w:ind w:left="460" w:hanging="300"/>
        <w:jc w:val="both"/>
      </w:pPr>
      <w:r>
        <w:rPr>
          <w:rFonts w:ascii="Calibri" w:cs="Calibri" w:eastAsia="Calibri" w:hAnsi="Calibri"/>
          <w:sz w:val="22"/>
          <w:szCs w:val="22"/>
        </w:rPr>
        <w:t xml:space="preserve">5. </w:t>
      </w:r>
      <w:r>
        <w:rPr>
          <w:rFonts w:ascii="Calibri" w:cs="Calibri" w:eastAsia="Calibri" w:hAnsi="Calibri"/>
          <w:sz w:val="22"/>
          <w:szCs w:val="22"/>
        </w:rPr>
        <w:t xml:space="preserve">FooDrugs: a comprehensive food–drug interactions database. Database (Oxford), 2023. PMID 37951712</w:t>
      </w:r>
    </w:p>
    <w:p>
      <w:pPr>
        <w:spacing w:after="100" w:line="290"/>
        <w:ind w:left="460" w:hanging="300"/>
        <w:jc w:val="both"/>
      </w:pPr>
      <w:r>
        <w:rPr>
          <w:rFonts w:ascii="Calibri" w:cs="Calibri" w:eastAsia="Calibri" w:hAnsi="Calibri"/>
          <w:sz w:val="22"/>
          <w:szCs w:val="22"/>
        </w:rPr>
        <w:t xml:space="preserve">6. </w:t>
      </w:r>
      <w:r>
        <w:rPr>
          <w:rFonts w:ascii="Calibri" w:cs="Calibri" w:eastAsia="Calibri" w:hAnsi="Calibri"/>
          <w:sz w:val="22"/>
          <w:szCs w:val="22"/>
        </w:rPr>
        <w:t xml:space="preserve">Cost and affordability of healthy diets in Vietnam. Public Health Nutrition, 2023. PMID 38037710 (dữ liệu giai đoạn 2016–2020; chưa có bản thay thế cho Việt Nam)</w:t>
      </w:r>
    </w:p>
    <w:p>
      <w:pPr>
        <w:spacing w:after="100" w:line="290"/>
        <w:ind w:left="460" w:hanging="300"/>
        <w:jc w:val="both"/>
      </w:pPr>
      <w:r>
        <w:rPr>
          <w:rFonts w:ascii="Calibri" w:cs="Calibri" w:eastAsia="Calibri" w:hAnsi="Calibri"/>
          <w:sz w:val="22"/>
          <w:szCs w:val="22"/>
        </w:rPr>
        <w:t xml:space="preserve">7. </w:t>
      </w:r>
      <w:r>
        <w:rPr>
          <w:rFonts w:ascii="Calibri" w:cs="Calibri" w:eastAsia="Calibri" w:hAnsi="Calibri"/>
          <w:sz w:val="22"/>
          <w:szCs w:val="22"/>
        </w:rPr>
        <w:t xml:space="preserve">Viện Dinh dưỡng — Bộ Y tế. Bảng thành phần thực phẩm Việt Nam. Nhà xuất bản Y học, 2007. 526 thực phẩm, 86 chất dinh dưỡng. Bản PDF lưu trữ công khai trên máy chủ FAO</w:t>
      </w:r>
    </w:p>
    <w:p>
      <w:pPr>
        <w:spacing w:after="100" w:line="290"/>
        <w:ind w:left="460" w:hanging="300"/>
        <w:jc w:val="both"/>
      </w:pPr>
      <w:r>
        <w:rPr>
          <w:rFonts w:ascii="Calibri" w:cs="Calibri" w:eastAsia="Calibri" w:hAnsi="Calibri"/>
          <w:sz w:val="22"/>
          <w:szCs w:val="22"/>
        </w:rPr>
        <w:t xml:space="preserve">8. </w:t>
      </w:r>
      <w:r>
        <w:rPr>
          <w:rFonts w:ascii="Calibri" w:cs="Calibri" w:eastAsia="Calibri" w:hAnsi="Calibri"/>
          <w:sz w:val="22"/>
          <w:szCs w:val="22"/>
        </w:rPr>
        <w:t xml:space="preserve">Thames Q. và cộng sự. Nutrition5k: Towards Automatic Nutritional Understanding of Generic Food. CVPR 2021. arXiv:2103.03375. Giấy phép CC BY 4.0</w:t>
      </w:r>
    </w:p>
    <w:p>
      <w:pPr>
        <w:spacing w:after="100" w:line="290"/>
        <w:ind w:left="460" w:hanging="300"/>
        <w:jc w:val="both"/>
      </w:pPr>
      <w:r>
        <w:rPr>
          <w:rFonts w:ascii="Calibri" w:cs="Calibri" w:eastAsia="Calibri" w:hAnsi="Calibri"/>
          <w:sz w:val="22"/>
          <w:szCs w:val="22"/>
        </w:rPr>
        <w:t xml:space="preserve">9. </w:t>
      </w:r>
      <w:r>
        <w:rPr>
          <w:rFonts w:ascii="Calibri" w:cs="Calibri" w:eastAsia="Calibri" w:hAnsi="Calibri"/>
          <w:sz w:val="22"/>
          <w:szCs w:val="22"/>
        </w:rPr>
        <w:t xml:space="preserve">MetaFood3D: 3D Food Dataset with Nutrition Values, 2024</w:t>
      </w:r>
    </w:p>
    <w:p>
      <w:pPr>
        <w:spacing w:after="100" w:line="290"/>
        <w:ind w:left="460" w:hanging="300"/>
        <w:jc w:val="both"/>
      </w:pPr>
      <w:r>
        <w:rPr>
          <w:rFonts w:ascii="Calibri" w:cs="Calibri" w:eastAsia="Calibri" w:hAnsi="Calibri"/>
          <w:sz w:val="22"/>
          <w:szCs w:val="22"/>
        </w:rPr>
        <w:t xml:space="preserve">10. </w:t>
      </w:r>
      <w:r>
        <w:rPr>
          <w:rFonts w:ascii="Calibri" w:cs="Calibri" w:eastAsia="Calibri" w:hAnsi="Calibri"/>
          <w:sz w:val="22"/>
          <w:szCs w:val="22"/>
        </w:rPr>
        <w:t xml:space="preserve">VinaFood21: A Novel Dataset for Evaluating Vietnamese Food Recognition. RIVF 2021. arXiv:2108.02929</w:t>
      </w:r>
    </w:p>
    <w:p>
      <w:pPr>
        <w:spacing w:after="100" w:line="290"/>
        <w:ind w:left="460" w:hanging="300"/>
        <w:jc w:val="both"/>
      </w:pPr>
      <w:r>
        <w:rPr>
          <w:rFonts w:ascii="Calibri" w:cs="Calibri" w:eastAsia="Calibri" w:hAnsi="Calibri"/>
          <w:sz w:val="22"/>
          <w:szCs w:val="22"/>
        </w:rPr>
        <w:t xml:space="preserve">11. </w:t>
      </w:r>
      <w:r>
        <w:rPr>
          <w:rFonts w:ascii="Calibri" w:cs="Calibri" w:eastAsia="Calibri" w:hAnsi="Calibri"/>
          <w:sz w:val="22"/>
          <w:szCs w:val="22"/>
        </w:rPr>
        <w:t xml:space="preserve">30VNFoods: A Dataset for Vietnamese Foods Recognition. IEEE, 2021</w:t>
      </w:r>
    </w:p>
    <w:p>
      <w:pPr>
        <w:spacing w:after="100" w:line="290"/>
        <w:ind w:left="460" w:hanging="300"/>
        <w:jc w:val="both"/>
      </w:pPr>
      <w:r>
        <w:rPr>
          <w:rFonts w:ascii="Calibri" w:cs="Calibri" w:eastAsia="Calibri" w:hAnsi="Calibri"/>
          <w:sz w:val="22"/>
          <w:szCs w:val="22"/>
        </w:rPr>
        <w:t xml:space="preserve">12. </w:t>
      </w:r>
      <w:r>
        <w:rPr>
          <w:rFonts w:ascii="Calibri" w:cs="Calibri" w:eastAsia="Calibri" w:hAnsi="Calibri"/>
          <w:sz w:val="22"/>
          <w:szCs w:val="22"/>
        </w:rPr>
        <w:t xml:space="preserve">Điều tra STEPS 2021 và STEPS 2015, Bộ Y tế</w:t>
      </w:r>
    </w:p>
    <w:p>
      <w:pPr>
        <w:spacing w:after="100" w:line="290"/>
        <w:ind w:left="460" w:hanging="300"/>
        <w:jc w:val="both"/>
      </w:pPr>
      <w:r>
        <w:rPr>
          <w:rFonts w:ascii="Calibri" w:cs="Calibri" w:eastAsia="Calibri" w:hAnsi="Calibri"/>
          <w:sz w:val="22"/>
          <w:szCs w:val="22"/>
        </w:rPr>
        <w:t xml:space="preserve">13. </w:t>
      </w:r>
      <w:r>
        <w:rPr>
          <w:rFonts w:ascii="Calibri" w:cs="Calibri" w:eastAsia="Calibri" w:hAnsi="Calibri"/>
          <w:sz w:val="22"/>
          <w:szCs w:val="22"/>
        </w:rPr>
        <w:t xml:space="preserve">Quyết định 02/QĐ-TTg (2022) — Chiến lược Quốc gia về Dinh dưỡng giai đoạn 2021–2030, tầm nhìn 2045</w:t>
      </w:r>
    </w:p>
    <w:p>
      <w:pPr>
        <w:spacing w:after="100" w:line="290"/>
        <w:ind w:left="460" w:hanging="300"/>
        <w:jc w:val="both"/>
      </w:pPr>
      <w:r>
        <w:rPr>
          <w:rFonts w:ascii="Calibri" w:cs="Calibri" w:eastAsia="Calibri" w:hAnsi="Calibri"/>
          <w:sz w:val="22"/>
          <w:szCs w:val="22"/>
        </w:rPr>
        <w:t xml:space="preserve">14. </w:t>
      </w:r>
      <w:r>
        <w:rPr>
          <w:rFonts w:ascii="Calibri" w:cs="Calibri" w:eastAsia="Calibri" w:hAnsi="Calibri"/>
          <w:sz w:val="22"/>
          <w:szCs w:val="22"/>
        </w:rPr>
        <w:t xml:space="preserve">Quyết định 155/QĐ-TTg (2022) — Kế hoạch quốc gia phòng chống bệnh không lây nhiễm giai đoạn 2022–2025</w:t>
      </w:r>
    </w:p>
    <w:p>
      <w:pPr>
        <w:spacing w:after="100" w:line="290"/>
        <w:ind w:left="460" w:hanging="300"/>
        <w:jc w:val="both"/>
      </w:pPr>
      <w:r>
        <w:rPr>
          <w:rFonts w:ascii="Calibri" w:cs="Calibri" w:eastAsia="Calibri" w:hAnsi="Calibri"/>
          <w:sz w:val="22"/>
          <w:szCs w:val="22"/>
        </w:rPr>
        <w:t xml:space="preserve">15. </w:t>
      </w:r>
      <w:r>
        <w:rPr>
          <w:rFonts w:ascii="Calibri" w:cs="Calibri" w:eastAsia="Calibri" w:hAnsi="Calibri"/>
          <w:sz w:val="22"/>
          <w:szCs w:val="22"/>
        </w:rPr>
        <w:t xml:space="preserve">Thông tư 08/2024/TT-BYT — sàng lọc nguy cơ dinh dưỡng cho người bệnh</w:t>
      </w:r>
    </w:p>
    <w:p>
      <w:pPr>
        <w:spacing w:after="100" w:line="290"/>
        <w:ind w:left="460" w:hanging="300"/>
        <w:jc w:val="both"/>
      </w:pPr>
      <w:r>
        <w:rPr>
          <w:rFonts w:ascii="Calibri" w:cs="Calibri" w:eastAsia="Calibri" w:hAnsi="Calibri"/>
          <w:sz w:val="22"/>
          <w:szCs w:val="22"/>
        </w:rPr>
        <w:t xml:space="preserve">16. </w:t>
      </w:r>
      <w:r>
        <w:rPr>
          <w:rFonts w:ascii="Calibri" w:cs="Calibri" w:eastAsia="Calibri" w:hAnsi="Calibri"/>
          <w:sz w:val="22"/>
          <w:szCs w:val="22"/>
        </w:rPr>
        <w:t xml:space="preserve">Quyết định 2598/QĐ-BYT và 3777/QĐ-BYT — quy trình kỹ thuật khám nhân trắc</w:t>
      </w:r>
    </w:p>
    <w:p>
      <w:pPr>
        <w:spacing w:after="100" w:line="290"/>
        <w:ind w:left="460" w:hanging="300"/>
        <w:jc w:val="both"/>
      </w:pPr>
      <w:r>
        <w:rPr>
          <w:rFonts w:ascii="Calibri" w:cs="Calibri" w:eastAsia="Calibri" w:hAnsi="Calibri"/>
          <w:sz w:val="22"/>
          <w:szCs w:val="22"/>
        </w:rPr>
        <w:t xml:space="preserve">17. </w:t>
      </w:r>
      <w:r>
        <w:rPr>
          <w:rFonts w:ascii="Calibri" w:cs="Calibri" w:eastAsia="Calibri" w:hAnsi="Calibri"/>
          <w:sz w:val="22"/>
          <w:szCs w:val="22"/>
        </w:rPr>
        <w:t xml:space="preserve">Nghị định 13/2023/NĐ-CP — bảo vệ dữ liệu cá nhân</w:t>
      </w:r>
    </w:p>
    <w:p>
      <w:pPr>
        <w:spacing w:after="100" w:line="290"/>
        <w:ind w:left="460" w:hanging="300"/>
        <w:jc w:val="both"/>
      </w:pPr>
      <w:r>
        <w:rPr>
          <w:rFonts w:ascii="Calibri" w:cs="Calibri" w:eastAsia="Calibri" w:hAnsi="Calibri"/>
          <w:sz w:val="22"/>
          <w:szCs w:val="22"/>
        </w:rPr>
        <w:t xml:space="preserve">18. </w:t>
      </w:r>
      <w:r>
        <w:rPr>
          <w:rFonts w:ascii="Calibri" w:cs="Calibri" w:eastAsia="Calibri" w:hAnsi="Calibri"/>
          <w:sz w:val="22"/>
          <w:szCs w:val="22"/>
        </w:rPr>
        <w:t xml:space="preserve">Hướng dẫn lâm sàng quốc tế bổ sung: ADA/EASD, AHA/WHO, ACR</w:t>
      </w:r>
    </w:p>
    <w:p>
      <w:pPr>
        <w:pStyle w:val="Heading2"/>
        <w:spacing w:after="160" w:before="320"/>
      </w:pPr>
      <w:r>
        <w:rPr>
          <w:rFonts w:ascii="Calibri" w:cs="Calibri" w:eastAsia="Calibri" w:hAnsi="Calibri"/>
          <w:b/>
          <w:bCs/>
          <w:color w:val="2E5395"/>
          <w:sz w:val="26"/>
          <w:szCs w:val="26"/>
        </w:rPr>
        <w:t xml:space="preserve">A.3. Giới hạn của tài liệu</w:t>
      </w:r>
    </w:p>
    <w:p>
      <w:pPr>
        <w:spacing w:after="160" w:line="300"/>
        <w:jc w:val="both"/>
      </w:pPr>
      <w:r>
        <w:rPr>
          <w:rFonts w:ascii="Calibri" w:cs="Calibri" w:eastAsia="Calibri" w:hAnsi="Calibri"/>
          <w:i w:val="false"/>
          <w:iCs w:val="false"/>
          <w:sz w:val="22"/>
          <w:szCs w:val="22"/>
        </w:rPr>
        <w:t xml:space="preserve">Ba giới hạn cần nêu rõ để người đọc sử dụng tài liệu đúng mục đích:</w:t>
      </w:r>
    </w:p>
    <w:p>
      <w:pPr>
        <w:spacing w:after="100" w:line="290"/>
        <w:ind w:left="460" w:hanging="300"/>
        <w:jc w:val="both"/>
      </w:pPr>
      <w:r>
        <w:rPr>
          <w:rFonts w:ascii="Calibri" w:cs="Calibri" w:eastAsia="Calibri" w:hAnsi="Calibri"/>
          <w:sz w:val="22"/>
          <w:szCs w:val="22"/>
        </w:rPr>
        <w:t xml:space="preserve">1. </w:t>
      </w:r>
      <w:r>
        <w:rPr>
          <w:rFonts w:ascii="Calibri" w:cs="Calibri" w:eastAsia="Calibri" w:hAnsi="Calibri"/>
          <w:sz w:val="22"/>
          <w:szCs w:val="22"/>
        </w:rPr>
        <w:t xml:space="preserve">Số liệu dịch tễ ở Chương 1 đến từ các khảo sát độc lập, khác cỡ mẫu và thời điểm — không được diễn giải như một bức tranh dịch tễ đồng bộ hay dùng để suy ra tỷ lệ đồng mắc giữa các bệnh lý.</w:t>
      </w:r>
    </w:p>
    <w:p>
      <w:pPr>
        <w:spacing w:after="100" w:line="290"/>
        <w:ind w:left="460" w:hanging="300"/>
        <w:jc w:val="both"/>
      </w:pPr>
      <w:r>
        <w:rPr>
          <w:rFonts w:ascii="Calibri" w:cs="Calibri" w:eastAsia="Calibri" w:hAnsi="Calibri"/>
          <w:sz w:val="22"/>
          <w:szCs w:val="22"/>
        </w:rPr>
        <w:t xml:space="preserve">2. </w:t>
      </w:r>
      <w:r>
        <w:rPr>
          <w:rFonts w:ascii="Calibri" w:cs="Calibri" w:eastAsia="Calibri" w:hAnsi="Calibri"/>
          <w:sz w:val="22"/>
          <w:szCs w:val="22"/>
        </w:rPr>
        <w:t xml:space="preserve">Ma trận ưu tiên ở Chương 3 là công cụ hỗ trợ ra quyết định định tính có căn cứ, không phải kết quả đo lường định lượng chính xác — vị trí các điểm trên ma trận phản ánh đánh giá của đội dự án tại thời điểm lập kế hoạch, có thể điều chỉnh khi có thông tin mới.</w:t>
      </w:r>
    </w:p>
    <w:p>
      <w:pPr>
        <w:spacing w:after="100" w:line="290"/>
        <w:ind w:left="460" w:hanging="300"/>
        <w:jc w:val="both"/>
      </w:pPr>
      <w:r>
        <w:rPr>
          <w:rFonts w:ascii="Calibri" w:cs="Calibri" w:eastAsia="Calibri" w:hAnsi="Calibri"/>
          <w:sz w:val="22"/>
          <w:szCs w:val="22"/>
        </w:rPr>
        <w:t xml:space="preserve">3. </w:t>
      </w:r>
      <w:r>
        <w:rPr>
          <w:rFonts w:ascii="Calibri" w:cs="Calibri" w:eastAsia="Calibri" w:hAnsi="Calibri"/>
          <w:sz w:val="22"/>
          <w:szCs w:val="22"/>
        </w:rPr>
        <w:t xml:space="preserve">Tài liệu này mô tả kế hoạch, không phải kết quả đã đạt được. Các chỉ số ở mục 3.4 là mục tiêu cần đạt, sẽ được đối chiếu với kết quả thực tế trong báo cáo đánh giá cuối kỳ của dự án.</w:t>
      </w:r>
    </w:p>
    <w:p>
      <w:pPr>
        <w:spacing w:after="100" w:line="290"/>
        <w:ind w:left="460" w:hanging="300"/>
        <w:jc w:val="both"/>
      </w:pPr>
      <w:r>
        <w:rPr>
          <w:rFonts w:ascii="Calibri" w:cs="Calibri" w:eastAsia="Calibri" w:hAnsi="Calibri"/>
          <w:sz w:val="22"/>
          <w:szCs w:val="22"/>
        </w:rPr>
        <w:t xml:space="preserve">4. </w:t>
      </w:r>
      <w:r>
        <w:rPr>
          <w:rFonts w:ascii="Calibri" w:cs="Calibri" w:eastAsia="Calibri" w:hAnsi="Calibri"/>
          <w:sz w:val="22"/>
          <w:szCs w:val="22"/>
        </w:rPr>
        <w:t xml:space="preserve">Hướng dẫn lâm sàng thay đổi theo thời gian. Bộ quy tắc trong hệ thống phản ánh các hướng dẫn có hiệu lực tại tháng 7/2026 và cần được rà soát định kỳ — Chương 6 ghi lại một trường hợp cụ thể trong đó bộ quy tắc ban đầu đã dựa trên một hướng dẫn đã bị thay thế.</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595959"/>
        <w:sz w:val="16"/>
        <w:szCs w:val="16"/>
      </w:rPr>
      <w:t xml:space="preserve">VNutriCare — Kế hoạch dự án</w:t>
    </w:r>
    <w:r>
      <w:rPr>
        <w:rFonts w:ascii="Calibri" w:cs="Calibri" w:eastAsia="Calibri" w:hAnsi="Calibri"/>
        <w:color w:val="595959"/>
        <w:sz w:val="16"/>
        <w:szCs w:val="16"/>
      </w:rPr>
      <w:t xml:space="preserve">	VMEC-10 · AI20K Build Cohort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abae49472691d7adbdf7584bffacef7efed66a.png"/><Relationship Id="rId10" Type="http://schemas.openxmlformats.org/officeDocument/2006/relationships/image" Target="media/dcee42537275a44413f182311cf9b2567d5ce296.png"/><Relationship Id="rId11" Type="http://schemas.openxmlformats.org/officeDocument/2006/relationships/image" Target="media/822c1503ea967ca7495278a5bd74384904f9803a.png"/><Relationship Id="rId12" Type="http://schemas.openxmlformats.org/officeDocument/2006/relationships/image" Target="media/a7c1293073f7c9af0cb6bed97527c024c79cb1a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chi tiết — VNutriCare (VMEC-10)</dc:title>
  <dc:creator>VNutriCare Team</dc:creator>
  <dc:description>Đặt vấn đề, luồng đối tượng/dữ liệu, câu hỏi nghiên cứu</dc:description>
  <cp:lastModifiedBy>Un-named</cp:lastModifiedBy>
  <cp:revision>1</cp:revision>
  <dcterms:created xsi:type="dcterms:W3CDTF">2026-07-27T07:49:58.124Z</dcterms:created>
  <dcterms:modified xsi:type="dcterms:W3CDTF">2026-07-27T07:49:58.124Z</dcterms:modified>
</cp:coreProperties>
</file>

<file path=docProps/custom.xml><?xml version="1.0" encoding="utf-8"?>
<Properties xmlns="http://schemas.openxmlformats.org/officeDocument/2006/custom-properties" xmlns:vt="http://schemas.openxmlformats.org/officeDocument/2006/docPropsVTypes"/>
</file>