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B3261E"/>
          <w:sz w:val="20"/>
        </w:rPr>
        <w:t>PARTYOPS PRODUCT ROADMAP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40201D"/>
          <w:sz w:val="60"/>
        </w:rPr>
        <w:t>党建智办 PartyOps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B3261E"/>
          <w:sz w:val="34"/>
        </w:rPr>
        <w:t>专业软件生态与后续升级建议</w:t>
      </w:r>
    </w:p>
    <w:p>
      <w:pPr>
        <w:spacing w:after="1120" w:line="312" w:lineRule="auto"/>
        <w:ind w:left="792" w:right="792"/>
        <w:jc w:val="center"/>
      </w:pPr>
      <w:r>
        <w:rPr>
          <w:rFonts w:ascii="Microsoft YaHei" w:hAnsi="Microsoft YaHei" w:eastAsia="Microsoft YaHei"/>
          <w:b w:val="0"/>
          <w:color w:val="756967"/>
          <w:sz w:val="23"/>
        </w:rPr>
        <w:t>面向统信 UOS、国产 CPU、单位局域网和重要资料管理的长期产品路线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40201D"/>
          <w:sz w:val="20"/>
        </w:rPr>
        <w:t>版本：规划建议稿 1.0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56967"/>
          <w:sz w:val="19"/>
        </w:rPr>
        <w:t>核验日期：2026 年 7 月 30 日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pPr>
        <w:spacing w:before="100" w:after="180" w:line="288" w:lineRule="auto"/>
        <w:ind w:left="173" w:right="115"/>
        <w:shd w:fill="F9ECE8"/>
        <w:pBdr>
          <w:left w:val="single" w:sz="18" w:space="8" w:color="B3261E"/>
        </w:pBdr>
      </w:pPr>
      <w:r>
        <w:rPr>
          <w:rFonts w:ascii="Microsoft YaHei" w:hAnsi="Microsoft YaHei" w:eastAsia="Microsoft YaHei"/>
          <w:b/>
          <w:color w:val="40201D"/>
          <w:sz w:val="21"/>
        </w:rPr>
        <w:t>核心结论：</w:t>
      </w:r>
      <w:r>
        <w:rPr>
          <w:rFonts w:ascii="Microsoft YaHei" w:hAnsi="Microsoft YaHei" w:eastAsia="Microsoft YaHei"/>
          <w:b w:val="0"/>
          <w:color w:val="262220"/>
          <w:sz w:val="21"/>
        </w:rPr>
        <w:t>PartyOps 已经实现系统内更新的主要软件链路，但当前项目目录还没有经过 UOS V20 amd64、ARM64 双架构原生构建和发布签名的正式 .partyops-update。因此，未来正常更新应当只在主机系统内导入更新包，协同电脑自动跟进；但在正式更新包生成并完成实机升级、回滚验收之前，不能把现有 Build Kit 视为可直接导入的日常更新包。</w:t>
      </w:r>
    </w:p>
    <w:p>
      <w:r>
        <w:rPr>
          <w:rFonts w:ascii="Microsoft YaHei" w:hAnsi="Microsoft YaHei" w:eastAsia="Microsoft YaHei"/>
          <w:b/>
          <w:color w:val="262220"/>
          <w:sz w:val="21"/>
        </w:rPr>
        <w:t>产品方向：</w:t>
      </w:r>
      <w:r>
        <w:rPr>
          <w:rFonts w:ascii="Microsoft YaHei" w:hAnsi="Microsoft YaHei" w:eastAsia="Microsoft YaHei"/>
          <w:b w:val="0"/>
          <w:color w:val="262220"/>
          <w:sz w:val="21"/>
        </w:rPr>
        <w:t>PartyOps 不应复制飞书或 Notion 的云端产品形态，而应吸收它们成熟的对象关系、多视图、搜索、自动化、知识组织和扩展机制，形成面向国产化政务内网的基层党建综合工作操作系统。</w:t>
      </w:r>
    </w:p>
    <w:p>
      <w:r>
        <w:rPr>
          <w:rFonts w:ascii="Microsoft YaHei" w:hAnsi="Microsoft YaHei" w:eastAsia="Microsoft YaHei"/>
          <w:b/>
          <w:color w:val="262220"/>
          <w:sz w:val="21"/>
        </w:rPr>
        <w:t>建设顺序：</w:t>
      </w:r>
      <w:r>
        <w:rPr>
          <w:rFonts w:ascii="Microsoft YaHei" w:hAnsi="Microsoft YaHei" w:eastAsia="Microsoft YaHei"/>
          <w:b w:val="0"/>
          <w:color w:val="262220"/>
          <w:sz w:val="21"/>
        </w:rPr>
        <w:t>先完成安装、入网、系统内更新、备份恢复和双架构实机稳定性闭环；再统一任务、文件、档案、日志、报告和知识之间的关系；最后建设签名模板包、连接器和受控 AI 扩展生态。</w:t>
      </w:r>
    </w:p>
    <w:p>
      <w:pPr>
        <w:pStyle w:val="Heading1"/>
        <w:keepNext/>
      </w:pPr>
      <w:r>
        <w:t>一、当前版本后续更新方式的真实状态</w:t>
      </w:r>
    </w:p>
    <w:p>
      <w:pPr>
        <w:pStyle w:val="Heading2"/>
        <w:keepNext/>
      </w:pPr>
      <w:r>
        <w:t>1.1 已经实现的软件能力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500"/>
        <w:gridCol w:w="5760"/>
      </w:tblGrid>
      <w:tr>
        <w:trPr>
          <w:tblHeader w:val="true"/>
        </w:trPr>
        <w:tc>
          <w:tcPr>
            <w:tcW w:type="dxa" w:w="21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5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576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系统设置入口</w:t>
            </w:r>
          </w:p>
        </w:tc>
        <w:tc>
          <w:tcPr>
            <w:tcW w:type="dxa" w:w="1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F6B4F"/>
                <w:sz w:val="17"/>
              </w:rPr>
              <w:t>已实现</w:t>
            </w:r>
          </w:p>
        </w:tc>
        <w:tc>
          <w:tcPr>
            <w:tcW w:type="dxa" w:w="57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主机管理员可以导入 .partyops-update，并查看更新包与更新历史。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签名和哈希校验</w:t>
            </w:r>
          </w:p>
        </w:tc>
        <w:tc>
          <w:tcPr>
            <w:tcW w:type="dxa" w:w="1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F6B4F"/>
                <w:sz w:val="17"/>
              </w:rPr>
              <w:t>已实现</w:t>
            </w:r>
          </w:p>
        </w:tc>
        <w:tc>
          <w:tcPr>
            <w:tcW w:type="dxa" w:w="57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校验 Ed25519 发布签名、清单、版本、架构和逐文件 SHA-256。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双架构选择</w:t>
            </w:r>
          </w:p>
        </w:tc>
        <w:tc>
          <w:tcPr>
            <w:tcW w:type="dxa" w:w="1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F6B4F"/>
                <w:sz w:val="17"/>
              </w:rPr>
              <w:t>已实现</w:t>
            </w:r>
          </w:p>
        </w:tc>
        <w:tc>
          <w:tcPr>
            <w:tcW w:type="dxa" w:w="57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更新包格式要求同时包含 amd64 与 ARM64，设备按自身架构选择程序包。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升级前备份</w:t>
            </w:r>
          </w:p>
        </w:tc>
        <w:tc>
          <w:tcPr>
            <w:tcW w:type="dxa" w:w="1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F6B4F"/>
                <w:sz w:val="17"/>
              </w:rPr>
              <w:t>已实现</w:t>
            </w:r>
          </w:p>
        </w:tc>
        <w:tc>
          <w:tcPr>
            <w:tcW w:type="dxa" w:w="57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主机升级前创建数据库与附件快照，失败时用于回滚。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主机优先升级</w:t>
            </w:r>
          </w:p>
        </w:tc>
        <w:tc>
          <w:tcPr>
            <w:tcW w:type="dxa" w:w="1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F6B4F"/>
                <w:sz w:val="17"/>
              </w:rPr>
              <w:t>已实现</w:t>
            </w:r>
          </w:p>
        </w:tc>
        <w:tc>
          <w:tcPr>
            <w:tcW w:type="dxa" w:w="57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主机健康检查通过后才向协同电脑登记更新。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协同机版本门禁</w:t>
            </w:r>
          </w:p>
        </w:tc>
        <w:tc>
          <w:tcPr>
            <w:tcW w:type="dxa" w:w="1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F6B4F"/>
                <w:sz w:val="17"/>
              </w:rPr>
              <w:t>已实现</w:t>
            </w:r>
          </w:p>
        </w:tc>
        <w:tc>
          <w:tcPr>
            <w:tcW w:type="dxa" w:w="57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低于主机版本的协同电脑进入更新页，完成更新后才进入业务系统。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受限更新助手</w:t>
            </w:r>
          </w:p>
        </w:tc>
        <w:tc>
          <w:tcPr>
            <w:tcW w:type="dxa" w:w="1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F6B4F"/>
                <w:sz w:val="17"/>
              </w:rPr>
              <w:t>已实现</w:t>
            </w:r>
          </w:p>
        </w:tc>
        <w:tc>
          <w:tcPr>
            <w:tcW w:type="dxa" w:w="57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UOS 安装包包含 partyops-updater 服务和最小权限 PolicyKit 规则。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正式双架构更新包</w:t>
            </w:r>
          </w:p>
        </w:tc>
        <w:tc>
          <w:tcPr>
            <w:tcW w:type="dxa" w:w="1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A5A00"/>
                <w:sz w:val="17"/>
              </w:rPr>
              <w:t>待生成正式包</w:t>
            </w:r>
          </w:p>
        </w:tc>
        <w:tc>
          <w:tcPr>
            <w:tcW w:type="dxa" w:w="57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当前 artifacts 目录只有 PartyOps-UOS-build-kit.zip，没有正式签名 .partyops-update。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UOS 双架构升级/回滚</w:t>
            </w:r>
          </w:p>
        </w:tc>
        <w:tc>
          <w:tcPr>
            <w:tcW w:type="dxa" w:w="1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A5A00"/>
                <w:sz w:val="17"/>
              </w:rPr>
              <w:t>待实机验收</w:t>
            </w:r>
          </w:p>
        </w:tc>
        <w:tc>
          <w:tcPr>
            <w:tcW w:type="dxa" w:w="57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Windows 自动化不能替代 UOS V20 amd64、ARM64 原位升级和回滚测试。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用户今后的正常更新流程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发布方在 UOS amd64 和 ARM64 目标环境分别构建原生程序包。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将两个架构程序包、版本清单、数据库模式、更新说明和哈希写入同一个 .partyops-update，并使用离线发布私钥签名。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主机管理员进入“系统设置 → 系统更新”，选择更新包并点击“开始升级”。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系统自动检查签名、架构、磁盘、数据库完整性和未完成任务，随后创建升级前备份。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主机先完成升级、迁移和健康检查；失败则自动回滚并停止向协同电脑分发。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协同电脑下次进入系统时显示版本和更新内容，用户点击开始更新；完成后自动进入系统。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主机设备中心显示每台电脑的当前版本、目标版本、更新状态和失败原因。</w:t>
      </w:r>
    </w:p>
    <w:p>
      <w:pPr>
        <w:spacing w:before="100" w:after="180" w:line="288" w:lineRule="auto"/>
        <w:ind w:left="173" w:right="115"/>
        <w:shd w:fill="F2F6F3"/>
        <w:pBdr>
          <w:left w:val="single" w:sz="18" w:space="8" w:color="2F6B4F"/>
        </w:pBdr>
      </w:pPr>
      <w:r>
        <w:rPr>
          <w:rFonts w:ascii="Microsoft YaHei" w:hAnsi="Microsoft YaHei" w:eastAsia="Microsoft YaHei"/>
          <w:b/>
          <w:color w:val="40201D"/>
          <w:sz w:val="21"/>
        </w:rPr>
        <w:t>是否还需要终端命令：</w:t>
      </w:r>
      <w:r>
        <w:rPr>
          <w:rFonts w:ascii="Microsoft YaHei" w:hAnsi="Microsoft YaHei" w:eastAsia="Microsoft YaHei"/>
          <w:b w:val="0"/>
          <w:color w:val="262220"/>
          <w:sz w:val="21"/>
        </w:rPr>
        <w:t>正常升级不需要。已经安装更新助手的 1.1.1 及以上版本应只使用系统内更新。终端命令仅保留给更新助手损坏、系统服务无法启动、磁盘故障或签名包无法回滚等管理员恢复场景。如果电脑仍是没有更新助手的 1.0.0，则需要最后手动原位安装一次桥接版本，且不能先卸载旧版。</w:t>
      </w:r>
    </w:p>
    <w:p>
      <w:pPr>
        <w:pStyle w:val="Heading2"/>
        <w:keepNext/>
      </w:pPr>
      <w:r>
        <w:t>1.3 正式宣布“只需系统内更新”前的发布门槛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生成真实的 partyops_&lt;版本&gt;.partyops-update 和对应 SHA-256 校验文件，而不是 Build Kit。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在干净 UOS V20 amd64 主机完成导入、备份、升级、重启、数据保留和回滚。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在飞腾 D2000/ARM64 协同电脑完成接收更新、自动安装、版本回报和离线续更。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验证旧任务、附件、档案、用户、设备配对、文件索引和更新历史全部保留。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完成 24 小时连续运行、断电重启、磁盘不足、迁移失败和伪造签名拒绝测试。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补足后端关键路径自动化覆盖率；当前记录约为 72.56%，低于规划的 90% 发布门槛。</w:t>
      </w:r>
    </w:p>
    <w:p>
      <w:pPr>
        <w:pStyle w:val="Heading1"/>
        <w:keepNext/>
      </w:pPr>
      <w:r>
        <w:t>二、PartyOps 的长期产品定位</w:t>
      </w:r>
    </w:p>
    <w:p>
      <w:pPr>
        <w:spacing w:before="100" w:after="180" w:line="288" w:lineRule="auto"/>
        <w:ind w:left="173" w:right="115"/>
        <w:shd w:fill="F9ECE8"/>
        <w:pBdr>
          <w:left w:val="single" w:sz="18" w:space="8" w:color="B3261E"/>
        </w:pBdr>
      </w:pPr>
      <w:r>
        <w:rPr>
          <w:rFonts w:ascii="Microsoft YaHei" w:hAnsi="Microsoft YaHei" w:eastAsia="Microsoft YaHei"/>
          <w:b/>
          <w:color w:val="40201D"/>
          <w:sz w:val="21"/>
        </w:rPr>
        <w:t>建议定位：</w:t>
      </w:r>
      <w:r>
        <w:rPr>
          <w:rFonts w:ascii="Microsoft YaHei" w:hAnsi="Microsoft YaHei" w:eastAsia="Microsoft YaHei"/>
          <w:b w:val="0"/>
          <w:color w:val="262220"/>
          <w:sz w:val="21"/>
        </w:rPr>
        <w:t>面向国产化政务内网的基层党建综合工作操作系统：以一台主机作为唯一业务数据源，在多台 UOS 协同电脑之间统一管理任务、文件、档案、日志、报告、知识、人员和设备。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一份数据，多种视图，不重复录入。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一个事项同时关联责任人、材料、原始文件、办理日志、周期报告和年度档案。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一次完成，自动进入周、月、季度和年度汇总。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原始文件不随意移动，PartyOps 建立关系和目录；编辑仍使用 WPS 或系统默认软件。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主机保存唯一业务数据库，协同电脑共享同一套业务数据，不形成多份真相。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AI 默认关闭、默认只读、默认禁止敏感事项，只生成有来源引用的草稿。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所有升级、扩展、模板和连接器都必须使用可校验、可回滚的签名离线包。</w:t>
      </w:r>
    </w:p>
    <w:p>
      <w:pPr>
        <w:pStyle w:val="Heading1"/>
        <w:keepNext/>
      </w:pPr>
      <w:r>
        <w:t>三、专业软件与知名开源项目对标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3400"/>
        <w:gridCol w:w="4110"/>
      </w:tblGrid>
      <w:tr>
        <w:trPr>
          <w:tblHeader w:val="true"/>
        </w:trPr>
        <w:tc>
          <w:tcPr>
            <w:tcW w:type="dxa" w:w="185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对标对象</w:t>
            </w:r>
          </w:p>
        </w:tc>
        <w:tc>
          <w:tcPr>
            <w:tcW w:type="dxa" w:w="34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值得学习</w:t>
            </w:r>
          </w:p>
        </w:tc>
        <w:tc>
          <w:tcPr>
            <w:tcW w:type="dxa" w:w="411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PartyOps 转化方向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飞书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统一工作台、知识库、多维表格、权限、自动化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今日工作台、专题空间、关系字段、审批与提醒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腾讯文档/WPS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熟悉的表格文档习惯、模板、导入导出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高保真 Word/Excel/WPS 报告和目录，默认软件打开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Notion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数据库即页面、多视图、关联、汇总、模板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一切皆工作对象，同一数据形成表格、看板、目录和报告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Obsidian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本地优先、双向链接、关系图、命令中心、插件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工作关系图、反向关联、Ctrl+K、离线扩展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AppFlowy/AFFiNE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本地工作空间、自托管、数据库页面、可控 AI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内网专题空间、受控 AI、离线数据库视图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Logseq/思源笔记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日志流、块级引用、每日记录、知识网络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工作日志时间线、经验复用、任务和文件反向引用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Paperless/Mayan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扫描件进入、OCR、元数据、版本、档案流程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重要档案、扫描件固化、版本留痕和文号检索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Plane/OpenProject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周期、任务依赖、活动流和长期项目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月度/季度/年度任务、前置条件和全过程轨迹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NocoDB/Baserow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表单、关系字段、公式、多视图、低代码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自定义档案类别、动态字段、报告和填报模板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n8n/Flowable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触发器、条件、动作、审批、重试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受控规则引擎，不允许运行任意脚本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Nextcloud/Seafile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文件共享、设备访问、版本与回收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多设备虚拟文件树、授权预览、断点续传和接收箱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Meilisearch</w:t>
            </w:r>
          </w:p>
        </w:tc>
        <w:tc>
          <w:tcPr>
            <w:tcW w:type="dxa" w:w="3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即输即搜、错别字容忍、筛选和同义词</w:t>
            </w:r>
          </w:p>
        </w:tc>
        <w:tc>
          <w:tcPr>
            <w:tcW w:type="dxa" w:w="41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中文全局搜索、文号/人名模糊匹配和组合筛选</w:t>
            </w:r>
          </w:p>
        </w:tc>
      </w:tr>
    </w:tbl>
    <w:p>
      <w:pPr>
        <w:spacing w:after="20"/>
      </w:pPr>
    </w:p>
    <w:p>
      <w:pPr>
        <w:spacing w:before="100" w:after="180" w:line="288" w:lineRule="auto"/>
        <w:ind w:left="173" w:right="115"/>
        <w:shd w:fill="FFF6E5"/>
        <w:pBdr>
          <w:left w:val="single" w:sz="18" w:space="8" w:color="8A5A00"/>
        </w:pBdr>
      </w:pPr>
      <w:r>
        <w:rPr>
          <w:rFonts w:ascii="Microsoft YaHei" w:hAnsi="Microsoft YaHei" w:eastAsia="Microsoft YaHei"/>
          <w:b/>
          <w:color w:val="40201D"/>
          <w:sz w:val="21"/>
        </w:rPr>
        <w:t>许可证边界：</w:t>
      </w:r>
      <w:r>
        <w:rPr>
          <w:rFonts w:ascii="Microsoft YaHei" w:hAnsi="Microsoft YaHei" w:eastAsia="Microsoft YaHei"/>
          <w:b w:val="0"/>
          <w:color w:val="262220"/>
          <w:sz w:val="21"/>
        </w:rPr>
        <w:t>可以学习产品思想、交互模式和架构方法，但不能直接复制受 AGPL、BSL、Sustainable Use License 等许可证约束的代码、图标和界面资源。任何第三方代码复用都应先完成许可证、依赖和安全审查。</w:t>
      </w:r>
    </w:p>
    <w:p>
      <w:pPr>
        <w:pStyle w:val="Heading1"/>
        <w:keepNext/>
      </w:pPr>
      <w:r>
        <w:t>四、建议形成的专业软件生态架构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3460"/>
        <w:gridCol w:w="4500"/>
      </w:tblGrid>
      <w:tr>
        <w:trPr>
          <w:tblHeader w:val="true"/>
        </w:trPr>
        <w:tc>
          <w:tcPr>
            <w:tcW w:type="dxa" w:w="14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平台层级</w:t>
            </w:r>
          </w:p>
        </w:tc>
        <w:tc>
          <w:tcPr>
            <w:tcW w:type="dxa" w:w="346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45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核心职责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体验层</w:t>
            </w:r>
          </w:p>
        </w:tc>
        <w:tc>
          <w:tcPr>
            <w:tcW w:type="dxa" w:w="34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今日工作台、Ctrl+K、多视图、专题空间、内置教程</w:t>
            </w:r>
          </w:p>
        </w:tc>
        <w:tc>
          <w:tcPr>
            <w:tcW w:type="dxa" w:w="4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让日常使用围绕“今天要办什么”和“资料在哪里”展开。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工作对象层</w:t>
            </w:r>
          </w:p>
        </w:tc>
        <w:tc>
          <w:tcPr>
            <w:tcW w:type="dxa" w:w="34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任务、文件、档案、人员、日志、报告、知识、设备</w:t>
            </w:r>
          </w:p>
        </w:tc>
        <w:tc>
          <w:tcPr>
            <w:tcW w:type="dxa" w:w="4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统一编号、权限、版本、标签和关系，避免模块各自为政。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自动化层</w:t>
            </w:r>
          </w:p>
        </w:tc>
        <w:tc>
          <w:tcPr>
            <w:tcW w:type="dxa" w:w="34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事件总线、周期生成、报告归集、提醒、审批</w:t>
            </w:r>
          </w:p>
        </w:tc>
        <w:tc>
          <w:tcPr>
            <w:tcW w:type="dxa" w:w="4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任务状态变化自动派生日志、汇总、通知和材料检查。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治理层</w:t>
            </w:r>
          </w:p>
        </w:tc>
        <w:tc>
          <w:tcPr>
            <w:tcW w:type="dxa" w:w="34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用户、设备、目录、档案、AI、审计、备份、更新</w:t>
            </w:r>
          </w:p>
        </w:tc>
        <w:tc>
          <w:tcPr>
            <w:tcW w:type="dxa" w:w="4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所有模块共用同一权限和审计策略。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扩展层</w:t>
            </w:r>
          </w:p>
        </w:tc>
        <w:tc>
          <w:tcPr>
            <w:tcW w:type="dxa" w:w="34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模板包、报告包、档案类别包、导入包、AI 技能包</w:t>
            </w:r>
          </w:p>
        </w:tc>
        <w:tc>
          <w:tcPr>
            <w:tcW w:type="dxa" w:w="4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通过签名离线包扩展，不依赖互联网应用商店。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统一工作对象与关系中心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人事调动档案关联人员、文号、扫描件、办理任务、工作日志和年度汇总。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任务详情反向显示相关文件、档案、报告、联系人、专题和历史操作。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文件详情只展示属性、所在设备、关联任务和授权状态；打开时调用 UOS 默认应用。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工作报告的每一条内容都能追溯到具体任务、日志、文件或档案。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搜索结果按对象类型分组，同时显示“为什么找到”和可执行的下一步动作。</w:t>
      </w:r>
    </w:p>
    <w:p>
      <w:pPr>
        <w:pStyle w:val="Heading2"/>
        <w:keepNext/>
      </w:pPr>
      <w:r>
        <w:t>4.2 安全离线扩展中心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扩展类型</w:t>
            </w:r>
          </w:p>
        </w:tc>
        <w:tc>
          <w:tcPr>
            <w:tcW w:type="dxa" w:w="35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16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安全边界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业务模板包</w:t>
            </w:r>
          </w:p>
        </w:tc>
        <w:tc>
          <w:tcPr>
            <w:tcW w:type="dxa" w:w="3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组织生活、年度考核、人事调动、迎检、专项工作</w:t>
            </w:r>
          </w:p>
        </w:tc>
        <w:tc>
          <w:tcPr>
            <w:tcW w:type="dxa" w:w="41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定义字段、流程、材料和权限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报告模板包</w:t>
            </w:r>
          </w:p>
        </w:tc>
        <w:tc>
          <w:tcPr>
            <w:tcW w:type="dxa" w:w="3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周报、月报、季度报告、年度总结、台账</w:t>
            </w:r>
          </w:p>
        </w:tc>
        <w:tc>
          <w:tcPr>
            <w:tcW w:type="dxa" w:w="41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定义栏目、数据规则和导出格式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数据导入包</w:t>
            </w:r>
          </w:p>
        </w:tc>
        <w:tc>
          <w:tcPr>
            <w:tcW w:type="dxa" w:w="3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Excel/WPS 目录、历史任务、档案清单</w:t>
            </w:r>
          </w:p>
        </w:tc>
        <w:tc>
          <w:tcPr>
            <w:tcW w:type="dxa" w:w="41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只允许声明式映射，不执行任意代码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连接器包</w:t>
            </w:r>
          </w:p>
        </w:tc>
        <w:tc>
          <w:tcPr>
            <w:tcW w:type="dxa" w:w="3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批准的内网系统或扫描设备</w:t>
            </w:r>
          </w:p>
        </w:tc>
        <w:tc>
          <w:tcPr>
            <w:tcW w:type="dxa" w:w="41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使用稳定 API、最小权限和完整审计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AI 技能包</w:t>
            </w:r>
          </w:p>
        </w:tc>
        <w:tc>
          <w:tcPr>
            <w:tcW w:type="dxa" w:w="35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检索、摘要、分类、任务拆解、报告草拟</w:t>
            </w:r>
          </w:p>
        </w:tc>
        <w:tc>
          <w:tcPr>
            <w:tcW w:type="dxa" w:w="41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只定义输入范围与输出结构，不能直接落库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五、后续升级路线与优先级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1400"/>
        <w:gridCol w:w="950"/>
        <w:gridCol w:w="3850"/>
        <w:gridCol w:w="2060"/>
      </w:tblGrid>
      <w:tr>
        <w:trPr>
          <w:tblHeader w:val="true"/>
        </w:trPr>
        <w:tc>
          <w:tcPr>
            <w:tcW w:type="dxa" w:w="11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95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85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主要交付</w:t>
            </w:r>
          </w:p>
        </w:tc>
        <w:tc>
          <w:tcPr>
            <w:tcW w:type="dxa" w:w="206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完成价值</w:t>
            </w:r>
          </w:p>
        </w:tc>
      </w:tr>
      <w:tr>
        <w:trPr/>
        <w:tc>
          <w:tcPr>
            <w:tcW w:type="dxa" w:w="1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阶段 0</w:t>
            </w:r>
          </w:p>
        </w:tc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发布闭环</w:t>
            </w:r>
          </w:p>
        </w:tc>
        <w:tc>
          <w:tcPr>
            <w:tcW w:type="dxa" w:w="9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62220"/>
                <w:sz w:val="16"/>
              </w:rPr>
              <w:t>P0</w:t>
            </w:r>
          </w:p>
        </w:tc>
        <w:tc>
          <w:tcPr>
            <w:tcW w:type="dxa" w:w="3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正式双架构更新包、实机升级/回滚、安装诊断、覆盖率补齐</w:t>
            </w:r>
          </w:p>
        </w:tc>
        <w:tc>
          <w:tcPr>
            <w:tcW w:type="dxa" w:w="20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完成后才能对外确认只需系统内升级</w:t>
            </w:r>
          </w:p>
        </w:tc>
      </w:tr>
      <w:tr>
        <w:trPr/>
        <w:tc>
          <w:tcPr>
            <w:tcW w:type="dxa" w:w="1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阶段 1</w:t>
            </w:r>
          </w:p>
        </w:tc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专业化统一</w:t>
            </w:r>
          </w:p>
        </w:tc>
        <w:tc>
          <w:tcPr>
            <w:tcW w:type="dxa" w:w="9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62220"/>
                <w:sz w:val="16"/>
              </w:rPr>
              <w:t>P0</w:t>
            </w:r>
          </w:p>
        </w:tc>
        <w:tc>
          <w:tcPr>
            <w:tcW w:type="dxa" w:w="3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对象关系中心、统一时间线、周期汇总、全局搜索、操作教程</w:t>
            </w:r>
          </w:p>
        </w:tc>
        <w:tc>
          <w:tcPr>
            <w:tcW w:type="dxa" w:w="20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解决重复录入和模块割裂</w:t>
            </w:r>
          </w:p>
        </w:tc>
      </w:tr>
      <w:tr>
        <w:trPr/>
        <w:tc>
          <w:tcPr>
            <w:tcW w:type="dxa" w:w="1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阶段 2</w:t>
            </w:r>
          </w:p>
        </w:tc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效率平台化</w:t>
            </w:r>
          </w:p>
        </w:tc>
        <w:tc>
          <w:tcPr>
            <w:tcW w:type="dxa" w:w="9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62220"/>
                <w:sz w:val="16"/>
              </w:rPr>
              <w:t>P1</w:t>
            </w:r>
          </w:p>
        </w:tc>
        <w:tc>
          <w:tcPr>
            <w:tcW w:type="dxa" w:w="3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多视图、专题空间、规则引擎、表单、模板中心、关系图</w:t>
            </w:r>
          </w:p>
        </w:tc>
        <w:tc>
          <w:tcPr>
            <w:tcW w:type="dxa" w:w="20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让非开发人员配置常用业务</w:t>
            </w:r>
          </w:p>
        </w:tc>
      </w:tr>
      <w:tr>
        <w:trPr/>
        <w:tc>
          <w:tcPr>
            <w:tcW w:type="dxa" w:w="1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阶段 3</w:t>
            </w:r>
          </w:p>
        </w:tc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生态化扩展</w:t>
            </w:r>
          </w:p>
        </w:tc>
        <w:tc>
          <w:tcPr>
            <w:tcW w:type="dxa" w:w="9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62220"/>
                <w:sz w:val="16"/>
              </w:rPr>
              <w:t>P1</w:t>
            </w:r>
          </w:p>
        </w:tc>
        <w:tc>
          <w:tcPr>
            <w:tcW w:type="dxa" w:w="3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签名扩展包、稳定 API、连接器 SDK、模板包管理</w:t>
            </w:r>
          </w:p>
        </w:tc>
        <w:tc>
          <w:tcPr>
            <w:tcW w:type="dxa" w:w="20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形成可维护的本地生态</w:t>
            </w:r>
          </w:p>
        </w:tc>
      </w:tr>
      <w:tr>
        <w:trPr/>
        <w:tc>
          <w:tcPr>
            <w:tcW w:type="dxa" w:w="1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阶段 4</w:t>
            </w:r>
          </w:p>
        </w:tc>
        <w:tc>
          <w:tcPr>
            <w:tcW w:type="dxa" w:w="1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智能与长期运营</w:t>
            </w:r>
          </w:p>
        </w:tc>
        <w:tc>
          <w:tcPr>
            <w:tcW w:type="dxa" w:w="9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62220"/>
                <w:sz w:val="16"/>
              </w:rPr>
              <w:t>P2</w:t>
            </w:r>
          </w:p>
        </w:tc>
        <w:tc>
          <w:tcPr>
            <w:tcW w:type="dxa" w:w="38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本地模型、引用式 AI、容量治理、兼容矩阵、长期归档</w:t>
            </w:r>
          </w:p>
        </w:tc>
        <w:tc>
          <w:tcPr>
            <w:tcW w:type="dxa" w:w="20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提高复用能力并保持长期稳定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</w:pPr>
      <w:r>
        <w:t>5.1 P0：必须优先完成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4550"/>
        <w:gridCol w:w="2610"/>
      </w:tblGrid>
      <w:tr>
        <w:trPr>
          <w:tblHeader w:val="true"/>
        </w:trPr>
        <w:tc>
          <w:tcPr>
            <w:tcW w:type="dxa" w:w="22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55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升级内容</w:t>
            </w:r>
          </w:p>
        </w:tc>
        <w:tc>
          <w:tcPr>
            <w:tcW w:type="dxa" w:w="261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验收标准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系统内更新闭环</w:t>
            </w:r>
          </w:p>
        </w:tc>
        <w:tc>
          <w:tcPr>
            <w:tcW w:type="dxa" w:w="45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生成、签名并实机验证正式双架构更新包；主机导入后自动编排终端。</w:t>
            </w:r>
          </w:p>
        </w:tc>
        <w:tc>
          <w:tcPr>
            <w:tcW w:type="dxa" w:w="26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两种架构升级/回滚全部通过，数据零丢失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入网与设备稳定性</w:t>
            </w:r>
          </w:p>
        </w:tc>
        <w:tc>
          <w:tcPr>
            <w:tcW w:type="dxa" w:w="45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把真实有线局域网、多网卡、IP 变化、离线重连纳入自动诊断。</w:t>
            </w:r>
          </w:p>
        </w:tc>
        <w:tc>
          <w:tcPr>
            <w:tcW w:type="dxa" w:w="26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连续 100 次入网/重连无身份错乱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统一对象关系</w:t>
            </w:r>
          </w:p>
        </w:tc>
        <w:tc>
          <w:tcPr>
            <w:tcW w:type="dxa" w:w="45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用统一关联服务连接任务、文件、档案、人员、日志、报告和知识。</w:t>
            </w:r>
          </w:p>
        </w:tc>
        <w:tc>
          <w:tcPr>
            <w:tcW w:type="dxa" w:w="26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任意对象可查看正向与反向关联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周期自动归集</w:t>
            </w:r>
          </w:p>
        </w:tc>
        <w:tc>
          <w:tcPr>
            <w:tcW w:type="dxa" w:w="45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完成事项自动进入周、月、季度和年度报告，保留发布快照。</w:t>
            </w:r>
          </w:p>
        </w:tc>
        <w:tc>
          <w:tcPr>
            <w:tcW w:type="dxa" w:w="26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无重复录入，历史报告不被后续变化覆盖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全局搜索</w:t>
            </w:r>
          </w:p>
        </w:tc>
        <w:tc>
          <w:tcPr>
            <w:tcW w:type="dxa" w:w="45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统一检索名称、文号、人员、标签、任务和档案；提供权限过滤。</w:t>
            </w:r>
          </w:p>
        </w:tc>
        <w:tc>
          <w:tcPr>
            <w:tcW w:type="dxa" w:w="26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十万对象下 p95 不超过 1 秒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内置教程与防错</w:t>
            </w:r>
          </w:p>
        </w:tc>
        <w:tc>
          <w:tcPr>
            <w:tcW w:type="dxa" w:w="455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新手引导、任务示例、操作检查、错误解释和管理员诊断。</w:t>
            </w:r>
          </w:p>
        </w:tc>
        <w:tc>
          <w:tcPr>
            <w:tcW w:type="dxa" w:w="261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6"/>
              </w:rPr>
              <w:t>普通用户可在 30 分钟内独立完成核心流程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P1：显著提升日常效率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96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升级内容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专题工作空间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将一个专项的任务、文件、日志、联系人、档案和报告集中展示。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智能视图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按本周完成、未归档、最终稿、年度重点、设备和责任人自动聚合。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安全自动化规则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提供触发器、条件、动作、审批、重试和执行记录。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关系图与反向链接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可视化展示事项、人员、文件、档案和报告之间的关系。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表单与模板设计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管理员配置字段、必填规则、下拉选项、报告栏目和导出格式。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文档版本比较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对 DOCX/PDF 提取文字差异，对图片显示哈希和视觉差异。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重复文件检测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区分完全重复、改名重复和文本高度相似，只给建议不自动删除。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交接包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自动汇总未完成事项、近期节点、联系人、缺项材料和文件目录。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P2：形成可持续生态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96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升级内容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签名模板市场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单位内部导入业务模板、报告模板和档案类别包，可检查版本并一键回滚。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稳定开放接口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提供版本化 OpenAPI、事件订阅和幂等命令，不暴露主机绝对路径。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连接器 SDK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为批准的内网数据源提供读取、校验、导入和审计规范。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本地 AI 网关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接入内网模型或本机模型，检索最小必要片段并显示来源引用。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兼容与容量中心</w:t>
            </w:r>
          </w:p>
        </w:tc>
        <w:tc>
          <w:tcPr>
            <w:tcW w:type="dxa" w:w="69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持续记录 UOS、内核、CPU 架构、WPS 版本、数据量和性能趋势。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六、国产化环境专项优化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56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优化要求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安装</w:t>
            </w:r>
          </w:p>
        </w:tc>
        <w:tc>
          <w:tcPr>
            <w:tcW w:type="dxa" w:w="75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amd64/ARM64 原生 .deb、桌面图标、双击安装、卸载保留数据、架构错误中文提示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更新</w:t>
            </w:r>
          </w:p>
        </w:tc>
        <w:tc>
          <w:tcPr>
            <w:tcW w:type="dxa" w:w="75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主机导入签名更新包，协同电脑自动选择架构；支持灰度、失败回滚和离线续更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文件</w:t>
            </w:r>
          </w:p>
        </w:tc>
        <w:tc>
          <w:tcPr>
            <w:tcW w:type="dxa" w:w="75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兼容 WPS、ET、DPS、PDF、压缩包和未知类型；文件默认用系统应用打开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性能</w:t>
            </w:r>
          </w:p>
        </w:tc>
        <w:tc>
          <w:tcPr>
            <w:tcW w:type="dxa" w:w="75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低功耗后台扫描、OCR 单线程限速、按需加载文件树、传输并发限制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网络</w:t>
            </w:r>
          </w:p>
        </w:tc>
        <w:tc>
          <w:tcPr>
            <w:tcW w:type="dxa" w:w="75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有线和无线同等支持；处理多网卡、IP 变化、离线重连和错误地址诊断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中文体验</w:t>
            </w:r>
          </w:p>
        </w:tc>
        <w:tc>
          <w:tcPr>
            <w:tcW w:type="dxa" w:w="75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状态、错误、日志、帮助和诊断完全中文化，时间统一显示北京时间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灾备</w:t>
            </w:r>
          </w:p>
        </w:tc>
        <w:tc>
          <w:tcPr>
            <w:tcW w:type="dxa" w:w="75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终端拉取备份，主机故障时按手册切换，恢复前校验版本、空间和哈希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七、界面与使用体验标准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所有新建、编辑、确认和详情弹窗水平、垂直居中；1366×768 下不越界。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长内容只滚动弹窗正文，标题、关闭按钮和底部操作按钮始终可见。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同一业务对象在不同页面使用相同名称、状态颜色、日期格式和操作顺序。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错误提示必须说明发生了什么、是否影响数据、用户下一步做什么，并提供追踪编号。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任务、文件和档案详情保留清晰的“关联对象”“历史记录”“权限范围”和“下一步动作”。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危险操作提供预览、影响范围和二次确认；可恢复操作优先进入作废、回收或版本历史。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内置帮助直接链接到当前页面的操作教程，不让用户离开系统查找说明书。</w:t>
      </w:r>
    </w:p>
    <w:p>
      <w:pPr>
        <w:pStyle w:val="Heading1"/>
        <w:keepNext/>
      </w:pPr>
      <w:r>
        <w:t>八、长期稳定与安全发布门槛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7260"/>
            <w:vAlign w:val="center"/>
            <w:shd w:fill="B3261E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自动化测试</w:t>
            </w:r>
          </w:p>
        </w:tc>
        <w:tc>
          <w:tcPr>
            <w:tcW w:type="dxa" w:w="72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状态机、权限、路径、材料、周期、备份、恢复、更新、设备和 AI 关键路径 100% 覆盖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总体覆盖率</w:t>
            </w:r>
          </w:p>
        </w:tc>
        <w:tc>
          <w:tcPr>
            <w:tcW w:type="dxa" w:w="72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前后端不低于 90%，不得用少量接口测试代替真实业务流程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双架构验收</w:t>
            </w:r>
          </w:p>
        </w:tc>
        <w:tc>
          <w:tcPr>
            <w:tcW w:type="dxa" w:w="72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干净 UOS V20 amd64 与 ARM64 完成安装、升级、回滚、重启和离线运行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多设备验收</w:t>
            </w:r>
          </w:p>
        </w:tc>
        <w:tc>
          <w:tcPr>
            <w:tcW w:type="dxa" w:w="72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至少模拟 20 台 Agent，并完成一台 amd64 主机、一台 amd64 终端和一台 ARM64 终端实测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性能</w:t>
            </w:r>
          </w:p>
        </w:tc>
        <w:tc>
          <w:tcPr>
            <w:tcW w:type="dxa" w:w="72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普通任务操作 p95 不超过 500ms；大规模搜索与文件树满足既定门槛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故障演练</w:t>
            </w:r>
          </w:p>
        </w:tc>
        <w:tc>
          <w:tcPr>
            <w:tcW w:type="dxa" w:w="72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断网、断电、磁盘不足、包损坏、数据库迁移失败、主机重启和终端离线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安全回归</w:t>
            </w:r>
          </w:p>
        </w:tc>
        <w:tc>
          <w:tcPr>
            <w:tcW w:type="dxa" w:w="72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认证、授权、文件路径、上传下载、更新签名、设备证书、AI 范围和敏感数据泄露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发布证据</w:t>
            </w:r>
          </w:p>
        </w:tc>
        <w:tc>
          <w:tcPr>
            <w:tcW w:type="dxa" w:w="7260"/>
            <w:vAlign w:val="center"/>
            <w:tcBorders>
              <w:top w:val="single" w:sz="5" w:color="D9CFC8"/>
              <w:left w:val="single" w:sz="5" w:color="D9CFC8"/>
              <w:bottom w:val="single" w:sz="5" w:color="D9CFC8"/>
              <w:right w:val="single" w:sz="5" w:color="D9CFC8"/>
              <w:insideH w:val="single" w:sz="5" w:color="D9CFC8"/>
              <w:insideV w:val="single" w:sz="5" w:color="D9CFC8"/>
            </w:tcBorders>
            <w:shd w:fill="FBF8F2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2220"/>
                <w:sz w:val="17"/>
              </w:rPr>
              <w:t>保存版本、签名、哈希、迁移记录、测试报告、实机清单和回滚演练结果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九、版本与更新治理建议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稳定通道：单位正式使用版本，只接收通过全部门槛的签名更新包。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试点通道：先在一台指定协同电脑验证，确认后再扩大到全部设备。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更新说明：每个版本必须记录更新时间、主要变化、数据库迁移、已知限制和回滚条件。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版本一致：主机完成升级后，低版本协同电脑只能进入更新页；离线设备上线后继续。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更新幂等：重复安装相同版本直接报告成功，不重复迁移或覆盖业务数据。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回滚一致：程序、数据库、附件和索引按同一个更新任务恢复，禁止只回滚其中一部分。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长期冻结：大版本稳定后进入功能冻结期，只做漏洞修复、兼容修复和必要性能优化。</w:t>
      </w:r>
    </w:p>
    <w:p>
      <w:pPr>
        <w:pStyle w:val="Heading1"/>
        <w:keepNext/>
      </w:pPr>
      <w:r>
        <w:t>十、不建议照搬的能力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不建设飞书式即时聊天、视频会议或工作量排名。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不自研完整多人同时编辑 Word 的协同编辑器，继续调用 WPS 等成熟软件。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不开放任意插件执行 Python、Shell、系统命令或未经批准的网络请求。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不让每台协同电脑保存一套独立可写业务数据库，避免冲突和多份真相。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不自动删除、移动、重命名或覆盖用户原始文件。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不允许 AI 自动发布报告、改变状态、删除文件或执行跨设备传输。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不为了展示效果堆叠大屏、复杂动画和低价值统计。</w:t>
      </w:r>
    </w:p>
    <w:p>
      <w:pPr>
        <w:pStyle w:val="Heading1"/>
        <w:keepNext/>
      </w:pPr>
      <w:r>
        <w:t>十一、建议的下一次发布目标</w:t>
      </w:r>
    </w:p>
    <w:p>
      <w:pPr>
        <w:spacing w:before="100" w:after="180" w:line="288" w:lineRule="auto"/>
        <w:ind w:left="173" w:right="115"/>
        <w:shd w:fill="F9ECE8"/>
        <w:pBdr>
          <w:left w:val="single" w:sz="18" w:space="8" w:color="B3261E"/>
        </w:pBdr>
      </w:pPr>
      <w:r>
        <w:rPr>
          <w:rFonts w:ascii="Microsoft YaHei" w:hAnsi="Microsoft YaHei" w:eastAsia="Microsoft YaHei"/>
          <w:b/>
          <w:color w:val="40201D"/>
          <w:sz w:val="21"/>
        </w:rPr>
        <w:t>建议目标：</w:t>
      </w:r>
      <w:r>
        <w:rPr>
          <w:rFonts w:ascii="Microsoft YaHei" w:hAnsi="Microsoft YaHei" w:eastAsia="Microsoft YaHei"/>
          <w:b w:val="0"/>
          <w:color w:val="262220"/>
          <w:sz w:val="21"/>
        </w:rPr>
        <w:t>下一次对单位电脑交付的重点不应是继续增加菜单，而是完成“正式签名 .partyops-update + UOS 双架构实机验收 + 设备入网稳定性 + 周期自动归集 + 统一关系与搜索”的稳定版。达到门槛后，再进入专题空间、规则引擎和扩展生态建设。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正式生成双架构签名更新包，并在主机系统内完成导入。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验证主机升级后协同电脑自动收到更新提示并完成对应架构安装。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把入网、更新、备份、文件访问和周期汇总纳入一键诊断。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补足发布门槛所需测试覆盖率和真实故障回滚证据。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在系统设置中显示完整版本历史、更新时间、更新内容、设备版本和回滚点。</w:t>
      </w:r>
    </w:p>
    <w:p>
      <w:pPr>
        <w:pStyle w:val="Heading1"/>
        <w:keepNext/>
      </w:pPr>
      <w:r>
        <w:t>附录 A：研究来源</w:t>
      </w:r>
    </w:p>
    <w:p>
      <w:pPr>
        <w:spacing w:after="60"/>
        <w:ind w:left="288"/>
      </w:pPr>
      <w:hyperlink r:id="rId13">
        <w:r>
          <w:rPr>
            <w:color w:val="315E78"/>
            <w:u w:val="single"/>
            <w:rFonts w:eastAsia="Microsoft YaHei" w:ascii="Microsoft YaHei" w:hAnsi="Microsoft YaHei"/>
          </w:rPr>
          <w:t>飞书知识库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https://www.feishu.cn/product/wiki?from=from_service_page</w:t>
      </w:r>
    </w:p>
    <w:p>
      <w:pPr>
        <w:spacing w:after="60"/>
        <w:ind w:left="288"/>
      </w:pPr>
      <w:hyperlink r:id="rId14">
        <w:r>
          <w:rPr>
            <w:color w:val="315E78"/>
            <w:u w:val="single"/>
            <w:rFonts w:eastAsia="Microsoft YaHei" w:ascii="Microsoft YaHei" w:hAnsi="Microsoft YaHei"/>
          </w:rPr>
          <w:t>飞书多维表格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https://www.feishu.cn/product/base?element=solutions_media_bottom_button_3</w:t>
      </w:r>
    </w:p>
    <w:p>
      <w:pPr>
        <w:spacing w:after="60"/>
        <w:ind w:left="288"/>
      </w:pPr>
      <w:hyperlink r:id="rId15">
        <w:r>
          <w:rPr>
            <w:color w:val="315E78"/>
            <w:u w:val="single"/>
            <w:rFonts w:eastAsia="Microsoft YaHei" w:ascii="Microsoft YaHei" w:hAnsi="Microsoft YaHei"/>
          </w:rPr>
          <w:t>腾讯文档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https://docs.qq.com/</w:t>
      </w:r>
    </w:p>
    <w:p>
      <w:pPr>
        <w:spacing w:after="60"/>
        <w:ind w:left="288"/>
      </w:pPr>
      <w:hyperlink r:id="rId16">
        <w:r>
          <w:rPr>
            <w:color w:val="315E78"/>
            <w:u w:val="single"/>
            <w:rFonts w:eastAsia="Microsoft YaHei" w:ascii="Microsoft YaHei" w:hAnsi="Microsoft YaHei"/>
          </w:rPr>
          <w:t>Notion 数据库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https://www.notion.com/help/category/databases</w:t>
      </w:r>
    </w:p>
    <w:p>
      <w:pPr>
        <w:spacing w:after="60"/>
        <w:ind w:left="288"/>
      </w:pPr>
      <w:hyperlink r:id="rId17">
        <w:r>
          <w:rPr>
            <w:color w:val="315E78"/>
            <w:u w:val="single"/>
            <w:rFonts w:eastAsia="Microsoft YaHei" w:ascii="Microsoft YaHei" w:hAnsi="Microsoft YaHei"/>
          </w:rPr>
          <w:t>Notion 离线使用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https://www.notion.com/help/use-pages-offline</w:t>
      </w:r>
    </w:p>
    <w:p>
      <w:pPr>
        <w:spacing w:after="60"/>
        <w:ind w:left="288"/>
      </w:pPr>
      <w:hyperlink r:id="rId18">
        <w:r>
          <w:rPr>
            <w:color w:val="315E78"/>
            <w:u w:val="single"/>
            <w:rFonts w:eastAsia="Microsoft YaHei" w:ascii="Microsoft YaHei" w:hAnsi="Microsoft YaHei"/>
          </w:rPr>
          <w:t>Obsidian 内部链接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https://obsidian.md/help/Linking%20notes%20and%20files/Internal%20links</w:t>
      </w:r>
    </w:p>
    <w:p>
      <w:pPr>
        <w:spacing w:after="60"/>
        <w:ind w:left="288"/>
      </w:pPr>
      <w:hyperlink r:id="rId19">
        <w:r>
          <w:rPr>
            <w:color w:val="315E78"/>
            <w:u w:val="single"/>
            <w:rFonts w:eastAsia="Microsoft YaHei" w:ascii="Microsoft YaHei" w:hAnsi="Microsoft YaHei"/>
          </w:rPr>
          <w:t>Obsidian Canvas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https://obsidian.md/help/Plugins/Canvas</w:t>
      </w:r>
    </w:p>
    <w:p>
      <w:pPr>
        <w:spacing w:after="60"/>
        <w:ind w:left="288"/>
      </w:pPr>
      <w:hyperlink r:id="rId20">
        <w:r>
          <w:rPr>
            <w:color w:val="315E78"/>
            <w:u w:val="single"/>
            <w:rFonts w:eastAsia="Microsoft YaHei" w:ascii="Microsoft YaHei" w:hAnsi="Microsoft YaHei"/>
          </w:rPr>
          <w:t>AppFlowy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https://github.com/AppFlowy-IO/AppFlowy</w:t>
      </w:r>
    </w:p>
    <w:p>
      <w:pPr>
        <w:spacing w:after="60"/>
        <w:ind w:left="288"/>
      </w:pPr>
      <w:hyperlink r:id="rId21">
        <w:r>
          <w:rPr>
            <w:color w:val="315E78"/>
            <w:u w:val="single"/>
            <w:rFonts w:eastAsia="Microsoft YaHei" w:ascii="Microsoft YaHei" w:hAnsi="Microsoft YaHei"/>
          </w:rPr>
          <w:t>思源笔记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https://github.com/siyuan-note/siyuan</w:t>
      </w:r>
    </w:p>
    <w:p>
      <w:pPr>
        <w:spacing w:after="60"/>
        <w:ind w:left="288"/>
      </w:pPr>
      <w:hyperlink r:id="rId22">
        <w:r>
          <w:rPr>
            <w:color w:val="315E78"/>
            <w:u w:val="single"/>
            <w:rFonts w:eastAsia="Microsoft YaHei" w:ascii="Microsoft YaHei" w:hAnsi="Microsoft YaHei"/>
          </w:rPr>
          <w:t>Logseq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https://github.com/logseq/logseq</w:t>
      </w:r>
    </w:p>
    <w:p>
      <w:pPr>
        <w:spacing w:after="60"/>
        <w:ind w:left="288"/>
      </w:pPr>
      <w:hyperlink r:id="rId23">
        <w:r>
          <w:rPr>
            <w:color w:val="315E78"/>
            <w:u w:val="single"/>
            <w:rFonts w:eastAsia="Microsoft YaHei" w:ascii="Microsoft YaHei" w:hAnsi="Microsoft YaHei"/>
          </w:rPr>
          <w:t>Outline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https://github.com/outline/outline</w:t>
      </w:r>
    </w:p>
    <w:p>
      <w:pPr>
        <w:spacing w:after="60"/>
        <w:ind w:left="288"/>
      </w:pPr>
      <w:hyperlink r:id="rId24">
        <w:r>
          <w:rPr>
            <w:color w:val="315E78"/>
            <w:u w:val="single"/>
            <w:rFonts w:eastAsia="Microsoft YaHei" w:ascii="Microsoft YaHei" w:hAnsi="Microsoft YaHei"/>
          </w:rPr>
          <w:t>Paperless-ngx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https://github.com/paperless-ngx/paperless-ngx</w:t>
      </w:r>
    </w:p>
    <w:p>
      <w:pPr>
        <w:spacing w:after="60"/>
        <w:ind w:left="288"/>
      </w:pPr>
      <w:hyperlink r:id="rId25">
        <w:r>
          <w:rPr>
            <w:color w:val="315E78"/>
            <w:u w:val="single"/>
            <w:rFonts w:eastAsia="Microsoft YaHei" w:ascii="Microsoft YaHei" w:hAnsi="Microsoft YaHei"/>
          </w:rPr>
          <w:t>Mayan EDMS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https://github.com/mayan-edms/Mayan-EDMS</w:t>
      </w:r>
    </w:p>
    <w:p>
      <w:pPr>
        <w:spacing w:after="60"/>
        <w:ind w:left="288"/>
      </w:pPr>
      <w:hyperlink r:id="rId26">
        <w:r>
          <w:rPr>
            <w:color w:val="315E78"/>
            <w:u w:val="single"/>
            <w:rFonts w:eastAsia="Microsoft YaHei" w:ascii="Microsoft YaHei" w:hAnsi="Microsoft YaHei"/>
          </w:rPr>
          <w:t>Plane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https://github.com/makeplane/plane</w:t>
      </w:r>
    </w:p>
    <w:p>
      <w:pPr>
        <w:spacing w:after="60"/>
        <w:ind w:left="288"/>
      </w:pPr>
      <w:hyperlink r:id="rId27">
        <w:r>
          <w:rPr>
            <w:color w:val="315E78"/>
            <w:u w:val="single"/>
            <w:rFonts w:eastAsia="Microsoft YaHei" w:ascii="Microsoft YaHei" w:hAnsi="Microsoft YaHei"/>
          </w:rPr>
          <w:t>OpenProject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https://github.com/opf/openproject</w:t>
      </w:r>
    </w:p>
    <w:p>
      <w:pPr>
        <w:spacing w:after="60"/>
        <w:ind w:left="288"/>
      </w:pPr>
      <w:hyperlink r:id="rId28">
        <w:r>
          <w:rPr>
            <w:color w:val="315E78"/>
            <w:u w:val="single"/>
            <w:rFonts w:eastAsia="Microsoft YaHei" w:ascii="Microsoft YaHei" w:hAnsi="Microsoft YaHei"/>
          </w:rPr>
          <w:t>NocoDB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https://github.com/nocodb/nocodb</w:t>
      </w:r>
    </w:p>
    <w:p>
      <w:pPr>
        <w:spacing w:after="60"/>
        <w:ind w:left="288"/>
      </w:pPr>
      <w:hyperlink r:id="rId29">
        <w:r>
          <w:rPr>
            <w:color w:val="315E78"/>
            <w:u w:val="single"/>
            <w:rFonts w:eastAsia="Microsoft YaHei" w:ascii="Microsoft YaHei" w:hAnsi="Microsoft YaHei"/>
          </w:rPr>
          <w:t>n8n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https://github.com/n8n-io/n8n</w:t>
      </w:r>
    </w:p>
    <w:p>
      <w:pPr>
        <w:spacing w:after="60"/>
        <w:ind w:left="288"/>
      </w:pPr>
      <w:hyperlink r:id="rId30">
        <w:r>
          <w:rPr>
            <w:color w:val="315E78"/>
            <w:u w:val="single"/>
            <w:rFonts w:eastAsia="Microsoft YaHei" w:ascii="Microsoft YaHei" w:hAnsi="Microsoft YaHei"/>
          </w:rPr>
          <w:t>Nextcloud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https://github.com/nextcloud/server</w:t>
      </w:r>
    </w:p>
    <w:p>
      <w:pPr>
        <w:spacing w:after="60"/>
        <w:ind w:left="288"/>
      </w:pPr>
      <w:hyperlink r:id="rId31">
        <w:r>
          <w:rPr>
            <w:color w:val="315E78"/>
            <w:u w:val="single"/>
            <w:rFonts w:eastAsia="Microsoft YaHei" w:ascii="Microsoft YaHei" w:hAnsi="Microsoft YaHei"/>
          </w:rPr>
          <w:t>Meilisearch</w:t>
        </w:r>
      </w:hyperlink>
      <w:r>
        <w:rPr>
          <w:rFonts w:ascii="Microsoft YaHei" w:hAnsi="Microsoft YaHei" w:eastAsia="Microsoft YaHei"/>
          <w:b w:val="0"/>
          <w:color w:val="756967"/>
          <w:sz w:val="17"/>
        </w:rPr>
        <w:t xml:space="preserve">  https://github.com/meilisearch/meilisearch</w:t>
      </w:r>
    </w:p>
    <w:p>
      <w:pPr>
        <w:pStyle w:val="Heading1"/>
        <w:keepNext/>
      </w:pPr>
      <w:r>
        <w:t>附录 B：当前项目核查依据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README.md：当前功能、安装方式和更新中心说明。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docs/upgrade-1.1.3.md：应用内更新流程、1.0.0 桥接升级和正式包要求。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docs/requirements-matrix.md：更新、回滚、设备门禁和实机验收状态。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progress.md：当前测试结果、覆盖率、UOS 构建限制和最新修复记录。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task_plan.md：当前阶段为 implementation_complete / release_blocked，正式 UOS 发布仍受门槛约束。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62220"/>
          <w:sz w:val="21"/>
        </w:rPr>
        <w:t>artifacts/：核查时仅包含 PartyOps-UOS-build-kit.zip 及其 SHA-256，没有正式 .partyops-update。</w:t>
      </w:r>
    </w:p>
    <w:p>
      <w:pPr>
        <w:spacing w:before="100" w:after="180" w:line="288" w:lineRule="auto"/>
        <w:ind w:left="173" w:right="115"/>
        <w:shd w:fill="F2F6F3"/>
        <w:pBdr>
          <w:left w:val="single" w:sz="18" w:space="8" w:color="2F6B4F"/>
        </w:pBdr>
      </w:pPr>
      <w:r>
        <w:rPr>
          <w:rFonts w:ascii="Microsoft YaHei" w:hAnsi="Microsoft YaHei" w:eastAsia="Microsoft YaHei"/>
          <w:b/>
          <w:color w:val="40201D"/>
          <w:sz w:val="21"/>
        </w:rPr>
        <w:t>说明：</w:t>
      </w:r>
      <w:r>
        <w:rPr>
          <w:rFonts w:ascii="Microsoft YaHei" w:hAnsi="Microsoft YaHei" w:eastAsia="Microsoft YaHei"/>
          <w:b w:val="0"/>
          <w:color w:val="262220"/>
          <w:sz w:val="21"/>
        </w:rPr>
        <w:t>本建议以 2026 年 7 月 30 日项目文件和公开资料为依据。功能规划不等于已经发布；每项能力必须以可安装制品、自动化测试、UOS 双架构实机记录和可回滚证据作为完成标准。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56967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756967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56967"/>
        <w:sz w:val="18"/>
      </w:rPr>
      <w:t>党建智办 · 基层党建工作闭环协同系统 · PartyOps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D9CFC8"/>
      </w:pBdr>
    </w:pPr>
    <w:r>
      <w:rPr>
        <w:rFonts w:ascii="Microsoft YaHei" w:hAnsi="Microsoft YaHei" w:eastAsia="Microsoft YaHei"/>
        <w:b w:val="0"/>
        <w:color w:val="756967"/>
        <w:sz w:val="17"/>
      </w:rPr>
      <w:t>党建智办 PartyOps  |  专业软件生态与后续升级建议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eastAsia="Microsoft YaHei" w:ascii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eastAsia="Microsoft YaHei" w:ascii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eastAsia="Microsoft YaHei" w:ascii="Microsoft YaHe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62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326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326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0201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www.feishu.cn/product/wiki?from=from_service_page" TargetMode="External"/><Relationship Id="rId14" Type="http://schemas.openxmlformats.org/officeDocument/2006/relationships/hyperlink" Target="https://www.feishu.cn/product/base?element=solutions_media_bottom_button_3" TargetMode="External"/><Relationship Id="rId15" Type="http://schemas.openxmlformats.org/officeDocument/2006/relationships/hyperlink" Target="https://docs.qq.com/" TargetMode="External"/><Relationship Id="rId16" Type="http://schemas.openxmlformats.org/officeDocument/2006/relationships/hyperlink" Target="https://www.notion.com/help/category/databases" TargetMode="External"/><Relationship Id="rId17" Type="http://schemas.openxmlformats.org/officeDocument/2006/relationships/hyperlink" Target="https://www.notion.com/help/use-pages-offline" TargetMode="External"/><Relationship Id="rId18" Type="http://schemas.openxmlformats.org/officeDocument/2006/relationships/hyperlink" Target="https://obsidian.md/help/Linking%20notes%20and%20files/Internal%20links" TargetMode="External"/><Relationship Id="rId19" Type="http://schemas.openxmlformats.org/officeDocument/2006/relationships/hyperlink" Target="https://obsidian.md/help/Plugins/Canvas" TargetMode="External"/><Relationship Id="rId20" Type="http://schemas.openxmlformats.org/officeDocument/2006/relationships/hyperlink" Target="https://github.com/AppFlowy-IO/AppFlowy" TargetMode="External"/><Relationship Id="rId21" Type="http://schemas.openxmlformats.org/officeDocument/2006/relationships/hyperlink" Target="https://github.com/siyuan-note/siyuan" TargetMode="External"/><Relationship Id="rId22" Type="http://schemas.openxmlformats.org/officeDocument/2006/relationships/hyperlink" Target="https://github.com/logseq/logseq" TargetMode="External"/><Relationship Id="rId23" Type="http://schemas.openxmlformats.org/officeDocument/2006/relationships/hyperlink" Target="https://github.com/outline/outline" TargetMode="External"/><Relationship Id="rId24" Type="http://schemas.openxmlformats.org/officeDocument/2006/relationships/hyperlink" Target="https://github.com/paperless-ngx/paperless-ngx" TargetMode="External"/><Relationship Id="rId25" Type="http://schemas.openxmlformats.org/officeDocument/2006/relationships/hyperlink" Target="https://github.com/mayan-edms/Mayan-EDMS" TargetMode="External"/><Relationship Id="rId26" Type="http://schemas.openxmlformats.org/officeDocument/2006/relationships/hyperlink" Target="https://github.com/makeplane/plane" TargetMode="External"/><Relationship Id="rId27" Type="http://schemas.openxmlformats.org/officeDocument/2006/relationships/hyperlink" Target="https://github.com/opf/openproject" TargetMode="External"/><Relationship Id="rId28" Type="http://schemas.openxmlformats.org/officeDocument/2006/relationships/hyperlink" Target="https://github.com/nocodb/nocodb" TargetMode="External"/><Relationship Id="rId29" Type="http://schemas.openxmlformats.org/officeDocument/2006/relationships/hyperlink" Target="https://github.com/n8n-io/n8n" TargetMode="External"/><Relationship Id="rId30" Type="http://schemas.openxmlformats.org/officeDocument/2006/relationships/hyperlink" Target="https://github.com/nextcloud/server" TargetMode="External"/><Relationship Id="rId31" Type="http://schemas.openxmlformats.org/officeDocument/2006/relationships/hyperlink" Target="https://github.com/meilisearch/meili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党建智办 PartyOps 专业软件生态与后续升级建议</dc:title>
  <dc:subject>系统内更新现状、产品对标、功能优化和生态路线</dc:subject>
  <dc:creator>PartyOps 项目资料</dc:creator>
  <cp:keywords>PartyOps, 党建智办, UOS, 升级路线, 产品生态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