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Entre os passivos destinados ao levantamento de cargas, Ning et al. (2023) organizam a estrutura em módulos de braço, ombro e costas e dimensionam o conjunto a partir da tração da mola. 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constitui problema clássico da síntese de mecanismos. </w:t>
      </w:r>
      <w:proofErr w:type="spellStart"/>
      <w:r>
        <w:rPr>
          <w:lang w:val="pt-BR"/>
        </w:rPr>
        <w:t>Arakelian</w:t>
      </w:r>
      <w:proofErr w:type="spellEnd"/>
      <w:r>
        <w:rPr>
          <w:lang w:val="pt-BR"/>
        </w:rPr>
        <w:t xml:space="preserve"> (2016) sistematiza as soluções em três grupos, definidos pela natureza da força compensadora — contrapesos, molas ou força ativa proveniente de atuador auxiliar —, e Nguyen (2026)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Ning et al. (2022) projetam o perfil da came a partir do módulo de armazenamento de energia da mola e validam o resultado por eletromiografia.</w:t>
      </w:r>
    </w:p>
    <w:p w14:paraId="14A2EBB8" w14:textId="77777777" w:rsidR="00FD1B34" w:rsidRPr="00955B75" w:rsidRDefault="003B1183">
      <w:pPr>
        <w:rPr>
          <w:lang w:val="pt-BR"/>
        </w:rPr>
      </w:pPr>
      <w:r>
        <w:rPr>
          <w:lang w:val="pt-BR"/>
        </w:rPr>
        <w:t>A patente US 9.889.554 B2 (VAN ENGELHOVEN; KAZEROONI, 2018)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situada junto à junta restringe a mola, de modo que o torque decai a valor residual e o membro recupera liberdade de movimento. A patente EP 3 504 033 B1 (OTTOBOCK, 2023), por sua vez, endereça o mesmo problema por caminho construtivo distinto, transmitindo a força de um atuador passivo por meio de elemento rígido apoiado na pelve.</w:t>
      </w:r>
    </w:p>
    <w:p w14:paraId="4939AF5C" w14:textId="77777777" w:rsidR="00FD1B34" w:rsidRPr="00955B75" w:rsidRDefault="003B1183">
      <w:pPr>
        <w:rPr>
          <w:lang w:val="pt-BR"/>
        </w:rPr>
      </w:pPr>
      <w:r>
        <w:rPr>
          <w:lang w:val="pt-BR"/>
        </w:rPr>
        <w:t>Em ambos os documentos, contudo, as figuras exibem apenas a forma dos perfis de torque, desprovidas de escala nos eixos, o que inviabiliza o aproveitamento direto dos dados publicados e motiva a reconstrução geométrica adotada neste trabalho.</w:t>
      </w:r>
    </w:p>
    <w:p>
      <w:pPr>
        <w:rPr>
          <w:lang w:val="pt-BR"/>
        </w:rPr>
      </w:pPr>
      <w:r>
        <w:rPr>
          <w:lang w:val="pt-BR"/>
        </w:rPr>
        <w:t xml:space="preserve">Na EP 3 504 033 B1, a faixa sem torque com o braço baixado não depende de um batente. O elemento elástico passa a encostar, a partir de um ângulo ajustável, num elemento de encosto situado junto à articulação; com esse elemento sobre o eixo de rotação, as forças dos dois trechos do elástico passam pelo eixo e não produzem torque, embora o elástico continue tracionado (OTTOBOCK, 2023). Nessa patente, diferentemente do que se disse acima para os dois documentos, a abscissa das curvas publicadas tem escala em graus; só a ordenada é desprovida de escala.</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(NING et al., 2022; OKABE et al., 2025).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3B.6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do fabricante de redução de até 40% da carga no ombro, que não consta da patente e cuja fonte não está listada nas referências.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3B.5)</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Fonte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sem fonte listada nas referências</w:t>
            </w:r>
          </w:p>
        </w:tc>
        <w:tc>
          <w:tcPr>
            <w:tcW w:w="3480" w:type="dxa"/>
            <w:vAlign w:val="center"/>
          </w:tcPr>
          <w:p>
            <w:pPr>
              <w:keepNext/>
              <w:spacing w:before="20" w:after="20" w:line="240" w:lineRule="auto"/>
              <w:rPr>
                <w:lang w:val="pt-BR"/>
              </w:rPr>
            </w:pPr>
            <w:r>
              <w:rPr>
                <w:lang w:val="pt-BR"/>
              </w:rPr>
              <w:t xml:space="preserve">Localizar e citar a fonte, ou tratar o alvo apenas como hipótese</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727FD1E3" w14:textId="77777777" w:rsidR="00FD1B34" w:rsidRDefault="003B1183">
      <w:r>
        <w:t xml:space="preserve">NING, Y. et al. Design and analysis of upper limb passive exoskeleton robot for lift assist. </w:t>
      </w:r>
      <w:r>
        <w:rPr>
          <w:b/>
        </w:rPr>
        <w:t>Journal of Physics: Conference Series</w:t>
      </w:r>
      <w:r>
        <w:t>, [</w:t>
      </w:r>
      <w:proofErr w:type="spellStart"/>
      <w:r>
        <w:t>S.l.</w:t>
      </w:r>
      <w:proofErr w:type="spellEnd"/>
      <w:r>
        <w:t xml:space="preserve">], v. 2410, art. 012020, 2022. DOI: </w:t>
      </w:r>
      <w:hyperlink r:id="rId36" w:history="1">
        <w:r w:rsidR="00FD1B34">
          <w:rPr>
            <w:rStyle w:val="Hyperlink"/>
          </w:rPr>
          <w:t>10.1088/1742-6596/2410/1/012020</w:t>
        </w:r>
      </w:hyperlink>
      <w:r>
        <w:t>.</w:t>
      </w:r>
    </w:p>
    <w:p w14:paraId="2CA3E634" w14:textId="77777777" w:rsidR="00FD1B34" w:rsidRDefault="003B1183">
      <w:r>
        <w:lastRenderedPageBreak/>
        <w:t xml:space="preserve">NING, Y. et al. Structure design and analysis of upper limb wearable passive power-assisted exoskeleton robot. </w:t>
      </w:r>
      <w:r>
        <w:rPr>
          <w:b/>
        </w:rPr>
        <w:t>Journal of Physics: Conference Series</w:t>
      </w:r>
      <w:r>
        <w:t>, [</w:t>
      </w:r>
      <w:proofErr w:type="spellStart"/>
      <w:r>
        <w:t>S.l.</w:t>
      </w:r>
      <w:proofErr w:type="spellEnd"/>
      <w:r>
        <w:t xml:space="preserve">], v. 2489, art. 012008, 2023. DOI: </w:t>
      </w:r>
      <w:hyperlink r:id="rId37" w:history="1">
        <w:r w:rsidR="00FD1B34">
          <w:rPr>
            <w:rStyle w:val="Hyperlink"/>
          </w:rPr>
          <w:t>10.1088/1742-6596/2489/1/012008</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