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3B.13 aplicam à EP 3 504 033 B1 (OTTOBOCK, 2023)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3B.2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(39)</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3B.4 Equação de fechamento do circuito vetorial</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pStyle w:val="Ttulo2"/>
        <w:rPr>
          <w:lang w:val="pt-BR"/>
        </w:rPr>
      </w:pPr>
      <w:r>
        <w:rPr>
          <w:lang w:val="pt-BR"/>
        </w:rPr>
        <w:t xml:space="preserve">3B.5 Ponto de contato e troca de regime</w:t>
      </w:r>
    </w:p>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3B.7 Faixa sem torque com o braço baixado</w:t>
      </w:r>
    </w:p>
    <w:p>
      <w:pPr>
        <w:rPr>
          <w:lang w:val="pt-BR"/>
        </w:rPr>
      </w:pPr>
      <w:r>
        <w:rPr>
          <w:lang w:val="pt-BR"/>
        </w:rPr>
        <w:t xml:space="preserve">Esta seção faz o papel da seção 3A.7: indica onde o modelo libera o braço. Pela Equação (41), m</w:t>
      </w:r>
      <w:r>
        <w:rPr>
          <w:vertAlign w:val="subscript"/>
          <w:lang w:val="pt-BR"/>
        </w:rPr>
        <w:t xml:space="preserve">II</w:t>
      </w:r>
      <w:r>
        <w:rPr>
          <w:lang w:val="pt-BR"/>
        </w:rPr>
        <w:t xml:space="preserve"> é proporcional a p</w:t>
      </w:r>
      <w:r>
        <w:rPr>
          <w:vertAlign w:val="subscript"/>
          <w:lang w:val="pt-BR"/>
        </w:rPr>
        <w:t xml:space="preserve">78</w:t>
      </w:r>
      <w:r>
        <w:rPr>
          <w:lang w:val="pt-BR"/>
        </w:rPr>
        <w:t xml:space="preserve">, de modo que, abaixo da transição, o torque só se anula se o elemento 78 estiver sobre o eixo. 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(43)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4B.8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(42),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3B.10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2"/>
        <w:rPr>
          <w:lang w:val="pt-BR"/>
        </w:rPr>
      </w:pPr>
      <w:r>
        <w:rPr>
          <w:lang w:val="pt-BR"/>
        </w:rPr>
        <w:t xml:space="preserve">3B.12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(42),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(41);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3B.1 a 3B.11,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3B.12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(43)</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3B.3).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3B.7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3B.9).</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(42)</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(42)</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(43)</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3B.9);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3B.3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