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3"/>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Agradeço à minha família, em especial a [nomes], pelo apoio e pela paciência ao longo de toda a graduação.</w:t>
      </w:r>
    </w:p>
    <w:p>
      <w:pPr>
        <w:pStyle w:val="PreTexto"/>
        <w:spacing w:before="120"/>
        <w:ind w:firstLine="360"/>
        <w:jc w:val="both"/>
      </w:pPr>
      <w:r>
        <w:t xml:space="preserve">Ao meu orientador, Prof. Dr. Eduardo Paiva Okabe, pela orientação, pela confiança e pela disponibilidade durante o desenvolvimento deste trabalho, e pela parceria no artigo </w:t>
      </w:r>
      <w:r>
        <w:rPr>
          <w:i/>
          <w:iCs/>
        </w:rPr>
        <w:t xml:space="preserve">Modeling and simulation of an upper limb exoskeleton</w:t>
      </w:r>
      <w:r>
        <w:t xml:space="preserve">.</w:t>
      </w:r>
    </w:p>
    <w:p>
      <w:pPr>
        <w:pStyle w:val="PreTexto"/>
        <w:spacing w:before="120"/>
        <w:ind w:firstLine="360"/>
        <w:jc w:val="both"/>
      </w:pPr>
      <w:r>
        <w:t xml:space="preserve">Ao Prof. Dr. José Luiz Pereira Brittes, também coautor desse artigo, e ao Prof. Dr. Felipe Wenzel da Silva Tuckmantel, por aceitarem o convite para compor a banca examinadora.</w:t>
      </w:r>
    </w:p>
    <w:p>
      <w:pPr>
        <w:pStyle w:val="PreTexto"/>
        <w:spacing w:before="120"/>
        <w:ind w:firstLine="360"/>
        <w:jc w:val="both"/>
      </w:pPr>
      <w:r>
        <w:t xml:space="preserve">Aos professores e funcionários da Faculdade de Ciências Aplicadas da UNICAMP, pela formação recebida no curso de Engenharia de Manufatura.</w:t>
      </w:r>
    </w:p>
    <w:p>
      <w:pPr>
        <w:pStyle w:val="PreTexto"/>
        <w:spacing w:before="120"/>
        <w:ind w:firstLine="360"/>
        <w:jc w:val="both"/>
      </w:pPr>
      <w:r>
        <w:t xml:space="preserve">Aos colegas e amigos [nomes], pela convivência e pelo companheirismo ao longo do curso.</w:t>
      </w:r>
    </w:p>
    <w:p>
      <w:pPr>
        <w:pStyle w:val="PreTexto"/>
        <w:spacing w:before="120"/>
        <w:ind w:firstLine="360"/>
        <w:jc w:val="both"/>
      </w:pPr>
      <w:r>
        <w:t xml:space="preserve">Às comunidades que desenvolvem e mantêm o Python e as bibliotecas científicas livres usadas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4,354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4.354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28</w:t>
        </w:r>
      </w:hyperlink>
    </w:p>
    <w:p>
      <w:pPr>
        <w:pStyle w:val="ndicedeilustraes"/>
      </w:pPr>
      <w:hyperlink w:anchor="_Toc0043" w:history="1">
        <w:r>
          <w:t xml:space="preserve">Figura 2: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r>
          <w:tab/>
        </w:r>
        <w:r>
          <w:t xml:space="preserve">42</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45</w:t>
        </w:r>
      </w:hyperlink>
    </w:p>
    <w:p>
      <w:pPr>
        <w:pStyle w:val="ndicedeilustraes"/>
      </w:pPr>
      <w:hyperlink w:anchor="_Toc0065"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56</w:t>
        </w:r>
      </w:hyperlink>
    </w:p>
    <w:p>
      <w:pPr>
        <w:pStyle w:val="ndicedeilustraes"/>
      </w:pPr>
      <w:hyperlink w:anchor="_Toc0071"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60</w:t>
        </w:r>
      </w:hyperlink>
    </w:p>
    <w:p>
      <w:pPr>
        <w:pStyle w:val="ndicedeilustraes"/>
      </w:pPr>
      <w:hyperlink w:anchor="_Toc0072"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60</w:t>
        </w:r>
      </w:hyperlink>
    </w:p>
    <w:p>
      <w:pPr>
        <w:pStyle w:val="ndicedeilustraes"/>
      </w:pPr>
      <w:hyperlink w:anchor="_Toc0076"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63</w:t>
        </w:r>
      </w:hyperlink>
    </w:p>
    <w:p>
      <w:pPr>
        <w:pStyle w:val="ndicedeilustraes"/>
      </w:pPr>
      <w:hyperlink w:anchor="_Toc0088"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72</w:t>
        </w:r>
      </w:hyperlink>
    </w:p>
    <w:p>
      <w:pPr>
        <w:pStyle w:val="ndicedeilustraes"/>
      </w:pPr>
      <w:hyperlink w:anchor="_Toc0092" w:history="1">
        <w:r>
          <w:t xml:space="preserve">Figura 9: </w:t>
        </w:r>
        <w:r>
          <w:t xml:space="preserve">Pontos extraídos da Figura 16 da patente e razão calculada pelo ajuste de forma, com (a) escala c por curva e (b) escala c comum às três curvas</w:t>
        </w:r>
        <w:r>
          <w:tab/>
        </w:r>
        <w:r>
          <w:t xml:space="preserve">76</w:t>
        </w:r>
      </w:hyperlink>
    </w:p>
    <w:p>
      <w:pPr>
        <w:pStyle w:val="ndicedeilustraes"/>
      </w:pPr>
      <w:hyperlink w:anchor="_Toc0099"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80</w:t>
        </w:r>
      </w:hyperlink>
    </w:p>
    <w:p>
      <w:pPr>
        <w:pStyle w:val="ndicedeilustraes"/>
      </w:pPr>
      <w:hyperlink w:anchor="_Toc0101" w:history="1">
        <w:r>
          <w:t xml:space="preserve">Figura 11: </w:t>
        </w:r>
        <w:r>
          <w:t xml:space="preserve">Torque do elástico e torque do peso normalizados pelos respectivos picos, em função da anteversão</w:t>
        </w:r>
        <w:r>
          <w:tab/>
        </w:r>
        <w:r>
          <w:t xml:space="preserve">81</w:t>
        </w:r>
      </w:hyperlink>
    </w:p>
    <w:p>
      <w:pPr>
        <w:pStyle w:val="ndicedeilustraes"/>
      </w:pPr>
      <w:hyperlink w:anchor="_Toc0103"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82</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27</w:t>
        </w:r>
      </w:hyperlink>
    </w:p>
    <w:p>
      <w:pPr>
        <w:pStyle w:val="ndicedeilustraes"/>
      </w:pPr>
      <w:hyperlink w:anchor="_Toc0036" w:history="1">
        <w:r>
          <w:t xml:space="preserve">Tabela 2: </w:t>
        </w:r>
        <w:r>
          <w:t xml:space="preserve">Fontes e arquivos utilizados na análise da EP 3 504 033 B1</w:t>
        </w:r>
        <w:r>
          <w:tab/>
        </w:r>
        <w:r>
          <w:t xml:space="preserve">36</w:t>
        </w:r>
      </w:hyperlink>
    </w:p>
    <w:p>
      <w:pPr>
        <w:pStyle w:val="ndicedeilustraes"/>
      </w:pPr>
      <w:hyperlink w:anchor="_Toc0040" w:history="1">
        <w:r>
          <w:t xml:space="preserve">Tabela 3: </w:t>
        </w:r>
        <w:r>
          <w:t xml:space="preserve">Convenções angulares e de sinal do modelo da Ottobock</w:t>
        </w:r>
        <w:r>
          <w:tab/>
        </w:r>
        <w:r>
          <w:t xml:space="preserve">40</w:t>
        </w:r>
      </w:hyperlink>
    </w:p>
    <w:p>
      <w:pPr>
        <w:pStyle w:val="ndicedeilustraes"/>
      </w:pPr>
      <w:hyperlink w:anchor="_Toc0056" w:history="1">
        <w:r>
          <w:t xml:space="preserve">Tabela 4: </w:t>
        </w:r>
        <w:r>
          <w:t xml:space="preserve">Grandezas medidas na reconstrução em CAD</w:t>
        </w:r>
        <w:r>
          <w:tab/>
        </w:r>
        <w:r>
          <w:t xml:space="preserve">52</w:t>
        </w:r>
      </w:hyperlink>
    </w:p>
    <w:p>
      <w:pPr>
        <w:pStyle w:val="ndicedeilustraes"/>
      </w:pPr>
      <w:hyperlink w:anchor="_Toc0057" w:history="1">
        <w:r>
          <w:t xml:space="preserve">Tabela 5: </w:t>
        </w:r>
        <w:r>
          <w:t xml:space="preserve">Propriedades de massa do conjunto braço–exoesqueleto</w:t>
        </w:r>
        <w:r>
          <w:tab/>
        </w:r>
        <w:r>
          <w:t xml:space="preserve">52</w:t>
        </w:r>
      </w:hyperlink>
    </w:p>
    <w:p>
      <w:pPr>
        <w:pStyle w:val="ndicedeilustraes"/>
      </w:pPr>
      <w:hyperlink w:anchor="_Toc0059" w:history="1">
        <w:r>
          <w:t xml:space="preserve">Tabela 6: </w:t>
        </w:r>
        <w:r>
          <w:t xml:space="preserve">Pontos extraídos da curva da patente e torque calculado pelo modelo</w:t>
        </w:r>
        <w:r>
          <w:tab/>
        </w:r>
        <w:r>
          <w:t xml:space="preserve">53</w:t>
        </w:r>
      </w:hyperlink>
    </w:p>
    <w:p>
      <w:pPr>
        <w:pStyle w:val="ndicedeilustraes"/>
      </w:pPr>
      <w:hyperlink w:anchor="_Toc0061" w:history="1">
        <w:r>
          <w:t xml:space="preserve">Tabela 7: </w:t>
        </w:r>
        <w:r>
          <w:t xml:space="preserve">Verificações da cadeia de cálculo (h = 22,701 mm)</w:t>
        </w:r>
        <w:r>
          <w:tab/>
        </w:r>
        <w:r>
          <w:t xml:space="preserve">54</w:t>
        </w:r>
      </w:hyperlink>
    </w:p>
    <w:p>
      <w:pPr>
        <w:pStyle w:val="ndicedeilustraes"/>
      </w:pPr>
      <w:hyperlink w:anchor="_Toc0063" w:history="1">
        <w:r>
          <w:t xml:space="preserve">Tabela 8: </w:t>
        </w:r>
        <w:r>
          <w:t xml:space="preserve">Parâmetros não publicados, origem e verificação</w:t>
        </w:r>
        <w:r>
          <w:tab/>
        </w:r>
        <w:r>
          <w:t xml:space="preserve">55</w:t>
        </w:r>
      </w:hyperlink>
    </w:p>
    <w:p>
      <w:pPr>
        <w:pStyle w:val="ndicedeilustraes"/>
      </w:pPr>
      <w:hyperlink w:anchor="_Toc0066" w:history="1">
        <w:r>
          <w:t xml:space="preserve">Tabela 9: </w:t>
        </w:r>
        <w:r>
          <w:t xml:space="preserve">Indicadores de qualidade do ajuste à curva da patente</w:t>
        </w:r>
        <w:r>
          <w:tab/>
        </w:r>
        <w:r>
          <w:t xml:space="preserve">57</w:t>
        </w:r>
      </w:hyperlink>
    </w:p>
    <w:p>
      <w:pPr>
        <w:pStyle w:val="ndicedeilustraes"/>
      </w:pPr>
      <w:hyperlink w:anchor="_Toc0067" w:history="1">
        <w:r>
          <w:t xml:space="preserve">Tabela 10: </w:t>
        </w:r>
        <w:r>
          <w:t xml:space="preserve">Zonas de sinal dos resíduos (modelo − extraído), em ordem de θ*</w:t>
        </w:r>
        <w:r>
          <w:tab/>
        </w:r>
        <w:r>
          <w:t xml:space="preserve">57</w:t>
        </w:r>
      </w:hyperlink>
    </w:p>
    <w:p>
      <w:pPr>
        <w:pStyle w:val="ndicedeilustraes"/>
      </w:pPr>
      <w:hyperlink w:anchor="_Toc0069" w:history="1">
        <w:r>
          <w:t xml:space="preserve">Tabela 11: </w:t>
        </w:r>
        <w:r>
          <w:t xml:space="preserve">Grandezas do mecanismo na faixa de operação</w:t>
        </w:r>
        <w:r>
          <w:tab/>
        </w:r>
        <w:r>
          <w:t xml:space="preserve">58</w:t>
        </w:r>
      </w:hyperlink>
    </w:p>
    <w:p>
      <w:pPr>
        <w:pStyle w:val="ndicedeilustraes"/>
      </w:pPr>
      <w:hyperlink w:anchor="_Toc0073" w:history="1">
        <w:r>
          <w:t xml:space="preserve">Tabela 12: </w:t>
        </w:r>
        <w:r>
          <w:t xml:space="preserve">Platôs de RMSE com K congelado</w:t>
        </w:r>
        <w:r>
          <w:tab/>
        </w:r>
        <w:r>
          <w:t xml:space="preserve">61</w:t>
        </w:r>
      </w:hyperlink>
    </w:p>
    <w:p>
      <w:pPr>
        <w:pStyle w:val="ndicedeilustraes"/>
      </w:pPr>
      <w:hyperlink w:anchor="_Toc0074" w:history="1">
        <w:r>
          <w:t xml:space="preserve">Tabela 13: </w:t>
        </w:r>
        <w:r>
          <w:t xml:space="preserve">Valores notáveis de h na varredura com K congelado</w:t>
        </w:r>
        <w:r>
          <w:tab/>
        </w:r>
        <w:r>
          <w:t xml:space="preserve">62</w:t>
        </w:r>
      </w:hyperlink>
    </w:p>
    <w:p>
      <w:pPr>
        <w:pStyle w:val="ndicedeilustraes"/>
      </w:pPr>
      <w:hyperlink w:anchor="_Toc0080" w:history="1">
        <w:r>
          <w:t xml:space="preserve">Tabela 14: </w:t>
        </w:r>
        <w:r>
          <w:t xml:space="preserve">Grandezas medidas no modelo em CAD e grandezas derivadas</w:t>
        </w:r>
        <w:r>
          <w:tab/>
        </w:r>
        <w:r>
          <w:t xml:space="preserve">65</w:t>
        </w:r>
      </w:hyperlink>
    </w:p>
    <w:p>
      <w:pPr>
        <w:pStyle w:val="ndicedeilustraes"/>
      </w:pPr>
      <w:hyperlink w:anchor="_Toc0081" w:history="1">
        <w:r>
          <w:t xml:space="preserve">Tabela 15: </w:t>
        </w:r>
        <w:r>
          <w:t xml:space="preserve">Propriedades de massa do membro humano em relação ao eixo da articulação 20</w:t>
        </w:r>
        <w:r>
          <w:tab/>
        </w:r>
        <w:r>
          <w:t xml:space="preserve">67</w:t>
        </w:r>
      </w:hyperlink>
    </w:p>
    <w:p>
      <w:pPr>
        <w:pStyle w:val="ndicedeilustraes"/>
      </w:pPr>
      <w:hyperlink w:anchor="_Toc0083" w:history="1">
        <w:r>
          <w:t xml:space="preserve">Tabela 16: </w:t>
        </w:r>
        <w:r>
          <w:t xml:space="preserve">Pontos extraídos da Figura 16 da patente (razão em divisões da grade)</w:t>
        </w:r>
        <w:r>
          <w:tab/>
        </w:r>
        <w:r>
          <w:t xml:space="preserve">68</w:t>
        </w:r>
      </w:hyperlink>
    </w:p>
    <w:p>
      <w:pPr>
        <w:pStyle w:val="ndicedeilustraes"/>
      </w:pPr>
      <w:hyperlink w:anchor="_Toc0085" w:history="1">
        <w:r>
          <w:t xml:space="preserve">Tabela 17: </w:t>
        </w:r>
        <w:r>
          <w:t xml:space="preserve">Verificações da cadeia de cálculo do modelo da Ottobock</w:t>
        </w:r>
        <w:r>
          <w:tab/>
        </w:r>
        <w:r>
          <w:t xml:space="preserve">70</w:t>
        </w:r>
      </w:hyperlink>
    </w:p>
    <w:p>
      <w:pPr>
        <w:pStyle w:val="ndicedeilustraes"/>
      </w:pPr>
      <w:hyperlink w:anchor="_Toc0087"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71</w:t>
        </w:r>
      </w:hyperlink>
    </w:p>
    <w:p>
      <w:pPr>
        <w:pStyle w:val="ndicedeilustraes"/>
      </w:pPr>
      <w:hyperlink w:anchor="_Toc0090" w:history="1">
        <w:r>
          <w:t xml:space="preserve">Tabela 19: </w:t>
        </w:r>
        <w:r>
          <w:t xml:space="preserve">Ajuste de s</w:t>
        </w:r>
        <w:r>
          <w:rPr>
            <w:vertAlign w:val="subscript"/>
          </w:rPr>
          <w:t xml:space="preserve">0</w:t>
        </w:r>
        <w:r>
          <w:t xml:space="preserve"> à forma de cada curva da Figura 16 da patente</w:t>
        </w:r>
        <w:r>
          <w:tab/>
        </w:r>
        <w:r>
          <w:t xml:space="preserve">74</w:t>
        </w:r>
      </w:hyperlink>
    </w:p>
    <w:p>
      <w:pPr>
        <w:pStyle w:val="ndicedeilustraes"/>
      </w:pPr>
      <w:hyperlink w:anchor="_Toc0091" w:history="1">
        <w:r>
          <w:t xml:space="preserve">Tabela 20: </w:t>
        </w:r>
        <w:r>
          <w:t xml:space="preserve">Ajuste conjunto com escala comum e ajuste com força constante</w:t>
        </w:r>
        <w:r>
          <w:tab/>
        </w:r>
        <w:r>
          <w:t xml:space="preserve">75</w:t>
        </w:r>
      </w:hyperlink>
    </w:p>
    <w:p>
      <w:pPr>
        <w:pStyle w:val="ndicedeilustraes"/>
      </w:pPr>
      <w:hyperlink w:anchor="_Toc0094" w:history="1">
        <w:r>
          <w:t xml:space="preserve">Tabela 21: </w:t>
        </w:r>
        <w:r>
          <w:t xml:space="preserve">Parâmetros não publicados, origem e identificabilidade</w:t>
        </w:r>
        <w:r>
          <w:tab/>
        </w:r>
        <w:r>
          <w:t xml:space="preserve">77</w:t>
        </w:r>
      </w:hyperlink>
    </w:p>
    <w:p>
      <w:pPr>
        <w:pStyle w:val="ndicedeilustraes"/>
      </w:pPr>
      <w:hyperlink w:anchor="_Toc0096" w:history="1">
        <w:r>
          <w:t xml:space="preserve">Tabela 22: </w:t>
        </w:r>
        <w:r>
          <w:t xml:space="preserve">Grandezas do circuito em ângulos representativos (</w:t>
        </w:r>
        <w:r>
          <w:rPr>
            <w:i/>
            <w:iCs/>
          </w:rPr>
          <w:t xml:space="preserve">e</w:t>
        </w:r>
        <w:r>
          <w:t xml:space="preserve"> = 34,785 mm)</w:t>
        </w:r>
        <w:r>
          <w:tab/>
        </w:r>
        <w:r>
          <w:t xml:space="preserve">78</w:t>
        </w:r>
      </w:hyperlink>
    </w:p>
    <w:p>
      <w:pPr>
        <w:pStyle w:val="ndicedeilustraes"/>
      </w:pPr>
      <w:hyperlink w:anchor="_Toc0098"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79</w:t>
        </w:r>
      </w:hyperlink>
    </w:p>
    <w:p>
      <w:pPr>
        <w:pStyle w:val="ndicedeilustraes"/>
      </w:pPr>
      <w:hyperlink w:anchor="_Toc0102"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81</w:t>
        </w:r>
      </w:hyperlink>
    </w:p>
    <w:p>
      <w:pPr>
        <w:pStyle w:val="ndicedeilustraes"/>
      </w:pPr>
      <w:hyperlink w:anchor="_Toc0105" w:history="1">
        <w:r>
          <w:t xml:space="preserve">Tabela 25: </w:t>
        </w:r>
        <w:r>
          <w:t xml:space="preserve">Pendências da análise da EP 3 504 033 B1</w:t>
        </w:r>
        <w:r>
          <w:tab/>
        </w:r>
        <w:r>
          <w:t xml:space="preserve">83</w:t>
        </w:r>
      </w:hyperlink>
    </w:p>
    <w:p>
      <w:pPr>
        <w:pStyle w:val="ndicedeilustraes"/>
      </w:pPr>
      <w:hyperlink w:anchor="_Toc0107" w:history="1">
        <w:r>
          <w:t xml:space="preserve">Tabela 26: </w:t>
        </w:r>
        <w:r>
          <w:t xml:space="preserve">Comparação entre os dois dispositivos analisados</w:t>
        </w:r>
        <w:r>
          <w:tab/>
        </w:r>
        <w:r>
          <w:t xml:space="preserve">85</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11</w:t>
        </w:r>
      </w:hyperlink>
    </w:p>
    <w:p>
      <w:pPr>
        <w:pStyle w:val="Sumrio2"/>
      </w:pPr>
      <w:hyperlink w:anchor="_Toc0002" w:history="1">
        <w:r>
          <w:t xml:space="preserve">1.1</w:t>
        </w:r>
        <w:r>
          <w:tab/>
        </w:r>
        <w:r>
          <w:t xml:space="preserve">Objetivos</w:t>
        </w:r>
        <w:r>
          <w:tab/>
        </w:r>
        <w:r>
          <w:t xml:space="preserve">12</w:t>
        </w:r>
      </w:hyperlink>
    </w:p>
    <w:p>
      <w:pPr>
        <w:pStyle w:val="Sumrio3"/>
      </w:pPr>
      <w:hyperlink w:anchor="_Toc0003" w:history="1">
        <w:r>
          <w:t xml:space="preserve">1.1.1</w:t>
        </w:r>
        <w:r>
          <w:tab/>
        </w:r>
        <w:r>
          <w:t xml:space="preserve">Objetivo geral</w:t>
        </w:r>
        <w:r>
          <w:tab/>
        </w:r>
        <w:r>
          <w:t xml:space="preserve">12</w:t>
        </w:r>
      </w:hyperlink>
    </w:p>
    <w:p>
      <w:pPr>
        <w:pStyle w:val="Sumrio3"/>
      </w:pPr>
      <w:hyperlink w:anchor="_Toc0004" w:history="1">
        <w:r>
          <w:t xml:space="preserve">1.1.2</w:t>
        </w:r>
        <w:r>
          <w:tab/>
        </w:r>
        <w:r>
          <w:t xml:space="preserve">Objetivos específicos</w:t>
        </w:r>
        <w:r>
          <w:tab/>
        </w:r>
        <w:r>
          <w:t xml:space="preserve">12</w:t>
        </w:r>
      </w:hyperlink>
    </w:p>
    <w:p>
      <w:pPr>
        <w:pStyle w:val="Sumrio2"/>
      </w:pPr>
      <w:hyperlink w:anchor="_Toc0005" w:history="1">
        <w:r>
          <w:t xml:space="preserve">1.2</w:t>
        </w:r>
        <w:r>
          <w:tab/>
        </w:r>
        <w:r>
          <w:t xml:space="preserve">Justificativa</w:t>
        </w:r>
        <w:r>
          <w:tab/>
        </w:r>
        <w:r>
          <w:t xml:space="preserve">13</w:t>
        </w:r>
      </w:hyperlink>
    </w:p>
    <w:p>
      <w:pPr>
        <w:pStyle w:val="Sumrio1"/>
      </w:pPr>
      <w:hyperlink w:anchor="_Toc0006" w:history="1">
        <w:r>
          <w:t xml:space="preserve">2</w:t>
        </w:r>
        <w:r>
          <w:tab/>
        </w:r>
        <w:r>
          <w:t xml:space="preserve">Fundamentação teórica</w:t>
        </w:r>
        <w:r>
          <w:tab/>
        </w:r>
        <w:r>
          <w:t xml:space="preserve">15</w:t>
        </w:r>
      </w:hyperlink>
    </w:p>
    <w:p>
      <w:pPr>
        <w:pStyle w:val="Sumrio2"/>
      </w:pPr>
      <w:hyperlink w:anchor="_Toc0007" w:history="1">
        <w:r>
          <w:t xml:space="preserve">2.1</w:t>
        </w:r>
        <w:r>
          <w:tab/>
        </w:r>
        <w:r>
          <w:t xml:space="preserve">Carga do ombro no trabalho acima da cabeça</w:t>
        </w:r>
        <w:r>
          <w:tab/>
        </w:r>
        <w:r>
          <w:t xml:space="preserve">15</w:t>
        </w:r>
      </w:hyperlink>
    </w:p>
    <w:p>
      <w:pPr>
        <w:pStyle w:val="Sumrio2"/>
      </w:pPr>
      <w:hyperlink w:anchor="_Toc0008" w:history="1">
        <w:r>
          <w:t xml:space="preserve">2.2</w:t>
        </w:r>
        <w:r>
          <w:tab/>
        </w:r>
        <w:r>
          <w:t xml:space="preserve">Exoesqueletos de membro superior</w:t>
        </w:r>
        <w:r>
          <w:tab/>
        </w:r>
        <w:r>
          <w:t xml:space="preserve">15</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18</w:t>
        </w:r>
      </w:hyperlink>
    </w:p>
    <w:p>
      <w:pPr>
        <w:pStyle w:val="Sumrio2"/>
      </w:pPr>
      <w:hyperlink w:anchor="_Toc0012" w:history="1">
        <w:r>
          <w:t xml:space="preserve">2.6</w:t>
        </w:r>
        <w:r>
          <w:tab/>
        </w:r>
        <w:r>
          <w:t xml:space="preserve">Modelagem dinâmica multicorpos</w:t>
        </w:r>
        <w:r>
          <w:tab/>
        </w:r>
        <w:r>
          <w:t xml:space="preserve">19</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21</w:t>
        </w:r>
      </w:hyperlink>
    </w:p>
    <w:p>
      <w:pPr>
        <w:pStyle w:val="Sumrio2"/>
      </w:pPr>
      <w:hyperlink w:anchor="_Toc0016" w:history="1">
        <w:r>
          <w:t xml:space="preserve">2.10</w:t>
        </w:r>
        <w:r>
          <w:tab/>
        </w:r>
        <w:r>
          <w:t xml:space="preserve">Identificação de parâmetros a partir de curvas publicadas</w:t>
        </w:r>
        <w:r>
          <w:tab/>
        </w:r>
        <w:r>
          <w:t xml:space="preserve">22</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24</w:t>
        </w:r>
      </w:hyperlink>
    </w:p>
    <w:p>
      <w:pPr>
        <w:pStyle w:val="Sumrio2"/>
      </w:pPr>
      <w:hyperlink w:anchor="_Toc0019" w:history="1">
        <w:r>
          <w:t xml:space="preserve">3A</w:t>
        </w:r>
        <w:r>
          <w:tab/>
        </w:r>
        <w:r>
          <w:t xml:space="preserve">Exoesqueleto 1: US 9.889.554 B2</w:t>
        </w:r>
        <w:r>
          <w:tab/>
        </w:r>
        <w:r>
          <w:t xml:space="preserve">25</w:t>
        </w:r>
      </w:hyperlink>
    </w:p>
    <w:p>
      <w:pPr>
        <w:pStyle w:val="Sumrio3"/>
      </w:pPr>
      <w:hyperlink w:anchor="_Toc0020" w:history="1">
        <w:r>
          <w:t xml:space="preserve">3A.1</w:t>
        </w:r>
        <w:r>
          <w:tab/>
        </w:r>
        <w:r>
          <w:t xml:space="preserve">Reconstrução geométrica em CAD</w:t>
        </w:r>
        <w:r>
          <w:tab/>
        </w:r>
        <w:r>
          <w:t xml:space="preserve">25</w:t>
        </w:r>
      </w:hyperlink>
    </w:p>
    <w:p>
      <w:pPr>
        <w:pStyle w:val="Sumrio3"/>
      </w:pPr>
      <w:hyperlink w:anchor="_Toc0021" w:history="1">
        <w:r>
          <w:t xml:space="preserve">3A.2</w:t>
        </w:r>
        <w:r>
          <w:tab/>
        </w:r>
        <w:r>
          <w:t xml:space="preserve">Parâmetros inerciais do membro e transporte ao eixo da junta</w:t>
        </w:r>
        <w:r>
          <w:tab/>
        </w:r>
        <w:r>
          <w:t xml:space="preserve">25</w:t>
        </w:r>
      </w:hyperlink>
    </w:p>
    <w:p>
      <w:pPr>
        <w:pStyle w:val="Sumrio3"/>
      </w:pPr>
      <w:hyperlink w:anchor="_Toc0022" w:history="1">
        <w:r>
          <w:t xml:space="preserve">3A.3</w:t>
        </w:r>
        <w:r>
          <w:tab/>
        </w:r>
        <w:r>
          <w:t xml:space="preserve">Referenciais e convenções angulares e de sinal</w:t>
        </w:r>
        <w:r>
          <w:tab/>
        </w:r>
        <w:r>
          <w:t xml:space="preserve">26</w:t>
        </w:r>
      </w:hyperlink>
    </w:p>
    <w:p>
      <w:pPr>
        <w:pStyle w:val="Sumrio3"/>
      </w:pPr>
      <w:hyperlink w:anchor="_Toc0024" w:history="1">
        <w:r>
          <w:t xml:space="preserve">3A.4</w:t>
        </w:r>
        <w:r>
          <w:tab/>
        </w:r>
        <w:r>
          <w:t xml:space="preserve">Equação de fechamento do circuito vetorial</w:t>
        </w:r>
        <w:r>
          <w:tab/>
        </w:r>
        <w:r>
          <w:t xml:space="preserve">27</w:t>
        </w:r>
      </w:hyperlink>
    </w:p>
    <w:p>
      <w:pPr>
        <w:pStyle w:val="Sumrio3"/>
      </w:pPr>
      <w:hyperlink w:anchor="_Toc0026" w:history="1">
        <w:r>
          <w:t xml:space="preserve">3A.5</w:t>
        </w:r>
        <w:r>
          <w:tab/>
        </w:r>
        <w:r>
          <w:t xml:space="preserve">Ponto de tangência, distância b, ângulo β e braço de momento</w:t>
        </w:r>
        <w:r>
          <w:tab/>
        </w:r>
        <w:r>
          <w:t xml:space="preserve">28</w:t>
        </w:r>
      </w:hyperlink>
    </w:p>
    <w:p>
      <w:pPr>
        <w:pStyle w:val="Sumrio3"/>
      </w:pPr>
      <w:hyperlink w:anchor="_Toc0027" w:history="1">
        <w:r>
          <w:t xml:space="preserve">3A.6</w:t>
        </w:r>
        <w:r>
          <w:tab/>
        </w:r>
        <w:r>
          <w:t xml:space="preserve">Caminho do cabo, lei da mola e torque</w:t>
        </w:r>
        <w:r>
          <w:tab/>
        </w:r>
        <w:r>
          <w:t xml:space="preserve">29</w:t>
        </w:r>
      </w:hyperlink>
    </w:p>
    <w:p>
      <w:pPr>
        <w:pStyle w:val="Sumrio3"/>
      </w:pPr>
      <w:hyperlink w:anchor="_Toc0028" w:history="1">
        <w:r>
          <w:t xml:space="preserve">3A.7</w:t>
        </w:r>
        <w:r>
          <w:tab/>
        </w:r>
        <w:r>
          <w:t xml:space="preserve">Ponto morto</w:t>
        </w:r>
        <w:r>
          <w:tab/>
        </w:r>
        <w:r>
          <w:t xml:space="preserve">29</w:t>
        </w:r>
      </w:hyperlink>
    </w:p>
    <w:p>
      <w:pPr>
        <w:pStyle w:val="Sumrio3"/>
      </w:pPr>
      <w:hyperlink w:anchor="_Toc0029" w:history="1">
        <w:r>
          <w:t xml:space="preserve">3A.8</w:t>
        </w:r>
        <w:r>
          <w:tab/>
        </w:r>
        <w:r>
          <w:t xml:space="preserve">Torque gravitacional</w:t>
        </w:r>
        <w:r>
          <w:tab/>
        </w:r>
        <w:r>
          <w:t xml:space="preserve">31</w:t>
        </w:r>
      </w:hyperlink>
    </w:p>
    <w:p>
      <w:pPr>
        <w:pStyle w:val="Sumrio3"/>
      </w:pPr>
      <w:hyperlink w:anchor="_Toc0030" w:history="1">
        <w:r>
          <w:t xml:space="preserve">3A.9</w:t>
        </w:r>
        <w:r>
          <w:tab/>
        </w:r>
        <w:r>
          <w:t xml:space="preserve">Dados da patente e identificação dos parâmetros</w:t>
        </w:r>
        <w:r>
          <w:tab/>
        </w:r>
        <w:r>
          <w:t xml:space="preserve">32</w:t>
        </w:r>
      </w:hyperlink>
    </w:p>
    <w:p>
      <w:pPr>
        <w:pStyle w:val="Sumrio3"/>
      </w:pPr>
      <w:hyperlink w:anchor="_Toc0031" w:history="1">
        <w:r>
          <w:t xml:space="preserve">3A.10</w:t>
        </w:r>
        <w:r>
          <w:tab/>
        </w:r>
        <w:r>
          <w:t xml:space="preserve">Varredura paramétrica de h com K congelado</w:t>
        </w:r>
        <w:r>
          <w:tab/>
        </w:r>
        <w:r>
          <w:t xml:space="preserve">33</w:t>
        </w:r>
      </w:hyperlink>
    </w:p>
    <w:p>
      <w:pPr>
        <w:pStyle w:val="Sumrio3"/>
      </w:pPr>
      <w:hyperlink w:anchor="_Toc0032" w:history="1">
        <w:r>
          <w:t xml:space="preserve">3A.11</w:t>
        </w:r>
        <w:r>
          <w:tab/>
        </w:r>
        <w:r>
          <w:t xml:space="preserve">Verificações numéricas e testes automatizados</w:t>
        </w:r>
        <w:r>
          <w:tab/>
        </w:r>
        <w:r>
          <w:t xml:space="preserve">33</w:t>
        </w:r>
      </w:hyperlink>
    </w:p>
    <w:p>
      <w:pPr>
        <w:pStyle w:val="Sumrio3"/>
      </w:pPr>
      <w:hyperlink w:anchor="_Toc0033" w:history="1">
        <w:r>
          <w:t xml:space="preserve">3A.12</w:t>
        </w:r>
        <w:r>
          <w:tab/>
        </w:r>
        <w:r>
          <w:t xml:space="preserve">Etapas dinâmicas previstas</w:t>
        </w:r>
        <w:r>
          <w:tab/>
        </w:r>
        <w:r>
          <w:t xml:space="preserve">34</w:t>
        </w:r>
      </w:hyperlink>
    </w:p>
    <w:p>
      <w:pPr>
        <w:pStyle w:val="Sumrio3"/>
      </w:pPr>
      <w:hyperlink w:anchor="_Toc0034" w:history="1">
        <w:r>
          <w:t xml:space="preserve">3A.13</w:t>
        </w:r>
        <w:r>
          <w:tab/>
        </w:r>
        <w:r>
          <w:t xml:space="preserve">Ferramentas e delimitação</w:t>
        </w:r>
        <w:r>
          <w:tab/>
        </w:r>
        <w:r>
          <w:t xml:space="preserve">35</w:t>
        </w:r>
      </w:hyperlink>
    </w:p>
    <w:p>
      <w:pPr>
        <w:pStyle w:val="Sumrio2"/>
      </w:pPr>
      <w:hyperlink w:anchor="_Toc0035" w:history="1">
        <w:r>
          <w:t xml:space="preserve">3B</w:t>
        </w:r>
        <w:r>
          <w:tab/>
        </w:r>
        <w:r>
          <w:t xml:space="preserve">Exoesqueleto 2: EP 3 504 033 B1</w:t>
        </w:r>
        <w:r>
          <w:tab/>
        </w:r>
        <w:r>
          <w:t xml:space="preserve">35</w:t>
        </w:r>
      </w:hyperlink>
    </w:p>
    <w:p>
      <w:pPr>
        <w:pStyle w:val="Sumrio3"/>
      </w:pPr>
      <w:hyperlink w:anchor="_Toc0037" w:history="1">
        <w:r>
          <w:t xml:space="preserve">3B.1</w:t>
        </w:r>
        <w:r>
          <w:tab/>
        </w:r>
        <w:r>
          <w:t xml:space="preserve">Reconstrução geométrica em CAD</w:t>
        </w:r>
        <w:r>
          <w:tab/>
        </w:r>
        <w:r>
          <w:t xml:space="preserve">37</w:t>
        </w:r>
      </w:hyperlink>
    </w:p>
    <w:p>
      <w:pPr>
        <w:pStyle w:val="Sumrio3"/>
      </w:pPr>
      <w:hyperlink w:anchor="_Toc0038" w:history="1">
        <w:r>
          <w:t xml:space="preserve">3B.2</w:t>
        </w:r>
        <w:r>
          <w:tab/>
        </w:r>
        <w:r>
          <w:t xml:space="preserve">Parâmetros inerciais do membro e transporte ao eixo da articulação 20</w:t>
        </w:r>
        <w:r>
          <w:tab/>
        </w:r>
        <w:r>
          <w:t xml:space="preserve">38</w:t>
        </w:r>
      </w:hyperlink>
    </w:p>
    <w:p>
      <w:pPr>
        <w:pStyle w:val="Sumrio3"/>
      </w:pPr>
      <w:hyperlink w:anchor="_Toc0039" w:history="1">
        <w:r>
          <w:t xml:space="preserve">3B.3</w:t>
        </w:r>
        <w:r>
          <w:tab/>
        </w:r>
        <w:r>
          <w:t xml:space="preserve">Referenciais e convenções angulares e de sinal</w:t>
        </w:r>
        <w:r>
          <w:tab/>
        </w:r>
        <w:r>
          <w:t xml:space="preserve">39</w:t>
        </w:r>
      </w:hyperlink>
    </w:p>
    <w:p>
      <w:pPr>
        <w:pStyle w:val="Sumrio3"/>
      </w:pPr>
      <w:hyperlink w:anchor="_Toc0041" w:history="1">
        <w:r>
          <w:t xml:space="preserve">3B.4</w:t>
        </w:r>
        <w:r>
          <w:tab/>
        </w:r>
        <w:r>
          <w:t xml:space="preserve">Equação de fechamento do circuito vetorial</w:t>
        </w:r>
        <w:r>
          <w:tab/>
        </w:r>
        <w:r>
          <w:t xml:space="preserve">41</w:t>
        </w:r>
      </w:hyperlink>
    </w:p>
    <w:p>
      <w:pPr>
        <w:pStyle w:val="Sumrio3"/>
      </w:pPr>
      <w:hyperlink w:anchor="_Toc0042" w:history="1">
        <w:r>
          <w:t xml:space="preserve">3B.5</w:t>
        </w:r>
        <w:r>
          <w:tab/>
        </w:r>
        <w:r>
          <w:t xml:space="preserve">Ponto de contato e troca de regime</w:t>
        </w:r>
        <w:r>
          <w:tab/>
        </w:r>
        <w:r>
          <w:t xml:space="preserve">41</w:t>
        </w:r>
      </w:hyperlink>
    </w:p>
    <w:p>
      <w:pPr>
        <w:pStyle w:val="Sumrio3"/>
      </w:pPr>
      <w:hyperlink w:anchor="_Toc0044" w:history="1">
        <w:r>
          <w:t xml:space="preserve">3B.6</w:t>
        </w:r>
        <w:r>
          <w:tab/>
        </w:r>
        <w:r>
          <w:t xml:space="preserve">Comprimento do elástico, lei da mola e torque</w:t>
        </w:r>
        <w:r>
          <w:tab/>
        </w:r>
        <w:r>
          <w:t xml:space="preserve">42</w:t>
        </w:r>
      </w:hyperlink>
    </w:p>
    <w:p>
      <w:pPr>
        <w:pStyle w:val="Sumrio3"/>
      </w:pPr>
      <w:hyperlink w:anchor="_Toc0045" w:history="1">
        <w:r>
          <w:t xml:space="preserve">3B.7</w:t>
        </w:r>
        <w:r>
          <w:tab/>
        </w:r>
        <w:r>
          <w:t xml:space="preserve">Faixa sem torque com o braço baixado</w:t>
        </w:r>
        <w:r>
          <w:tab/>
        </w:r>
        <w:r>
          <w:t xml:space="preserve">43</w:t>
        </w:r>
      </w:hyperlink>
    </w:p>
    <w:p>
      <w:pPr>
        <w:pStyle w:val="Sumrio3"/>
      </w:pPr>
      <w:hyperlink w:anchor="_Toc0046" w:history="1">
        <w:r>
          <w:t xml:space="preserve">3B.8</w:t>
        </w:r>
        <w:r>
          <w:tab/>
        </w:r>
        <w:r>
          <w:t xml:space="preserve">Torque gravitacional</w:t>
        </w:r>
        <w:r>
          <w:tab/>
        </w:r>
        <w:r>
          <w:t xml:space="preserve">44</w:t>
        </w:r>
      </w:hyperlink>
    </w:p>
    <w:p>
      <w:pPr>
        <w:pStyle w:val="Sumrio3"/>
      </w:pPr>
      <w:hyperlink w:anchor="_Toc0047" w:history="1">
        <w:r>
          <w:t xml:space="preserve">3B.9</w:t>
        </w:r>
        <w:r>
          <w:tab/>
        </w:r>
        <w:r>
          <w:t xml:space="preserve">Dados da patente e identificação dos parâmetros</w:t>
        </w:r>
        <w:r>
          <w:tab/>
        </w:r>
        <w:r>
          <w:t xml:space="preserve">44</w:t>
        </w:r>
      </w:hyperlink>
    </w:p>
    <w:p>
      <w:pPr>
        <w:pStyle w:val="Sumrio3"/>
      </w:pPr>
      <w:hyperlink w:anchor="_Toc0049" w:history="1">
        <w:r>
          <w:t xml:space="preserve">3B.10</w:t>
        </w:r>
        <w:r>
          <w:tab/>
        </w:r>
        <w:r>
          <w:t xml:space="preserve">Varredura paramétrica do trecho </w:t>
        </w:r>
        <w:r>
          <w:rPr>
            <w:i/>
            <w:iCs/>
          </w:rPr>
          <w:t xml:space="preserve">e</w:t>
        </w:r>
        <w:r>
          <w:t xml:space="preserve"> da alavanca</w:t>
        </w:r>
        <w:r>
          <w:tab/>
        </w:r>
        <w:r>
          <w:t xml:space="preserve">48</w:t>
        </w:r>
      </w:hyperlink>
    </w:p>
    <w:p>
      <w:pPr>
        <w:pStyle w:val="Sumrio3"/>
      </w:pPr>
      <w:hyperlink w:anchor="_Toc0050" w:history="1">
        <w:r>
          <w:t xml:space="preserve">3B.11</w:t>
        </w:r>
        <w:r>
          <w:tab/>
        </w:r>
        <w:r>
          <w:t xml:space="preserve">Verificações numéricas</w:t>
        </w:r>
        <w:r>
          <w:tab/>
        </w:r>
        <w:r>
          <w:t xml:space="preserve">49</w:t>
        </w:r>
      </w:hyperlink>
    </w:p>
    <w:p>
      <w:pPr>
        <w:pStyle w:val="Sumrio3"/>
      </w:pPr>
      <w:hyperlink w:anchor="_Toc0051" w:history="1">
        <w:r>
          <w:t xml:space="preserve">3B.12</w:t>
        </w:r>
        <w:r>
          <w:tab/>
        </w:r>
        <w:r>
          <w:t xml:space="preserve">Etapas dinâmicas previstas</w:t>
        </w:r>
        <w:r>
          <w:tab/>
        </w:r>
        <w:r>
          <w:t xml:space="preserve">49</w:t>
        </w:r>
      </w:hyperlink>
    </w:p>
    <w:p>
      <w:pPr>
        <w:pStyle w:val="Sumrio3"/>
      </w:pPr>
      <w:hyperlink w:anchor="_Toc0052" w:history="1">
        <w:r>
          <w:t xml:space="preserve">3B.13</w:t>
        </w:r>
        <w:r>
          <w:tab/>
        </w:r>
        <w:r>
          <w:t xml:space="preserve">Ferramentas e delimitação</w:t>
        </w:r>
        <w:r>
          <w:tab/>
        </w:r>
        <w:r>
          <w:t xml:space="preserve">50</w:t>
        </w:r>
      </w:hyperlink>
    </w:p>
    <w:p>
      <w:pPr>
        <w:pStyle w:val="Sumrio1"/>
      </w:pPr>
      <w:hyperlink w:anchor="_Toc0053" w:history="1">
        <w:r>
          <w:t xml:space="preserve">4</w:t>
        </w:r>
        <w:r>
          <w:tab/>
        </w:r>
        <w:r>
          <w:t xml:space="preserve">Resultados e discussão</w:t>
        </w:r>
        <w:r>
          <w:tab/>
        </w:r>
        <w:r>
          <w:t xml:space="preserve">51</w:t>
        </w:r>
      </w:hyperlink>
    </w:p>
    <w:p>
      <w:pPr>
        <w:pStyle w:val="Sumrio2"/>
      </w:pPr>
      <w:hyperlink w:anchor="_Toc0054" w:history="1">
        <w:r>
          <w:t xml:space="preserve">4A</w:t>
        </w:r>
        <w:r>
          <w:tab/>
        </w:r>
        <w:r>
          <w:t xml:space="preserve">Exoesqueleto 1: US 9.889.554 B2</w:t>
        </w:r>
        <w:r>
          <w:tab/>
        </w:r>
        <w:r>
          <w:t xml:space="preserve">51</w:t>
        </w:r>
      </w:hyperlink>
    </w:p>
    <w:p>
      <w:pPr>
        <w:pStyle w:val="Sumrio3"/>
      </w:pPr>
      <w:hyperlink w:anchor="_Toc0055" w:history="1">
        <w:r>
          <w:t xml:space="preserve">4A.1</w:t>
        </w:r>
        <w:r>
          <w:tab/>
        </w:r>
        <w:r>
          <w:t xml:space="preserve">Geometria reconstruída e propriedades de massa</w:t>
        </w:r>
        <w:r>
          <w:tab/>
        </w:r>
        <w:r>
          <w:t xml:space="preserve">51</w:t>
        </w:r>
      </w:hyperlink>
    </w:p>
    <w:p>
      <w:pPr>
        <w:pStyle w:val="Sumrio3"/>
      </w:pPr>
      <w:hyperlink w:anchor="_Toc0058" w:history="1">
        <w:r>
          <w:t xml:space="preserve">4A.2</w:t>
        </w:r>
        <w:r>
          <w:tab/>
        </w:r>
        <w:r>
          <w:t xml:space="preserve">Dados extraídos da patente</w:t>
        </w:r>
        <w:r>
          <w:tab/>
        </w:r>
        <w:r>
          <w:t xml:space="preserve">53</w:t>
        </w:r>
      </w:hyperlink>
    </w:p>
    <w:p>
      <w:pPr>
        <w:pStyle w:val="Sumrio3"/>
      </w:pPr>
      <w:hyperlink w:anchor="_Toc0060" w:history="1">
        <w:r>
          <w:t xml:space="preserve">4A.3</w:t>
        </w:r>
        <w:r>
          <w:tab/>
        </w:r>
        <w:r>
          <w:t xml:space="preserve">Verificação da cadeia de cálculo</w:t>
        </w:r>
        <w:r>
          <w:tab/>
        </w:r>
        <w:r>
          <w:t xml:space="preserve">54</w:t>
        </w:r>
      </w:hyperlink>
    </w:p>
    <w:p>
      <w:pPr>
        <w:pStyle w:val="Sumrio3"/>
      </w:pPr>
      <w:hyperlink w:anchor="_Toc0062" w:history="1">
        <w:r>
          <w:t xml:space="preserve">4A.4</w:t>
        </w:r>
        <w:r>
          <w:tab/>
        </w:r>
        <w:r>
          <w:t xml:space="preserve">Parâmetros do modelo e reprodução da identificação</w:t>
        </w:r>
        <w:r>
          <w:tab/>
        </w:r>
        <w:r>
          <w:t xml:space="preserve">55</w:t>
        </w:r>
      </w:hyperlink>
    </w:p>
    <w:p>
      <w:pPr>
        <w:pStyle w:val="Sumrio3"/>
      </w:pPr>
      <w:hyperlink w:anchor="_Toc0064" w:history="1">
        <w:r>
          <w:t xml:space="preserve">4A.5</w:t>
        </w:r>
        <w:r>
          <w:tab/>
        </w:r>
        <w:r>
          <w:t xml:space="preserve">Qualidade do ajuste à curva da patente</w:t>
        </w:r>
        <w:r>
          <w:tab/>
        </w:r>
        <w:r>
          <w:t xml:space="preserve">56</w:t>
        </w:r>
      </w:hyperlink>
    </w:p>
    <w:p>
      <w:pPr>
        <w:pStyle w:val="Sumrio3"/>
      </w:pPr>
      <w:hyperlink w:anchor="_Toc0068" w:history="1">
        <w:r>
          <w:t xml:space="preserve">4A.6</w:t>
        </w:r>
        <w:r>
          <w:tab/>
        </w:r>
        <w:r>
          <w:t xml:space="preserve">Comportamento da mola e do mecanismo</w:t>
        </w:r>
        <w:r>
          <w:tab/>
        </w:r>
        <w:r>
          <w:t xml:space="preserve">58</w:t>
        </w:r>
      </w:hyperlink>
    </w:p>
    <w:p>
      <w:pPr>
        <w:pStyle w:val="Sumrio3"/>
      </w:pPr>
      <w:hyperlink w:anchor="_Toc0070" w:history="1">
        <w:r>
          <w:t xml:space="preserve">4A.7</w:t>
        </w:r>
        <w:r>
          <w:tab/>
        </w:r>
        <w:r>
          <w:t xml:space="preserve">Varredura paramétrica de h com K congelado</w:t>
        </w:r>
        <w:r>
          <w:tab/>
        </w:r>
        <w:r>
          <w:t xml:space="preserve">59</w:t>
        </w:r>
      </w:hyperlink>
    </w:p>
    <w:p>
      <w:pPr>
        <w:pStyle w:val="Sumrio3"/>
      </w:pPr>
      <w:hyperlink w:anchor="_Toc0075" w:history="1">
        <w:r>
          <w:t xml:space="preserve">4A.8</w:t>
        </w:r>
        <w:r>
          <w:tab/>
        </w:r>
        <w:r>
          <w:t xml:space="preserve">Confronto entre o torque do cabo e o torque gravitacional</w:t>
        </w:r>
        <w:r>
          <w:tab/>
        </w:r>
        <w:r>
          <w:t xml:space="preserve">62</w:t>
        </w:r>
      </w:hyperlink>
    </w:p>
    <w:p>
      <w:pPr>
        <w:pStyle w:val="Sumrio3"/>
      </w:pPr>
      <w:hyperlink w:anchor="_Toc0077" w:history="1">
        <w:r>
          <w:t xml:space="preserve">4A.9</w:t>
        </w:r>
        <w:r>
          <w:tab/>
        </w:r>
        <w:r>
          <w:t xml:space="preserve">Limitações dos resultados</w:t>
        </w:r>
        <w:r>
          <w:tab/>
        </w:r>
        <w:r>
          <w:t xml:space="preserve">64</w:t>
        </w:r>
      </w:hyperlink>
    </w:p>
    <w:p>
      <w:pPr>
        <w:pStyle w:val="Sumrio2"/>
      </w:pPr>
      <w:hyperlink w:anchor="_Toc0078" w:history="1">
        <w:r>
          <w:t xml:space="preserve">4B</w:t>
        </w:r>
        <w:r>
          <w:tab/>
        </w:r>
        <w:r>
          <w:t xml:space="preserve">Exoesqueleto 2: EP 3 504 033 B1</w:t>
        </w:r>
        <w:r>
          <w:tab/>
        </w:r>
        <w:r>
          <w:t xml:space="preserve">65</w:t>
        </w:r>
      </w:hyperlink>
    </w:p>
    <w:p>
      <w:pPr>
        <w:pStyle w:val="Sumrio3"/>
      </w:pPr>
      <w:hyperlink w:anchor="_Toc0079" w:history="1">
        <w:r>
          <w:t xml:space="preserve">4B.1</w:t>
        </w:r>
        <w:r>
          <w:tab/>
        </w:r>
        <w:r>
          <w:t xml:space="preserve">Geometria reconstruída e propriedades de massa</w:t>
        </w:r>
        <w:r>
          <w:tab/>
        </w:r>
        <w:r>
          <w:t xml:space="preserve">65</w:t>
        </w:r>
      </w:hyperlink>
    </w:p>
    <w:p>
      <w:pPr>
        <w:pStyle w:val="Sumrio3"/>
      </w:pPr>
      <w:hyperlink w:anchor="_Toc0082" w:history="1">
        <w:r>
          <w:t xml:space="preserve">4B.2</w:t>
        </w:r>
        <w:r>
          <w:tab/>
        </w:r>
        <w:r>
          <w:t xml:space="preserve">Dados extraídos da patente</w:t>
        </w:r>
        <w:r>
          <w:tab/>
        </w:r>
        <w:r>
          <w:t xml:space="preserve">67</w:t>
        </w:r>
      </w:hyperlink>
    </w:p>
    <w:p>
      <w:pPr>
        <w:pStyle w:val="Sumrio3"/>
      </w:pPr>
      <w:hyperlink w:anchor="_Toc0084" w:history="1">
        <w:r>
          <w:t xml:space="preserve">4B.3</w:t>
        </w:r>
        <w:r>
          <w:tab/>
        </w:r>
        <w:r>
          <w:t xml:space="preserve">Verificação da cadeia de cálculo</w:t>
        </w:r>
        <w:r>
          <w:tab/>
        </w:r>
        <w:r>
          <w:t xml:space="preserve">69</w:t>
        </w:r>
      </w:hyperlink>
    </w:p>
    <w:p>
      <w:pPr>
        <w:pStyle w:val="Sumrio3"/>
      </w:pPr>
      <w:hyperlink w:anchor="_Toc0086" w:history="1">
        <w:r>
          <w:t xml:space="preserve">4B.4</w:t>
        </w:r>
        <w:r>
          <w:tab/>
        </w:r>
        <w:r>
          <w:t xml:space="preserve">Identificação de s</w:t>
        </w:r>
        <w:r>
          <w:rPr>
            <w:vertAlign w:val="subscript"/>
          </w:rPr>
          <w:t xml:space="preserve">0</w:t>
        </w:r>
        <w:r>
          <w:t xml:space="preserve"> pelo espaçamento entre as curvas</w:t>
        </w:r>
        <w:r>
          <w:tab/>
        </w:r>
        <w:r>
          <w:t xml:space="preserve">70</w:t>
        </w:r>
      </w:hyperlink>
    </w:p>
    <w:p>
      <w:pPr>
        <w:pStyle w:val="Sumrio3"/>
      </w:pPr>
      <w:hyperlink w:anchor="_Toc0089" w:history="1">
        <w:r>
          <w:t xml:space="preserve">4B.5</w:t>
        </w:r>
        <w:r>
          <w:tab/>
        </w:r>
        <w:r>
          <w:t xml:space="preserve">Forma das curvas e ajuste de forma</w:t>
        </w:r>
        <w:r>
          <w:tab/>
        </w:r>
        <w:r>
          <w:t xml:space="preserve">73</w:t>
        </w:r>
      </w:hyperlink>
    </w:p>
    <w:p>
      <w:pPr>
        <w:pStyle w:val="Sumrio3"/>
      </w:pPr>
      <w:hyperlink w:anchor="_Toc0093" w:history="1">
        <w:r>
          <w:t xml:space="preserve">4B.6</w:t>
        </w:r>
        <w:r>
          <w:tab/>
        </w:r>
        <w:r>
          <w:t xml:space="preserve">Parâmetros do modelo</w:t>
        </w:r>
        <w:r>
          <w:tab/>
        </w:r>
        <w:r>
          <w:t xml:space="preserve">76</w:t>
        </w:r>
      </w:hyperlink>
    </w:p>
    <w:p>
      <w:pPr>
        <w:pStyle w:val="Sumrio3"/>
      </w:pPr>
      <w:hyperlink w:anchor="_Toc0095" w:history="1">
        <w:r>
          <w:t xml:space="preserve">4B.7</w:t>
        </w:r>
        <w:r>
          <w:tab/>
        </w:r>
        <w:r>
          <w:t xml:space="preserve">Comportamento do elástico e do mecanismo</w:t>
        </w:r>
        <w:r>
          <w:tab/>
        </w:r>
        <w:r>
          <w:t xml:space="preserve">77</w:t>
        </w:r>
      </w:hyperlink>
    </w:p>
    <w:p>
      <w:pPr>
        <w:pStyle w:val="Sumrio3"/>
      </w:pPr>
      <w:hyperlink w:anchor="_Toc0097" w:history="1">
        <w:r>
          <w:t xml:space="preserve">4B.8</w:t>
        </w:r>
        <w:r>
          <w:tab/>
        </w:r>
        <w:r>
          <w:t xml:space="preserve">Varredura paramétrica do trecho </w:t>
        </w:r>
        <w:r>
          <w:rPr>
            <w:i/>
            <w:iCs/>
          </w:rPr>
          <w:t xml:space="preserve">e</w:t>
        </w:r>
        <w:r>
          <w:t xml:space="preserve"> da alavanca</w:t>
        </w:r>
        <w:r>
          <w:tab/>
        </w:r>
        <w:r>
          <w:t xml:space="preserve">78</w:t>
        </w:r>
      </w:hyperlink>
    </w:p>
    <w:p>
      <w:pPr>
        <w:pStyle w:val="Sumrio3"/>
      </w:pPr>
      <w:hyperlink w:anchor="_Toc0100" w:history="1">
        <w:r>
          <w:t xml:space="preserve">4B.9</w:t>
        </w:r>
        <w:r>
          <w:tab/>
        </w:r>
        <w:r>
          <w:t xml:space="preserve">Confronto com o torque gravitacional</w:t>
        </w:r>
        <w:r>
          <w:tab/>
        </w:r>
        <w:r>
          <w:t xml:space="preserve">80</w:t>
        </w:r>
      </w:hyperlink>
    </w:p>
    <w:p>
      <w:pPr>
        <w:pStyle w:val="Sumrio3"/>
      </w:pPr>
      <w:hyperlink w:anchor="_Toc0104" w:history="1">
        <w:r>
          <w:t xml:space="preserve">4B.10</w:t>
        </w:r>
        <w:r>
          <w:tab/>
        </w:r>
        <w:r>
          <w:t xml:space="preserve">Limitações dos resultados</w:t>
        </w:r>
        <w:r>
          <w:tab/>
        </w:r>
        <w:r>
          <w:t xml:space="preserve">82</w:t>
        </w:r>
      </w:hyperlink>
    </w:p>
    <w:p>
      <w:pPr>
        <w:pStyle w:val="Sumrio3"/>
      </w:pPr>
      <w:hyperlink w:anchor="_Toc0106" w:history="1">
        <w:r>
          <w:t xml:space="preserve">4B.11</w:t>
        </w:r>
        <w:r>
          <w:tab/>
        </w:r>
        <w:r>
          <w:t xml:space="preserve">Comparação com o exoesqueleto 1</w:t>
        </w:r>
        <w:r>
          <w:tab/>
        </w:r>
        <w:r>
          <w:t xml:space="preserve">84</w:t>
        </w:r>
      </w:hyperlink>
    </w:p>
    <w:p>
      <w:pPr>
        <w:pStyle w:val="Sumrio1"/>
      </w:pPr>
      <w:hyperlink w:anchor="_Toc0108" w:history="1">
        <w:r>
          <w:t xml:space="preserve">5</w:t>
        </w:r>
        <w:r>
          <w:tab/>
        </w:r>
        <w:r>
          <w:t xml:space="preserve">Conclusão</w:t>
        </w:r>
        <w:r>
          <w:tab/>
        </w:r>
        <w:r>
          <w:t xml:space="preserve">87</w:t>
        </w:r>
      </w:hyperlink>
    </w:p>
    <w:p>
      <w:pPr>
        <w:pStyle w:val="Sumrio2"/>
      </w:pPr>
      <w:hyperlink w:anchor="_Toc0109" w:history="1">
        <w:r>
          <w:t xml:space="preserve">5A</w:t>
        </w:r>
        <w:r>
          <w:tab/>
        </w:r>
        <w:r>
          <w:t xml:space="preserve">Exoesqueleto 1: US 9.889.554 B2</w:t>
        </w:r>
        <w:r>
          <w:tab/>
        </w:r>
        <w:r>
          <w:t xml:space="preserve">87</w:t>
        </w:r>
      </w:hyperlink>
    </w:p>
    <w:p>
      <w:pPr>
        <w:pStyle w:val="Sumrio2"/>
      </w:pPr>
      <w:hyperlink w:anchor="_Toc0110" w:history="1">
        <w:r>
          <w:t xml:space="preserve">5B</w:t>
        </w:r>
        <w:r>
          <w:tab/>
        </w:r>
        <w:r>
          <w:t xml:space="preserve">Exoesqueleto 2: EP 3 504 033 B1</w:t>
        </w:r>
        <w:r>
          <w:tab/>
        </w:r>
        <w:r>
          <w:t xml:space="preserve">88</w:t>
        </w:r>
      </w:hyperlink>
    </w:p>
    <w:p>
      <w:pPr>
        <w:pStyle w:val="Sumrio1"/>
      </w:pPr>
      <w:hyperlink w:anchor="_Toc0111" w:history="1">
        <w:r>
          <w:t xml:space="preserve">Referências</w:t>
        </w:r>
        <w:r>
          <w:tab/>
        </w:r>
        <w:r>
          <w:t xml:space="preserve">91</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3B.13 aplicam à EP 3 504 033 B1 </w:t>
      </w:r>
      <w:r>
        <w:t xml:space="preserve">(Ottobock, 2023)</w:t>
      </w:r>
      <w:r>
        <w:t xml:space="preserve">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6" w:name="_Toc0036"/>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7" w:name="_Toc0037"/>
      <w:r>
        <w:t xml:space="preserve">3B.1</w:t>
      </w:r>
      <w:r>
        <w:tab/>
      </w:r>
      <w:r>
        <w:t xml:space="preserve">Reconstrução geométrica em CAD</w:t>
      </w:r>
      <w:bookmarkEnd w:id="37"/>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r>
        <w:t xml:space="preserve">O dispositivo admite abdução, adução e movimentos do tronco (reivindicação 1; [0016] a [0019]). O modelo é plano, restrito ao plano sagital, e representa somente a anteversão, que é o movimento das Figuras 16 e 17 da patente [0092].</w:t>
      </w:r>
    </w:p>
    <w:p>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38" w:name="_Toc0038"/>
      <w:r>
        <w:t xml:space="preserve">3B.2</w:t>
      </w:r>
      <w:r>
        <w:tab/>
      </w:r>
      <w:r>
        <w:t xml:space="preserve">Parâmetros inerciais do membro e transporte ao eixo da articulação 20</w:t>
      </w:r>
      <w:bookmarkEnd w:id="38"/>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39" w:name="_Toc0039"/>
      <w:r>
        <w:t xml:space="preserve">3B.3</w:t>
      </w:r>
      <w:r>
        <w:tab/>
      </w:r>
      <w:r>
        <w:t xml:space="preserve">Referenciais e convenções angulares e de sinal</w:t>
      </w:r>
      <w:bookmarkEnd w:id="39"/>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0" w:name="_Toc0040"/>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3B.6</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(39)</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(41)</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3B.5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1" w:name="_Toc0041"/>
      <w:r>
        <w:t xml:space="preserve">3B.4</w:t>
      </w:r>
      <w:r>
        <w:tab/>
      </w:r>
      <w:r>
        <w:t xml:space="preserve">Equação de fechamento do circuito vetorial</w:t>
      </w:r>
      <w:bookmarkEnd w:id="41"/>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pPr>
        <w:pStyle w:val="Ttulo3"/>
      </w:pPr>
      <w:bookmarkStart w:id="42" w:name="_Toc0042"/>
      <w:r>
        <w:t xml:space="preserve">3B.5</w:t>
      </w:r>
      <w:r>
        <w:tab/>
      </w:r>
      <w:r>
        <w:t xml:space="preserve">Ponto de contato e troca de regime</w:t>
      </w:r>
      <w:bookmarkEnd w:id="42"/>
    </w:p>
    <w:p>
      <w:pPr>
        <w:pStyle w:val="SemRecuo"/>
      </w:pPr>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pPr>
        <w:pStyle w:val="Legenda"/>
        <w:jc w:val="both"/>
      </w:pPr>
      <w:bookmarkStart w:id="43" w:name="_Toc0043"/>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bookmarkEnd w:id="43"/>
    </w:p>
    <w:p>
      <w:pPr>
        <w:pStyle w:val="Figura"/>
      </w:pPr>
      <w:r>
        <w:drawing>
          <wp:inline distT="0" distB="0" distL="0" distR="0">
            <wp:extent cx="5760000" cy="2649600"/>
            <wp:effectExtent l="0" t="0" r="0" b="0"/>
            <wp:docPr id="2" name="Imagem 2"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O traço preto vai de O ao cotovelo e ao ponto P; os quadrados marcam o centro do elemento 78; as linhas pontilhadas indicam o eixo do braço.</w:t>
      </w:r>
    </w:p>
    <w:p>
      <w:pPr>
        <w:pStyle w:val="Ttulo3"/>
      </w:pPr>
      <w:bookmarkStart w:id="44" w:name="_Toc0044"/>
      <w:r>
        <w:t xml:space="preserve">3B.6</w:t>
      </w:r>
      <w:r>
        <w:tab/>
      </w:r>
      <w:r>
        <w:t xml:space="preserve">Comprimento do elástico, lei da mola e torque</w:t>
      </w:r>
      <w:bookmarkEnd w:id="44"/>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(39)</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(40)</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(41)</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(42)</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3"/>
      </w:pPr>
      <w:bookmarkStart w:id="45" w:name="_Toc0045"/>
      <w:r>
        <w:t xml:space="preserve">3B.7</w:t>
      </w:r>
      <w:r>
        <w:tab/>
      </w:r>
      <w:r>
        <w:t xml:space="preserve">Faixa sem torque com o braço baixado</w:t>
      </w:r>
      <w:bookmarkEnd w:id="45"/>
    </w:p>
    <w:p>
      <w:pPr>
        <w:pStyle w:val="SemRecuo"/>
      </w:pPr>
      <w:r>
        <w:t xml:space="preserve">Esta seção faz o papel da seção 3A.7: indica onde o modelo libera o braço. Pela Equação (41), m</w:t>
      </w:r>
      <w:r>
        <w:rPr>
          <w:vertAlign w:val="subscript"/>
        </w:rPr>
        <w:t xml:space="preserve">II</w:t>
      </w:r>
      <w:r>
        <w:t xml:space="preserve"> é proporcional a p</w:t>
      </w:r>
      <w:r>
        <w:rPr>
          <w:vertAlign w:val="subscript"/>
        </w:rPr>
        <w:t xml:space="preserve">78</w:t>
      </w:r>
      <w:r>
        <w:t xml:space="preserve">, de modo que, abaixo da transição, o torque só se anula se o elemento 78 estiver sobre o eixo. Com o elemento 78 sobre o eixo (p</w:t>
      </w:r>
      <w:r>
        <w:rPr>
          <w:vertAlign w:val="subscript"/>
        </w:rPr>
        <w:t xml:space="preserve">78</w:t>
      </w:r>
      <w:r>
        <w:t xml:space="preserve"> = 0), configuração preferida pela patente [0099],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(43)</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(43)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 e identificação dos parâmetros</w:t>
      </w:r>
      <w:bookmarkEnd w:id="47"/>
    </w:p>
    <w:p>
      <w:pPr>
        <w:pStyle w:val="SemRecuo"/>
      </w:pPr>
      <w: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4B.8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[0093];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[0093]. Como ℓ decresce com θ</w:t>
      </w:r>
      <w:r>
        <w:rPr>
          <w:vertAlign w:val="subscript"/>
        </w:rPr>
        <w:t xml:space="preserve">el</w:t>
      </w:r>
      <w:r>
        <w:t xml:space="preserve">, Equação (42),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49" w:name="_Toc0049"/>
      <w:r>
        <w:t xml:space="preserve">3B.10</w:t>
      </w:r>
      <w:r>
        <w:tab/>
      </w:r>
      <w:r>
        <w:t xml:space="preserve">Varredura paramétrica do trecho </w:t>
      </w:r>
      <w:r>
        <w:rPr>
          <w:i/>
          <w:iCs/>
        </w:rPr>
        <w:t xml:space="preserve">e</w:t>
      </w:r>
      <w:r>
        <w:t xml:space="preserve"> da alavanca</w:t>
      </w:r>
      <w:bookmarkEnd w:id="49"/>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(reivindicação 9; [0044], [0060], [0101]) e objeto da Figura 17 da patente [0094].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0" w:name="_Toc0050"/>
      <w:r>
        <w:t xml:space="preserve">3B.11</w:t>
      </w:r>
      <w:r>
        <w:tab/>
      </w:r>
      <w:r>
        <w:t xml:space="preserve">Verificações numéricas</w:t>
      </w:r>
      <w:bookmarkEnd w:id="50"/>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3"/>
      </w:pPr>
      <w:bookmarkStart w:id="51" w:name="_Toc0051"/>
      <w:r>
        <w:t xml:space="preserve">3B.12</w:t>
      </w:r>
      <w:r>
        <w:tab/>
      </w:r>
      <w:r>
        <w:t xml:space="preserve">Etapas dinâmicas previstas</w:t>
      </w:r>
      <w:bookmarkEnd w:id="51"/>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(42),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(41);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2" w:name="_Toc0052"/>
      <w:r>
        <w:t xml:space="preserve">3B.13</w:t>
      </w:r>
      <w:r>
        <w:tab/>
      </w:r>
      <w:r>
        <w:t xml:space="preserve">Ferramentas e delimitação</w:t>
      </w:r>
      <w:bookmarkEnd w:id="52"/>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3" w:name="_Toc0053"/>
      <w:r>
        <w:t xml:space="preserve">Capítulo 4</w:t>
      </w:r>
      <w:r>
        <w:br/>
      </w:r>
      <w:r>
        <w:t xml:space="preserve">Resultados e discussão</w:t>
      </w:r>
      <w:bookmarkEnd w:id="53"/>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4" w:name="_Toc0054"/>
      <w:r>
        <w:t xml:space="preserve">4A</w:t>
      </w:r>
      <w:r>
        <w:tab/>
      </w:r>
      <w:r>
        <w:t xml:space="preserve">Exoesqueleto 1: US 9.889.554 B2</w:t>
      </w:r>
      <w:bookmarkEnd w:id="54"/>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5" w:name="_Toc0055"/>
      <w:r>
        <w:t xml:space="preserve">4A.1</w:t>
      </w:r>
      <w:r>
        <w:tab/>
      </w:r>
      <w:r>
        <w:t xml:space="preserve">Geometria reconstruída e propriedades de massa</w:t>
      </w:r>
      <w:bookmarkEnd w:id="55"/>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6" w:name="_Toc0056"/>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8" w:name="_Toc0058"/>
      <w:r>
        <w:t xml:space="preserve">4A.2</w:t>
      </w:r>
      <w:r>
        <w:tab/>
      </w:r>
      <w:r>
        <w:t xml:space="preserve">Dados extraídos da patente</w:t>
      </w:r>
      <w:bookmarkEnd w:id="58"/>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0" w:name="_Toc0060"/>
      <w:r>
        <w:t xml:space="preserve">4A.3</w:t>
      </w:r>
      <w:r>
        <w:tab/>
      </w:r>
      <w:r>
        <w:t xml:space="preserve">Verificação da cadeia de cálculo</w:t>
      </w:r>
      <w:bookmarkEnd w:id="60"/>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2" w:name="_Toc0062"/>
      <w:r>
        <w:t xml:space="preserve">4A.4</w:t>
      </w:r>
      <w:r>
        <w:tab/>
      </w:r>
      <w:r>
        <w:t xml:space="preserve">Parâmetros do modelo e reprodução da identificação</w:t>
      </w:r>
      <w:bookmarkEnd w:id="62"/>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4" w:name="_Toc0064"/>
      <w:r>
        <w:t xml:space="preserve">4A.5</w:t>
      </w:r>
      <w:r>
        <w:tab/>
      </w:r>
      <w:r>
        <w:t xml:space="preserve">Qualidade do ajuste à curva da patente</w:t>
      </w:r>
      <w:bookmarkEnd w:id="64"/>
    </w:p>
    <w:p>
      <w:pPr>
        <w:pStyle w:val="SemRecuo"/>
      </w:pPr>
      <w:r>
        <w:t xml:space="preserve">A Figura 4 sobrepõe o torque calculado com os parâmetros congelados aos 29 pontos extraídos, e a Tabela 9 reúne os indicadores do ajuste. </w:t>
      </w:r>
    </w:p>
    <w:p>
      <w:pPr>
        <w:pStyle w:val="Legenda"/>
        <w:jc w:val="both"/>
      </w:pPr>
      <w:bookmarkStart w:id="65" w:name="_Toc006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5"/>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6" w:name="_Toc0066"/>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8" w:name="_Toc0068"/>
      <w:r>
        <w:t xml:space="preserve">4A.6</w:t>
      </w:r>
      <w:r>
        <w:tab/>
      </w:r>
      <w:r>
        <w:t xml:space="preserve">Comportamento da mola e do mecanismo</w:t>
      </w:r>
      <w:bookmarkEnd w:id="68"/>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0" w:name="_Toc0070"/>
      <w:r>
        <w:t xml:space="preserve">4A.7</w:t>
      </w:r>
      <w:r>
        <w:tab/>
      </w:r>
      <w:r>
        <w:t xml:space="preserve">Varredura paramétrica de h com K congelado</w:t>
      </w:r>
      <w:bookmarkEnd w:id="70"/>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1" w:name="_Toc0071"/>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1"/>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2"/>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3" w:name="_Toc0073"/>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5" w:name="_Toc0075"/>
      <w:r>
        <w:t xml:space="preserve">4A.8</w:t>
      </w:r>
      <w:r>
        <w:tab/>
      </w:r>
      <w:r>
        <w:t xml:space="preserve">Confronto entre o torque do cabo e o torque gravitacional</w:t>
      </w:r>
      <w:bookmarkEnd w:id="75"/>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6" w:name="_Toc0076"/>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6"/>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7" w:name="_Toc0077"/>
      <w:r>
        <w:t xml:space="preserve">4A.9</w:t>
      </w:r>
      <w:r>
        <w:tab/>
      </w:r>
      <w:r>
        <w:t xml:space="preserve">Limitações dos resultados</w:t>
      </w:r>
      <w:bookmarkEnd w:id="77"/>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8" w:name="_Toc0078"/>
      <w:r>
        <w:t xml:space="preserve">4B</w:t>
      </w:r>
      <w:r>
        <w:tab/>
      </w:r>
      <w:r>
        <w:t xml:space="preserve">Exoesqueleto 2: EP 3 504 033 B1</w:t>
      </w:r>
      <w:bookmarkEnd w:id="78"/>
    </w:p>
    <w:p>
      <w:pPr>
        <w:pStyle w:val="SemRecuo"/>
      </w:pPr>
      <w:r>
        <w:t xml:space="preserve">Esta seção apresenta os resultados das etapas das seções 3B.1 a 3B.11,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3B.12 não foram executadas.</w:t>
      </w:r>
    </w:p>
    <w:p>
      <w:pPr>
        <w:pStyle w:val="Ttulo3"/>
      </w:pPr>
      <w:bookmarkStart w:id="79" w:name="_Toc0079"/>
      <w:r>
        <w:t xml:space="preserve">4B.1</w:t>
      </w:r>
      <w:r>
        <w:tab/>
      </w:r>
      <w:r>
        <w:t xml:space="preserve">Geometria reconstruída e propriedades de massa</w:t>
      </w:r>
      <w:bookmarkEnd w:id="79"/>
    </w:p>
    <w:p>
      <w:pPr>
        <w:pStyle w:val="SemRecuo"/>
      </w:pPr>
      <w:r>
        <w:t xml:space="preserve">A Tabela 14 reúne as grandezas medidas no modelo em CAD e as que delas derivam, com a origem de cada uma (seção 3B.1).</w:t>
      </w:r>
    </w:p>
    <w:p>
      <w:pPr>
        <w:pStyle w:val="Legenda"/>
        <w:spacing w:after="258"/>
        <w:jc w:val="center"/>
      </w:pPr>
      <w:bookmarkStart w:id="80" w:name="_Toc0080"/>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(43)</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3B.3).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[0099]; as consequências dessa diferença são tratadas nas seções 3B.7 e 4B.9.</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2" w:name="_Toc0082"/>
      <w:r>
        <w:t xml:space="preserve">4B.2</w:t>
      </w:r>
      <w:r>
        <w:tab/>
      </w:r>
      <w:r>
        <w:t xml:space="preserve">Dados extraídos da patente</w:t>
      </w:r>
      <w:bookmarkEnd w:id="82"/>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3" w:name="_Toc0083"/>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3B.9).</w:t>
      </w:r>
    </w:p>
    <w:p>
      <w:pPr>
        <w:pStyle w:val="Ttulo3"/>
      </w:pPr>
      <w:bookmarkStart w:id="84" w:name="_Toc0084"/>
      <w:r>
        <w:t xml:space="preserve">4B.3</w:t>
      </w:r>
      <w:r>
        <w:tab/>
      </w:r>
      <w:r>
        <w:t xml:space="preserve">Verificação da cadeia de cálculo</w:t>
      </w:r>
      <w:bookmarkEnd w:id="84"/>
    </w:p>
    <w:p>
      <w:pPr>
        <w:pStyle w:val="SemRecuo"/>
      </w:pPr>
      <w: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(42)</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(42)</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(43)</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6" w:name="_Toc0086"/>
      <w:r>
        <w:t xml:space="preserve">4B.4</w:t>
      </w:r>
      <w:r>
        <w:tab/>
      </w:r>
      <w:r>
        <w:t xml:space="preserve">Identificação de s</w:t>
      </w:r>
      <w:r>
        <w:rPr>
          <w:vertAlign w:val="subscript"/>
        </w:rPr>
        <w:t xml:space="preserve">0</w:t>
      </w:r>
      <w:r>
        <w:t xml:space="preserve"> pelo espaçamento entre as curvas</w:t>
      </w:r>
      <w:bookmarkEnd w:id="86"/>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em [0093],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7" w:name="_Toc0087"/>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pStyle w:val="Legenda"/>
        <w:jc w:val="both"/>
      </w:pPr>
      <w:bookmarkStart w:id="88" w:name="_Toc0088"/>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8"/>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89" w:name="_Toc0089"/>
      <w:r>
        <w:t xml:space="preserve">4B.5</w:t>
      </w:r>
      <w:r>
        <w:tab/>
      </w:r>
      <w:r>
        <w:t xml:space="preserve">Forma das curvas e ajuste de forma</w:t>
      </w:r>
      <w:bookmarkEnd w:id="89"/>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pStyle w:val="Legenda"/>
        <w:spacing w:after="258"/>
        <w:jc w:val="center"/>
      </w:pPr>
      <w:bookmarkStart w:id="90" w:name="_Toc0090"/>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em [0093]: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[0093],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2" w:name="_Toc0092"/>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2"/>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3" w:name="_Toc0093"/>
      <w:r>
        <w:t xml:space="preserve">4B.6</w:t>
      </w:r>
      <w:r>
        <w:tab/>
      </w:r>
      <w:r>
        <w:t xml:space="preserve">Parâmetros do modelo</w:t>
      </w:r>
      <w:bookmarkEnd w:id="93"/>
    </w:p>
    <w:p>
      <w:pPr>
        <w:pStyle w:val="SemRecuo"/>
      </w:pPr>
      <w:r>
        <w:t xml:space="preserve">A Tabela 21 resume a situação dos parâmetros que a patente não publica, no formato da Tabela 8.</w:t>
      </w:r>
    </w:p>
    <w:p>
      <w:pPr>
        <w:pStyle w:val="Legenda"/>
        <w:spacing w:after="258"/>
        <w:jc w:val="center"/>
      </w:pPr>
      <w:bookmarkStart w:id="94" w:name="_Toc0094"/>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 [0099]</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5" w:name="_Toc0095"/>
      <w:r>
        <w:t xml:space="preserve">4B.7</w:t>
      </w:r>
      <w:r>
        <w:tab/>
      </w:r>
      <w:r>
        <w:t xml:space="preserve">Comportamento do elástico e do mecanismo</w:t>
      </w:r>
      <w:bookmarkEnd w:id="95"/>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7" w:name="_Toc0097"/>
      <w:r>
        <w:t xml:space="preserve">4B.8</w:t>
      </w:r>
      <w:r>
        <w:tab/>
      </w:r>
      <w:r>
        <w:t xml:space="preserve">Varredura paramétrica do trecho </w:t>
      </w:r>
      <w:r>
        <w:rPr>
          <w:i/>
          <w:iCs/>
        </w:rPr>
        <w:t xml:space="preserve">e</w:t>
      </w:r>
      <w:r>
        <w:t xml:space="preserve"> da alavanca</w:t>
      </w:r>
      <w:bookmarkEnd w:id="97"/>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99" w:name="_Toc0099"/>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99"/>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0" w:name="_Toc0100"/>
      <w:r>
        <w:t xml:space="preserve">4B.9</w:t>
      </w:r>
      <w:r>
        <w:tab/>
      </w:r>
      <w:r>
        <w:t xml:space="preserve">Confronto com o torque gravitacional</w:t>
      </w:r>
      <w:bookmarkEnd w:id="100"/>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1"/>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2" w:name="_Toc0102"/>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3B.9); τ</w:t>
      </w:r>
      <w:r>
        <w:rPr>
          <w:sz w:val="20"/>
          <w:szCs w:val="20"/>
          <w:vertAlign w:val="subscript"/>
        </w:rPr>
        <w:t xml:space="preserve">g</w:t>
      </w:r>
      <w:r>
        <w:rPr>
          <w:sz w:val="20"/>
          <w:szCs w:val="20"/>
        </w:rPr>
        <w:t xml:space="preserve"> considera só o membro humano.</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3"/>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4" w:name="_Toc0104"/>
      <w:r>
        <w:t xml:space="preserve">4B.10</w:t>
      </w:r>
      <w:r>
        <w:tab/>
      </w:r>
      <w:r>
        <w:t xml:space="preserve">Limitações dos resultados</w:t>
      </w:r>
      <w:bookmarkEnd w:id="104"/>
    </w:p>
    <w:p>
      <w:pPr>
        <w:pStyle w:val="SemRecuo"/>
      </w:pPr>
      <w: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5" w:name="_Toc0105"/>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3B.3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em [0099]</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6" w:name="_Toc0106"/>
      <w:r>
        <w:t xml:space="preserve">4B.11</w:t>
      </w:r>
      <w:r>
        <w:tab/>
      </w:r>
      <w:r>
        <w:t xml:space="preserve">Comparação com o exoesqueleto 1</w:t>
      </w:r>
      <w:bookmarkEnd w:id="106"/>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8" w:name="_Toc0108"/>
      <w:r>
        <w:t xml:space="preserve">Capítulo 5</w:t>
      </w:r>
      <w:r>
        <w:br/>
      </w:r>
      <w:r>
        <w:t xml:space="preserve">Conclusão</w:t>
      </w:r>
      <w:bookmarkEnd w:id="108"/>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09" w:name="_Toc0109"/>
      <w:r>
        <w:t xml:space="preserve">5A</w:t>
      </w:r>
      <w:r>
        <w:tab/>
      </w:r>
      <w:r>
        <w:t xml:space="preserve">Exoesqueleto 1: US 9.889.554 B2</w:t>
      </w:r>
      <w:bookmarkEnd w:id="109"/>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0" w:name="_Toc0110"/>
      <w:r>
        <w:t xml:space="preserve">5B</w:t>
      </w:r>
      <w:r>
        <w:tab/>
      </w:r>
      <w:r>
        <w:t xml:space="preserve">Exoesqueleto 2: EP 3 504 033 B1</w:t>
      </w:r>
      <w:bookmarkEnd w:id="110"/>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1" w:name="_Toc0111"/>
      <w:r>
        <w:t xml:space="preserve">Referências</w:t>
      </w:r>
      <w:bookmarkEnd w:id="111"/>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8"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59"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0"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1"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2"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3"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4"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5"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6"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7"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8"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69"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0"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1"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2" w:history="1">
        <w:r>
          <w:rPr>
            <w:rFonts w:ascii="Linux Libertine Mono O" w:hAnsi="Linux Libertine Mono O" w:cs="Linux Libertine Mono O"/>
            <w:sz w:val="21"/>
            <w:szCs w:val="21"/>
          </w:rPr>
          <w:t xml:space="preserve">10.1109/ICORR.2017.8009339</w:t>
        </w:r>
      </w:hyperlink>
      <w:r>
        <w:t xml:space="preserve">.</w:t>
      </w:r>
    </w:p>
    <w:sectPr>
      <w:headerReference w:type="default" r:id="rId74"/>
      <w:headerReference w:type="first" r:id="rId75"/>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3390/asi8040114" TargetMode="External"/><Relationship Id="rId59" Type="http://schemas.openxmlformats.org/officeDocument/2006/relationships/hyperlink" Target="https://doi.org/10.3390/technologies10010022" TargetMode="External"/><Relationship Id="rId60" Type="http://schemas.openxmlformats.org/officeDocument/2006/relationships/hyperlink" Target="https://doi.org/10.1109/TMECH.2007.901934" TargetMode="External"/><Relationship Id="rId61" Type="http://schemas.openxmlformats.org/officeDocument/2006/relationships/hyperlink" Target="https://doi.org/10.1017/S0263574714000034" TargetMode="External"/><Relationship Id="rId62" Type="http://schemas.openxmlformats.org/officeDocument/2006/relationships/hyperlink" Target="https://doi.org/10.1109/TMRB.2023.3275761" TargetMode="External"/><Relationship Id="rId63" Type="http://schemas.openxmlformats.org/officeDocument/2006/relationships/hyperlink" Target="https://doi.org/10.3390/ijerph17041243" TargetMode="External"/><Relationship Id="rId64" Type="http://schemas.openxmlformats.org/officeDocument/2006/relationships/hyperlink" Target="https://doi.org/10.1016/B978-0-12-814659-0.00001-1" TargetMode="External"/><Relationship Id="rId65" Type="http://schemas.openxmlformats.org/officeDocument/2006/relationships/hyperlink" Target="https://doi.org/10.1016/j.promfg.2017.07.252" TargetMode="External"/><Relationship Id="rId66" Type="http://schemas.openxmlformats.org/officeDocument/2006/relationships/hyperlink" Target="https://www.suitx.com/en/products/ix-shoulder-air-exoskeleton" TargetMode="External"/><Relationship Id="rId67" Type="http://schemas.openxmlformats.org/officeDocument/2006/relationships/hyperlink" Target="https://doi.org/10.1136/oemed-2017-104339" TargetMode="External"/><Relationship Id="rId68" Type="http://schemas.openxmlformats.org/officeDocument/2006/relationships/hyperlink" Target="https://doi.org/10.1038/s41592-019-0686-2" TargetMode="External"/><Relationship Id="rId69" Type="http://schemas.openxmlformats.org/officeDocument/2006/relationships/hyperlink" Target="https://doi.org/10.1109/TMECH.2022.3154087" TargetMode="External"/><Relationship Id="rId70" Type="http://schemas.openxmlformats.org/officeDocument/2006/relationships/hyperlink" Target="https://doi.org/10.1177/0954406215616415" TargetMode="External"/><Relationship Id="rId71" Type="http://schemas.openxmlformats.org/officeDocument/2006/relationships/hyperlink" Target="https://doi.org/10.3390/machines10121223" TargetMode="External"/><Relationship Id="rId72" Type="http://schemas.openxmlformats.org/officeDocument/2006/relationships/hyperlink" Target="https://doi.org/10.1109/ICORR.2017.8009339" TargetMode="External"/><Relationship Id="rId73" Type="http://schemas.openxmlformats.org/officeDocument/2006/relationships/image" Target="media/imagem13.png"/><Relationship Id="rId74" Type="http://schemas.openxmlformats.org/officeDocument/2006/relationships/header" Target="header11.xml"/><Relationship Id="rId75"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