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rPr>
          <w:lang w:val="pt-BR"/>
        </w:rPr>
      </w:pPr>
      <w:r>
        <w:rPr>
          <w:lang w:val="pt-BR"/>
        </w:rPr>
        <w:t xml:space="preserve">3.1 Exoesqueleto 1: gerador de torque de mola, cabo e polia</w:t>
      </w:r>
    </w:p>
    <w:p w14:paraId="78597467" w14:textId="77777777" w:rsidR="009C1161" w:rsidRDefault="003B1183">
      <w:pPr>
        <w:pStyle w:val="Ttulo2"/>
        <w:rPr>
          <w:lang w:val="pt-BR"/>
        </w:rPr>
      </w:pPr>
      <w:r>
        <w:rPr>
          <w:lang w:val="pt-BR"/>
        </w:rPr>
        <w:t>3.1.1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3.1.2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14:paraId="276BE8C8" w14:textId="77777777" w:rsidR="009C1161" w:rsidRDefault="003B1183">
      <w:pPr>
        <w:pStyle w:val="Ttulo2"/>
        <w:rPr>
          <w:lang w:val="pt-BR"/>
        </w:rPr>
      </w:pPr>
      <w:r>
        <w:rPr>
          <w:lang w:val="pt-BR"/>
        </w:rPr>
        <w:t>3.1.3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3.1.9).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3.1.4).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3.1.4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3.1.9).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pPr>
        <w:rPr>
          <w:lang w:val="pt-BR"/>
        </w:rPr>
      </w:pPr>
      <w:r>
        <w:rPr>
          <w:lang w:val="pt-BR"/>
        </w:rPr>
        <w:t xml:space="preserve">A Figura 2 sobrepõe esse circuito à Figura 42 da patente, na mesma pose e com o mesmo h, alinhado pelo pivô 151, que faz o papel de O, e pelo centro do tambor 183, que faz o papel de D.</w:t>
      </w:r>
    </w:p>
    <w:p>
      <w:pPr>
        <w:keepNext/>
        <w:spacing w:before="120" w:after="60"/>
        <w:rPr>
          <w:lang w:val="pt-BR"/>
        </w:rPr>
      </w:pPr>
      <w:r>
        <w:rPr>
          <w:b/>
          <w:lang w:val="pt-BR"/>
        </w:rPr>
        <w:t xml:space="preserve">Figura 2: Circuito vetorial do gerador de torque sobreposto à Figura 42 da patente, na pose de referência (θ* = 115,017°, h = 22,701 mm)</w:t>
      </w:r>
    </w:p>
    <w:p>
      <w:pPr>
        <w:keepNext/>
        <w:spacing w:after="60"/>
        <w:jc w:val="center"/>
        <w:rPr>
          <w:lang w:val="pt-BR"/>
        </w:rPr>
      </w:pPr>
      <w:r>
        <w:rPr>
          <w:noProof/>
          <w:lang w:val="pt-BR"/>
        </w:rPr>
        <w:drawing>
          <wp:inline distT="0" distB="0" distL="0" distR="0">
            <wp:extent cx="5943600" cy="2734056"/>
            <wp:effectExtent l="0" t="0" r="0" b="0"/>
            <wp:docPr id="1001" name="Imagem 1001"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Figura 42 da US 9.889.554 B2 em cinza, vista em corte do gerador de torque, com o circuito vetorial do modelo sobrepost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adaptada da Figura 42 da US 9.889.554 B2 (VAN ENGELHOVEN; KAZEROONI, 2018), com o circuito do modelo sobreposto pelo autor.</w:t>
      </w:r>
    </w:p>
    <w:p>
      <w:pPr>
        <w:rPr>
          <w:lang w:val="pt-BR"/>
        </w:rPr>
      </w:pPr>
      <w:r>
        <w:rPr>
          <w:sz w:val="20"/>
          <w:szCs w:val="20"/>
          <w:lang w:val="pt-BR"/>
        </w:rPr>
        <w:t xml:space="preserve">Nota: desenho da patente em cinza; elementos do modelo como na Figura 1. O painel da direita amplia a região do pivô.</w:t>
      </w:r>
    </w:p>
    <w:p w14:paraId="142F19B8" w14:textId="77777777" w:rsidR="009C1161" w:rsidRDefault="003B1183">
      <w:pPr>
        <w:pStyle w:val="Ttulo2"/>
        <w:rPr>
          <w:lang w:val="pt-BR"/>
        </w:rPr>
      </w:pPr>
      <w:r>
        <w:rPr>
          <w:lang w:val="pt-BR"/>
        </w:rPr>
        <w:t>3.1.5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3.1.7) e é limitado pelo comprimento |B| = |OA|, teto que decorre do traçado do cabo, e não do ajuste.</w:t>
      </w:r>
    </w:p>
    <w:p w14:paraId="7C11C200" w14:textId="77777777" w:rsidR="009C1161" w:rsidRDefault="003B1183">
      <w:pPr>
        <w:pStyle w:val="Ttulo2"/>
        <w:rPr>
          <w:lang w:val="pt-BR"/>
        </w:rPr>
      </w:pPr>
      <w:r>
        <w:rPr>
          <w:lang w:val="pt-BR"/>
        </w:rPr>
        <w:t>3.1.6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3.1.11) e permite discriminar entre formulações do caminho do cabo: com o caminho igual apenas ao vão livre, ela não é satisfeita (seção 4.1.3).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4.1.6).</w:t>
      </w:r>
    </w:p>
    <w:p w14:paraId="4D4F73AB" w14:textId="77777777" w:rsidR="009C1161" w:rsidRDefault="003B1183">
      <w:pPr>
        <w:pStyle w:val="Ttulo2"/>
        <w:rPr>
          <w:lang w:val="pt-BR"/>
        </w:rPr>
      </w:pPr>
      <w:r>
        <w:rPr>
          <w:lang w:val="pt-BR"/>
        </w:rPr>
        <w:t>3.1.7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3.1.8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4.1.8).</w:t>
      </w:r>
    </w:p>
    <w:p w14:paraId="527401B1" w14:textId="77777777" w:rsidR="009C1161" w:rsidRDefault="003B1183">
      <w:pPr>
        <w:pStyle w:val="Ttulo2"/>
        <w:rPr>
          <w:lang w:val="pt-BR"/>
        </w:rPr>
      </w:pPr>
      <w:r>
        <w:rPr>
          <w:lang w:val="pt-BR"/>
        </w:rPr>
        <w:t>3.1.9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3.1.10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3.1.11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3.1.12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3.1.13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3.2 Exoesqueleto 2: elástico com alavanca e elemento de encosto</w:t>
      </w:r>
    </w:p>
    <w:p>
      <w:pPr>
        <w:rPr>
          <w:lang w:val="pt-BR"/>
        </w:rPr>
      </w:pPr>
      <w:r>
        <w:rPr>
          <w:lang w:val="pt-BR"/>
        </w:rPr>
        <w:t xml:space="preserve">As seções 3.2.1 a 3.2.13 aplicam à EP 3 504 033 B1 (OTTOBOCK, 2023)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24 e 42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4.2.1)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4.2</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4.1</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3.2.1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2"/>
        <w:rPr>
          <w:lang w:val="pt-BR"/>
        </w:rPr>
      </w:pPr>
      <w:r>
        <w:rPr>
          <w:lang w:val="pt-BR"/>
        </w:rPr>
        <w:t xml:space="preserve">3.2.2 Parâmetros inerciais do membro e transporte ao eixo da articulação 20</w:t>
      </w:r>
    </w:p>
    <w:p>
      <w:pPr>
        <w:rPr>
          <w:lang w:val="pt-BR"/>
        </w:rPr>
      </w:pPr>
      <w:r>
        <w:rPr>
          <w:lang w:val="pt-BR"/>
        </w:rPr>
        <w:t xml:space="preserve">O membro humano segue de Leva (1996),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4.2.1, reúne os resultados, que coincidem com os da planilha do autor.</w:t>
      </w:r>
    </w:p>
    <w:p>
      <w:pPr>
        <w:pStyle w:val="Ttulo2"/>
        <w:rPr>
          <w:lang w:val="pt-BR"/>
        </w:rPr>
      </w:pPr>
      <w:r>
        <w:rPr>
          <w:lang w:val="pt-BR"/>
        </w:rPr>
        <w:t xml:space="preserve">3.2.3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A alavanca é representada pelo segmento OP, de comprimento </w:t>
      </w:r>
      <w:r>
        <w:rPr>
          <w:i/>
          <w:lang w:val="pt-BR"/>
        </w:rPr>
        <w:t xml:space="preserve">e</w:t>
      </w:r>
      <w:r>
        <w:rPr>
          <w:lang w:val="pt-BR"/>
        </w:rPr>
        <w:t xml:space="preserve"> e direção q (seção 3.2.4); o ângulo q,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q</w:t>
      </w:r>
      <w:r>
        <w:rPr>
          <w:vertAlign w:val="subscript"/>
          <w:lang w:val="pt-BR"/>
        </w:rPr>
        <w:t xml:space="preserve">pose</w:t>
      </w:r>
      <w:r>
        <w:rPr>
          <w:lang w:val="pt-BR"/>
        </w:rPr>
        <w:t xml:space="preserve"> é a direção de OP na pose do CAD e θ</w:t>
      </w:r>
      <w:r>
        <w:rPr>
          <w:vertAlign w:val="subscript"/>
          <w:lang w:val="pt-BR"/>
        </w:rPr>
        <w:t xml:space="preserve">b,pose</w:t>
      </w:r>
      <w:r>
        <w:rPr>
          <w:lang w:val="pt-BR"/>
        </w:rP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3.1</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Direção do segmento OP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 + angulo_OP</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q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 + angulo_OP</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Valor de q no contato do elástico com o elemento 78</w:t>
            </w:r>
          </w:p>
        </w:tc>
        <w:tc>
          <w:tcPr>
            <w:tcW w:w="1900" w:type="dxa"/>
            <w:vAlign w:val="center"/>
          </w:tcPr>
          <w:p>
            <w:pPr>
              <w:keepNext/>
              <w:spacing w:before="20" w:after="20" w:line="240" w:lineRule="auto"/>
              <w:rPr>
                <w:lang w:val="pt-BR"/>
              </w:rPr>
            </w:pPr>
            <w:r>
              <w:rPr>
                <w:lang w:val="pt-BR"/>
              </w:rPr>
              <w:t xml:space="preserve">Seção 3.2.5</w:t>
            </w:r>
          </w:p>
        </w:tc>
        <w:tc>
          <w:tcPr>
            <w:tcW w:w="1400" w:type="dxa"/>
            <w:vAlign w:val="center"/>
          </w:tcPr>
          <w:p>
            <w:pPr>
              <w:keepNext/>
              <w:spacing w:before="20" w:after="20" w:line="240" w:lineRule="auto"/>
              <w:jc w:val="center"/>
              <w:rPr>
                <w:lang w:val="pt-BR"/>
              </w:rPr>
            </w:pPr>
            <w:r>
              <w:rPr>
                <w:lang w:val="pt-BR"/>
              </w:rPr>
              <w:t xml:space="preserve">q_estrela</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Defasagem constante entre a direção de p e q</w:t>
            </w:r>
          </w:p>
        </w:tc>
        <w:tc>
          <w:tcPr>
            <w:tcW w:w="1900" w:type="dxa"/>
            <w:vAlign w:val="center"/>
          </w:tcPr>
          <w:p>
            <w:pPr>
              <w:keepNext/>
              <w:spacing w:before="20" w:after="20" w:line="240" w:lineRule="auto"/>
              <w:rPr>
                <w:lang w:val="pt-BR"/>
              </w:rPr>
            </w:pPr>
            <w:r>
              <w:rPr>
                <w:lang w:val="pt-BR"/>
              </w:rPr>
              <w:t xml:space="preserve">Equação (33)</w:t>
            </w:r>
          </w:p>
        </w:tc>
        <w:tc>
          <w:tcPr>
            <w:tcW w:w="1400" w:type="dxa"/>
            <w:vAlign w:val="center"/>
          </w:tcPr>
          <w:p>
            <w:pPr>
              <w:keepNext/>
              <w:spacing w:before="20" w:after="20" w:line="240" w:lineRule="auto"/>
              <w:jc w:val="center"/>
              <w:rPr>
                <w:lang w:val="pt-BR"/>
              </w:rPr>
            </w:pPr>
            <w:r>
              <w:rPr>
                <w:lang w:val="pt-BR"/>
              </w:rPr>
              <w:t xml:space="preserve">phi − angulo_OP</w:t>
            </w:r>
          </w:p>
        </w:tc>
        <w:tc>
          <w:tcPr>
            <w:tcW w:w="2700" w:type="dxa"/>
            <w:vAlign w:val="center"/>
          </w:tcPr>
          <w:p>
            <w:pPr>
              <w:keepNext/>
              <w:spacing w:before="20" w:after="20" w:line="240" w:lineRule="auto"/>
              <w:rPr>
                <w:lang w:val="pt-BR"/>
              </w:rPr>
            </w:pPr>
            <w:r>
              <w:rPr>
                <w:lang w:val="pt-BR"/>
              </w:rPr>
              <w:t xml:space="preserve">Na seção 3.1, φ é a direção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ψ</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Papel de φ, Equação (8); na seção 3.1, ψ é o ângulo entre o cabo e o elo</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Papel de ℓ, Equação (16); na seção 3.1, s é o vão livre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x</w:t>
            </w:r>
          </w:p>
        </w:tc>
        <w:tc>
          <w:tcPr>
            <w:tcW w:w="2260" w:type="dxa"/>
            <w:vAlign w:val="center"/>
          </w:tcPr>
          <w:p>
            <w:pPr>
              <w:keepNext/>
              <w:spacing w:before="20" w:after="20" w:line="240" w:lineRule="auto"/>
              <w:rPr>
                <w:lang w:val="pt-BR"/>
              </w:rPr>
            </w:pPr>
            <w:r>
              <w:rPr>
                <w:lang w:val="pt-BR"/>
              </w:rPr>
              <w:t xml:space="preserve">Comprimento do trecho do elástico entre o elemento 78 e P</w:t>
            </w:r>
          </w:p>
        </w:tc>
        <w:tc>
          <w:tcPr>
            <w:tcW w:w="1900" w:type="dxa"/>
            <w:vAlign w:val="center"/>
          </w:tcPr>
          <w:p>
            <w:pPr>
              <w:keepNext/>
              <w:spacing w:before="20" w:after="20" w:line="240" w:lineRule="auto"/>
              <w:rPr>
                <w:lang w:val="pt-BR"/>
              </w:rPr>
            </w:pPr>
            <w:r>
              <w:rPr>
                <w:lang w:val="pt-BR"/>
              </w:rPr>
              <w:t xml:space="preserve">Equação (37)</w:t>
            </w:r>
          </w:p>
        </w:tc>
        <w:tc>
          <w:tcPr>
            <w:tcW w:w="1400" w:type="dxa"/>
            <w:vAlign w:val="center"/>
          </w:tcPr>
          <w:p>
            <w:pPr>
              <w:keepNext/>
              <w:spacing w:before="20" w:after="20" w:line="240" w:lineRule="auto"/>
              <w:jc w:val="center"/>
              <w:rPr>
                <w:lang w:val="pt-BR"/>
              </w:rPr>
            </w:pPr>
            <w:r>
              <w:rPr>
                <w:lang w:val="pt-BR"/>
              </w:rPr>
              <w:t xml:space="preserve">calculate_d</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s em que o elástico atinge o comprimento livre</w:t>
            </w:r>
          </w:p>
        </w:tc>
        <w:tc>
          <w:tcPr>
            <w:tcW w:w="1900" w:type="dxa"/>
            <w:vAlign w:val="center"/>
          </w:tcPr>
          <w:p>
            <w:pPr>
              <w:keepNext/>
              <w:spacing w:before="20" w:after="20" w:line="240" w:lineRule="auto"/>
              <w:rPr>
                <w:lang w:val="pt-BR"/>
              </w:rPr>
            </w:pPr>
            <w:r>
              <w:rPr>
                <w:lang w:val="pt-BR"/>
              </w:rPr>
              <w:t xml:space="preserve">Seção 3.2.6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(43)</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(46)</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q</w:t>
      </w:r>
      <w:r>
        <w:rPr>
          <w:vertAlign w:val="subscript"/>
          <w:lang w:val="pt-BR"/>
        </w:rPr>
        <w:t xml:space="preserve">0</w:t>
      </w:r>
      <w:r>
        <w:rPr>
          <w:lang w:val="pt-BR"/>
        </w:rPr>
        <w:t xml:space="preserve"> passa a −41,815° e θ</w:t>
      </w:r>
      <w:r>
        <w:rPr>
          <w:vertAlign w:val="subscript"/>
          <w:lang w:val="pt-BR"/>
        </w:rPr>
        <w:t xml:space="preserve">el,pose</w:t>
      </w:r>
      <w:r>
        <w:rPr>
          <w:lang w:val="pt-BR"/>
        </w:rPr>
        <w:t xml:space="preserve"> a 97,962°, e o contato da seção 3.2.5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4.2.4, e os resultados da seção 4.2 dependem da confirmação desse sinal.</w:t>
      </w:r>
    </w:p>
    <w:p>
      <w:pPr>
        <w:pStyle w:val="Ttulo2"/>
        <w:rPr>
          <w:lang w:val="pt-BR"/>
        </w:rPr>
      </w:pPr>
      <w:r>
        <w:rPr>
          <w:lang w:val="pt-BR"/>
        </w:rPr>
        <w:t xml:space="preserve">3.2.4 Equação de fechamento do circuito vetorial</w:t>
      </w:r>
    </w:p>
    <w:p>
      <w:pPr>
        <w:rPr>
          <w:lang w:val="pt-BR"/>
        </w:rPr>
      </w:pPr>
      <w:r>
        <w:rPr>
          <w:lang w:val="pt-BR"/>
        </w:rPr>
        <w:t xml:space="preserve">A ancoragem A do elástico fica na barra 18, e o ponto P, na extremidade da alavanca solidária ao braço (Figura 3). No modelo em CAD, a alavanca tem um cotovelo: um trecho e</w:t>
      </w:r>
      <w:r>
        <w:rPr>
          <w:vertAlign w:val="subscript"/>
          <w:lang w:val="pt-BR"/>
        </w:rPr>
        <w:t xml:space="preserve">c</w:t>
      </w:r>
      <w:r>
        <w:rPr>
          <w:lang w:val="pt-BR"/>
        </w:rPr>
        <w:t xml:space="preserve"> a partir de O e um trecho C</w:t>
      </w:r>
      <w:r>
        <w:rPr>
          <w:vertAlign w:val="subscript"/>
          <w:lang w:val="pt-BR"/>
        </w:rPr>
        <w:t xml:space="preserve">3</w:t>
      </w:r>
      <w:r>
        <w:rPr>
          <w:lang w:val="pt-BR"/>
        </w:rPr>
        <w:t xml:space="preserve"> girado de β</w:t>
      </w:r>
      <w:r>
        <w:rPr>
          <w:vertAlign w:val="subscript"/>
          <w:lang w:val="pt-BR"/>
        </w:rPr>
        <w:t xml:space="preserve">c</w:t>
      </w:r>
      <w:r>
        <w:rPr>
          <w:lang w:val="pt-BR"/>
        </w:rPr>
        <w:t xml:space="preserve">. Como os dois giram juntos com o braço, a alavanca é representada pelo segmento OP, de comprimento </w:t>
      </w:r>
      <w:r>
        <w:rPr>
          <w:i/>
          <w:lang w:val="pt-BR"/>
        </w:rPr>
        <w:t xml:space="preserve">e</w:t>
      </w:r>
      <w:r>
        <w:rPr>
          <w:lang w:val="pt-BR"/>
        </w:rPr>
        <w:t xml:space="preserve">, que forma com o trecho e</w:t>
      </w:r>
      <w:r>
        <w:rPr>
          <w:vertAlign w:val="subscript"/>
          <w:lang w:val="pt-BR"/>
        </w:rPr>
        <w:t xml:space="preserve">c</w:t>
      </w:r>
      <w:r>
        <w:rPr>
          <w:lang w:val="pt-BR"/>
        </w:rPr>
        <w:t xml:space="preserve"> o ângulo fixo ε:</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(30)</w:t>
            </w:r>
          </w:p>
        </w:tc>
      </w:tr>
    </w:tbl>
    <w:p>
      <w:pPr>
        <w:rPr>
          <w:lang w:val="pt-BR"/>
        </w:rPr>
      </w:pPr>
      <w:r>
        <w:rPr>
          <w:lang w:val="pt-BR"/>
        </w:rPr>
        <w:t xml:space="preserve">Com e</w:t>
      </w:r>
      <w:r>
        <w:rPr>
          <w:vertAlign w:val="subscript"/>
          <w:lang w:val="pt-BR"/>
        </w:rPr>
        <w:t xml:space="preserve">c</w:t>
      </w:r>
      <w:r>
        <w:rPr>
          <w:lang w:val="pt-BR"/>
        </w:rPr>
        <w:t xml:space="preserve"> = 34,785 mm, C</w:t>
      </w:r>
      <w:r>
        <w:rPr>
          <w:vertAlign w:val="subscript"/>
          <w:lang w:val="pt-BR"/>
        </w:rPr>
        <w:t xml:space="preserve">3</w:t>
      </w:r>
      <w:r>
        <w:rPr>
          <w:lang w:val="pt-BR"/>
        </w:rPr>
        <w:t xml:space="preserve"> = 14,907 mm e β</w:t>
      </w:r>
      <w:r>
        <w:rPr>
          <w:vertAlign w:val="subscript"/>
          <w:lang w:val="pt-BR"/>
        </w:rPr>
        <w:t xml:space="preserve">c</w:t>
      </w:r>
      <w:r>
        <w:rPr>
          <w:lang w:val="pt-BR"/>
        </w:rPr>
        <w:t xml:space="preserve"> = −49,647°, medidos no CAD, resulta </w:t>
      </w:r>
      <w:r>
        <w:rPr>
          <w:i/>
          <w:lang w:val="pt-BR"/>
        </w:rPr>
        <w:t xml:space="preserve">e</w:t>
      </w:r>
      <w:r>
        <w:rPr>
          <w:lang w:val="pt-BR"/>
        </w:rPr>
        <w:t xml:space="preserve"> = 45,866 mm e ε = −14,340°. O vetor fixo de A a O, a posição de P e a do centro do elemento 78, na extremidade do vetor p,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spacing w:before="60" w:after="60"/>
              <w:jc w:val="right"/>
              <w:rPr>
                <w:lang w:val="pt-BR"/>
              </w:rPr>
            </w:pPr>
            <w:r>
              <w:rPr>
                <w:lang w:val="pt-BR"/>
              </w:rPr>
              <w:t>(32)</w:t>
            </w:r>
          </w:p>
        </w:tc>
      </w:tr>
      <w:tr>
        <w:trPr>
          <w:cantSplit/>
          <w:jc w:val="center"/>
        </w:trPr>
        <w:tc>
          <w:tcPr>
            <w:tcW w:w="8460" w:type="dxa"/>
            <w:vAlign w:val="center"/>
          </w:tcPr>
          <w:p>
            <w:pPr>
              <w:spacing w:before="60" w:after="60"/>
              <w:jc w:val="center"/>
              <w:rPr>
                <w:lang w:val="pt-BR"/>
              </w:rPr>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(33)</w:t>
            </w:r>
          </w:p>
        </w:tc>
      </w:tr>
    </w:tbl>
    <w:p>
      <w:pPr>
        <w:rPr>
          <w:lang w:val="pt-BR"/>
        </w:rPr>
      </w:pPr>
      <w:r>
        <w:rPr>
          <w:lang w:val="pt-BR"/>
        </w:rPr>
        <w:t xml:space="preserve">com A = −r</w:t>
      </w:r>
      <w:r>
        <w:rPr>
          <w:vertAlign w:val="subscript"/>
          <w:lang w:val="pt-BR"/>
        </w:rPr>
        <w:t xml:space="preserve">AO</w:t>
      </w:r>
      <w:r>
        <w:rPr>
          <w:lang w:val="pt-BR"/>
        </w:rPr>
        <w:t xml:space="preserve">. O elemento 78 é preso ao braço, e φ é a defasagem constante entre a direção de p e q, 131,790° na geometria do CAD. Para q &gt; q*, o elástico é retilíneo de A a P (regime I), e o circuito fechado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lang w:val="pt-BR"/>
        </w:rPr>
        <w:t xml:space="preserve">e</w:t>
      </w:r>
      <w:r>
        <w:rPr>
          <w:lang w:val="pt-BR"/>
        </w:rPr>
        <w:t xml:space="preserve">, p e x,</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(35)</w:t>
            </w:r>
          </w:p>
        </w:tc>
      </w:tr>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spacing w:before="60" w:after="60"/>
              <w:jc w:val="right"/>
              <w:rPr>
                <w:lang w:val="pt-BR"/>
              </w:rPr>
            </w:pPr>
            <w:r>
              <w:rPr>
                <w:lang w:val="pt-BR"/>
              </w:rPr>
              <w:t>(36)</w:t>
            </w:r>
          </w:p>
        </w:tc>
      </w:tr>
    </w:tbl>
    <w:p>
      <w:pPr>
        <w:rPr>
          <w:lang w:val="pt-BR"/>
        </w:rPr>
      </w:pPr>
      <w:r>
        <w:rPr>
          <w:lang w:val="pt-BR"/>
        </w:rPr>
        <w:t xml:space="preserve">em que s é o comprimento total do elástico entre A e P, ψ a direção do trecho ligado a A e x o comprimento do trecho entre o elemento 78 e P. No triângulo, </w:t>
      </w:r>
      <w:r>
        <w:rPr>
          <w:i/>
          <w:lang w:val="pt-BR"/>
        </w:rPr>
        <w:t xml:space="preserve">e</w:t>
      </w:r>
      <w:r>
        <w:rPr>
          <w:lang w:val="pt-BR"/>
        </w:rPr>
        <w:t xml:space="preserve"> e p são constantes e o ângulo entre eles é a defasagem φ, de modo que x não depende de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Com as grandezas do CAD, x = 51,360 mm. Cada regime tem solução fechada, sem procedimento iterativo, porque o lado direito das relações abaixo, a primeira para o regime I e a segunda para o regime II, é conhecido para cada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(38)</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(39)</w:t>
            </w:r>
          </w:p>
        </w:tc>
      </w:tr>
    </w:tbl>
    <w:p>
      <w:pPr>
        <w:pStyle w:val="Ttulo2"/>
        <w:rPr>
          <w:lang w:val="pt-BR"/>
        </w:rPr>
      </w:pPr>
      <w:r>
        <w:rPr>
          <w:lang w:val="pt-BR"/>
        </w:rPr>
        <w:t xml:space="preserve">3.2.5 Ponto de contato e troca de regime</w:t>
      </w:r>
    </w:p>
    <w:p>
      <w:pPr>
        <w:rPr>
          <w:lang w:val="pt-BR"/>
        </w:rPr>
      </w:pPr>
      <w:r>
        <w:rPr>
          <w:lang w:val="pt-BR"/>
        </w:rPr>
        <w:t xml:space="preserve">O contato não é imposto por um ângulo. Ele é detectado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lang w:val="pt-BR"/>
        </w:rPr>
        <w:t xml:space="preserve">el</w:t>
      </w:r>
      <w:r>
        <w:rPr>
          <w:lang w:val="pt-BR"/>
        </w:rPr>
        <w:t xml:space="preserve"> = 19,094°; nesse ponto, s = 387,222 mm e m = 5,163 mm nos dois regimes, porque A, o elemento 78 e P estão alinhados e o trecho x completa o comprimento.</w:t>
      </w:r>
    </w:p>
    <w:p>
      <w:pPr>
        <w:keepNext/>
        <w:spacing w:before="120" w:after="60"/>
        <w:rPr>
          <w:lang w:val="pt-BR"/>
        </w:rPr>
      </w:pPr>
      <w:r>
        <w:rPr>
          <w:b/>
          <w:lang w:val="pt-BR"/>
        </w:rPr>
        <w:t xml:space="preserve">Figura 3: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2"/>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w:t>
      </w:r>
      <w:r>
        <w:rPr>
          <w:i/>
          <w:sz w:val="20"/>
          <w:szCs w:val="20"/>
          <w:lang w:val="pt-BR"/>
        </w:rPr>
        <w:t xml:space="preserve">e</w:t>
      </w:r>
      <w:r>
        <w:rPr>
          <w:sz w:val="20"/>
          <w:szCs w:val="20"/>
          <w:lang w:val="pt-BR"/>
        </w:rPr>
        <w:t xml:space="preserve">.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w:t>
      </w:r>
      <w:r>
        <w:rPr>
          <w:i/>
          <w:sz w:val="20"/>
          <w:szCs w:val="20"/>
          <w:lang w:val="pt-BR"/>
        </w:rPr>
        <w:t xml:space="preserve">e</w:t>
      </w:r>
      <w:r>
        <w:rPr>
          <w:sz w:val="20"/>
          <w:szCs w:val="20"/>
          <w:lang w:val="pt-BR"/>
        </w:rPr>
        <w:t xml:space="preserve">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w:t>
      </w:r>
      <w:r>
        <w:rPr>
          <w:i/>
          <w:sz w:val="20"/>
          <w:szCs w:val="20"/>
          <w:lang w:val="pt-BR"/>
        </w:rPr>
        <w:t xml:space="preserve">e</w:t>
      </w:r>
      <w:r>
        <w:rPr>
          <w:sz w:val="20"/>
          <w:szCs w:val="20"/>
          <w:lang w:val="pt-BR"/>
        </w:rPr>
        <w:t xml:space="preserve">, p e x (</w:t>
      </w:r>
      <w:r>
        <w:rPr>
          <w:i/>
          <w:sz w:val="20"/>
          <w:szCs w:val="20"/>
          <w:lang w:val="pt-BR"/>
        </w:rPr>
        <w:t xml:space="preserve">e</w:t>
      </w:r>
      <w:r>
        <w:rPr>
          <w:sz w:val="20"/>
          <w:szCs w:val="20"/>
          <w:lang w:val="pt-BR"/>
        </w:rPr>
        <w:t xml:space="preserve"> tracejado); o elemento 78, na ponta de p, só entra depois do contato. As linhas pontilhadas indicam o eixo do braço.</w:t>
      </w:r>
    </w:p>
    <w:p>
      <w:pPr>
        <w:rPr>
          <w:lang w:val="pt-BR"/>
        </w:rPr>
      </w:pPr>
      <w:r>
        <w:rPr>
          <w:lang w:val="pt-BR"/>
        </w:rPr>
        <w:t xml:space="preserve">A Figura 4 sobrepõe esses circuitos à Figura 22 da patente, com o braço elevado e com o braço baixado. Em cada desenho, o modelo foi calculado na anteversão lida na figura, θ</w:t>
      </w:r>
      <w:r>
        <w:rPr>
          <w:vertAlign w:val="subscript"/>
          <w:lang w:val="pt-BR"/>
        </w:rPr>
        <w:t xml:space="preserve">el</w:t>
      </w:r>
      <w:r>
        <w:rPr>
          <w:lang w:val="pt-BR"/>
        </w:rPr>
        <w:t xml:space="preserve"> = 96,5° e −2,2°, e alinhado pelo centro da articulação 20, que faz o papel de O, e pela extremidade inferior do elástico desenhado, junto à braçadeira da barra 18, onde fica a ancoragem A.</w:t>
      </w:r>
    </w:p>
    <w:p>
      <w:pPr>
        <w:keepNext/>
        <w:spacing w:before="120" w:after="60"/>
        <w:rPr>
          <w:lang w:val="pt-BR"/>
        </w:rPr>
      </w:pPr>
      <w:r>
        <w:rPr>
          <w:b/>
          <w:lang w:val="pt-BR"/>
        </w:rPr>
        <w:t xml:space="preserve">Figura 4: Circuitos do modelo sobrepostos à Figura 22 da patente, com o braço elevado (regime I, θ</w:t>
      </w:r>
      <w:r>
        <w:rPr>
          <w:b/>
          <w:vertAlign w:val="subscript"/>
          <w:lang w:val="pt-BR"/>
        </w:rPr>
        <w:t xml:space="preserve">el</w:t>
      </w:r>
      <w:r>
        <w:rPr>
          <w:b/>
          <w:lang w:val="pt-BR"/>
        </w:rPr>
        <w:t xml:space="preserve"> = 96,5°) e baixado (regime II, θ</w:t>
      </w:r>
      <w:r>
        <w:rPr>
          <w:b/>
          <w:vertAlign w:val="subscript"/>
          <w:lang w:val="pt-BR"/>
        </w:rPr>
        <w:t xml:space="preserve">el</w:t>
      </w:r>
      <w:r>
        <w:rPr>
          <w:b/>
          <w:lang w:val="pt-BR"/>
        </w:rPr>
        <w:t xml:space="preserve"> = −2,2°)</w:t>
      </w:r>
    </w:p>
    <w:p>
      <w:pPr>
        <w:keepNext/>
        <w:spacing w:after="60"/>
        <w:jc w:val="center"/>
        <w:rPr>
          <w:lang w:val="pt-BR"/>
        </w:rPr>
      </w:pPr>
      <w:r>
        <w:rPr>
          <w:noProof/>
          <w:lang w:val="pt-BR"/>
        </w:rPr>
        <w:drawing>
          <wp:inline distT="0" distB="0" distL="0" distR="0">
            <wp:extent cx="5943600" cy="6894576"/>
            <wp:effectExtent l="0" t="0" r="0" b="0"/>
            <wp:docPr id="1003" name="Imagem 1003"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Figura 22 da EP 3 504 033 B1 em cinza, com os vetores do modelo sobrepostos: acima, braço elevado; abaixo, braço baixado, com o elástico apoiado no elemento 78; à direita, ampliações da região do pivô."/>
                    <pic:cNvPicPr/>
                  </pic:nvPicPr>
                  <pic:blipFill>
                    <a:blip r:embed="rIdExo2F3"/>
                    <a:stretch>
                      <a:fillRect/>
                    </a:stretch>
                  </pic:blipFill>
                  <pic:spPr>
                    <a:xfrm>
                      <a:off x="0" y="0"/>
                      <a:ext cx="5943600" cy="6894576"/>
                    </a:xfrm>
                    <a:prstGeom prst="rect">
                      <a:avLst/>
                    </a:prstGeom>
                  </pic:spPr>
                </pic:pic>
              </a:graphicData>
            </a:graphic>
          </wp:inline>
        </w:drawing>
      </w:r>
    </w:p>
    <w:p>
      <w:pPr>
        <w:spacing w:before="60" w:after="60"/>
        <w:rPr>
          <w:lang w:val="pt-BR"/>
        </w:rPr>
      </w:pPr>
      <w:r>
        <w:rPr>
          <w:sz w:val="20"/>
          <w:szCs w:val="20"/>
          <w:lang w:val="pt-BR"/>
        </w:rPr>
        <w:t xml:space="preserve">Fonte: adaptada de OTTOBOCK (2023), Figura 22, p. 37 do documento B1, com os circuitos do modelo sobrepostos pelo autor.</w:t>
      </w:r>
    </w:p>
    <w:p>
      <w:pPr>
        <w:rPr>
          <w:lang w:val="pt-BR"/>
        </w:rPr>
      </w:pPr>
      <w:r>
        <w:rPr>
          <w:sz w:val="20"/>
          <w:szCs w:val="20"/>
          <w:lang w:val="pt-BR"/>
        </w:rPr>
        <w:t xml:space="preserve">Nota: desenho da patente em cinza, girado para a orientação de leitura; vetores, pontos e linhas pontilhadas do modelo como na Figura 3. À direita, ampliação da região do pivô.</w:t>
      </w:r>
    </w:p>
    <w:p>
      <w:pPr>
        <w:pStyle w:val="Ttulo2"/>
        <w:rPr>
          <w:lang w:val="pt-BR"/>
        </w:rPr>
      </w:pPr>
      <w:r>
        <w:rPr>
          <w:lang w:val="pt-BR"/>
        </w:rPr>
        <w:t xml:space="preserve">3.2.6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s</w:t>
      </w:r>
      <w:r>
        <w:rPr>
          <w:vertAlign w:val="subscript"/>
          <w:lang w:val="pt-BR"/>
        </w:rPr>
        <w:t xml:space="preserve">0</w:t>
      </w:r>
      <w:r>
        <w:rPr>
          <w:lang w:val="pt-BR"/>
        </w:rPr>
        <w:t xml:space="preserve"> é o valor de s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s</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s(θ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u(ψ):</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3.2.7 Faixa sem torque com o braço baixado</w:t>
      </w:r>
    </w:p>
    <w:p>
      <w:pPr>
        <w:rPr>
          <w:lang w:val="pt-BR"/>
        </w:rPr>
      </w:pPr>
      <w:r>
        <w:rPr>
          <w:lang w:val="pt-BR"/>
        </w:rPr>
        <w:t xml:space="preserve">Esta seção faz o papel da seção 3.1.7: indica onde o modelo libera o braço. Pela Equação (43), m</w:t>
      </w:r>
      <w:r>
        <w:rPr>
          <w:vertAlign w:val="subscript"/>
          <w:lang w:val="pt-BR"/>
        </w:rPr>
        <w:t xml:space="preserve">II</w:t>
      </w:r>
      <w:r>
        <w:rPr>
          <w:lang w:val="pt-BR"/>
        </w:rPr>
        <w:t xml:space="preserve"> é proporcional a p, de modo que, abaixo do contato, o torque só se anula se o elemento 78 estiver sobre o eixo. Com o elemento 78 sobre o eixo (p = 0), configuração preferida pela patente, x = </w:t>
      </w:r>
      <w:r>
        <w:rPr>
          <w:i/>
          <w:lang w:val="pt-BR"/>
        </w:rPr>
        <w:t xml:space="preserve">e</w:t>
      </w:r>
      <w:r>
        <w:rPr>
          <w:lang w:val="pt-BR"/>
        </w:rPr>
        <w:t xml:space="preserve"> e o ângulo de contato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Nesse caso, a direção de OP no contato coincide com a de r</w:t>
      </w:r>
      <w:r>
        <w:rPr>
          <w:vertAlign w:val="subscript"/>
          <w:lang w:val="pt-BR"/>
        </w:rPr>
        <w:t xml:space="preserve">AO</w:t>
      </w:r>
      <w:r>
        <w:rPr>
          <w:lang w:val="pt-BR"/>
        </w:rPr>
        <w:t xml:space="preserve">, a reta do elástico passa pelo pivô e o torque no regime II é nulo. Com as demais grandezas do CAD, a Equação (45) dá θ</w:t>
      </w:r>
      <w:r>
        <w:rPr>
          <w:vertAlign w:val="subscript"/>
          <w:lang w:val="pt-BR"/>
        </w:rPr>
        <w:t xml:space="preserve">el</w:t>
      </w:r>
      <w:r>
        <w:rPr>
          <w:lang w:val="pt-BR"/>
        </w:rPr>
        <w:t xml:space="preserve"> = 11,765°. As curvas da Figura 16 da patente partem de razão nula entre 14,23° e 14,36° (seção 4.2.2), entre os dois valores do modelo; só no caso p = 0, porém, o modelo tem torque nulo antes do contato (seção 4.2.9).</w:t>
      </w:r>
    </w:p>
    <w:p>
      <w:pPr>
        <w:pStyle w:val="Ttulo2"/>
        <w:rPr>
          <w:lang w:val="pt-BR"/>
        </w:rPr>
      </w:pPr>
      <w:r>
        <w:rPr>
          <w:lang w:val="pt-BR"/>
        </w:rPr>
        <w:t xml:space="preserve">3.2.8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3.2.9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5: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4" name="Imagem 1004"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eprodução da Figura 16 da EP 3 504 033 B1: três curvas, pontilhada, tracejada e contínua, em função da anteversão de 0 a 180 graus; ordenada sem escala."/>
                    <pic:cNvPicPr/>
                  </pic:nvPicPr>
                  <pic:blipFill>
                    <a:blip r:embed="rIdExo2F4"/>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4.2.8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4.2.4).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A Equação (49)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lang w:val="pt-BR"/>
        </w:rPr>
        <w:t xml:space="preserve">el</w:t>
      </w:r>
      <w:r>
        <w:rPr>
          <w:lang w:val="pt-BR"/>
        </w:rPr>
        <w:t xml:space="preserve">) do circuito da seção 3.2.4: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o contato calculado com p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s decresce com θ</w:t>
      </w:r>
      <w:r>
        <w:rPr>
          <w:vertAlign w:val="subscript"/>
          <w:lang w:val="pt-BR"/>
        </w:rPr>
        <w:t xml:space="preserve">el</w:t>
      </w:r>
      <w:r>
        <w:rPr>
          <w:lang w:val="pt-BR"/>
        </w:rPr>
        <w:t xml:space="preserve">, Equação (44), o elástico afrouxa primeiro com o braço elevado, e a razão da curva menos tensionada deve chegar a zero onde s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11(a)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11(b)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(53)</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3.2.10 Varredura paramétrica do trecho e</w:t>
      </w:r>
      <w:r>
        <w:rPr>
          <w:vertAlign w:val="subscript"/>
          <w:lang w:val="pt-BR"/>
        </w:rPr>
        <w:t xml:space="preserve">c</w:t>
      </w:r>
      <w:r>
        <w:rPr>
          <w:lang w:val="pt-BR"/>
        </w:rPr>
        <w:t xml:space="preserve"> da alavanca</w:t>
      </w:r>
    </w:p>
    <w:p>
      <w:pPr>
        <w:rPr>
          <w:lang w:val="pt-BR"/>
        </w:rPr>
      </w:pPr>
      <w:r>
        <w:rPr>
          <w:lang w:val="pt-BR"/>
        </w:rPr>
        <w:t xml:space="preserve">O comprimento e</w:t>
      </w:r>
      <w:r>
        <w:rPr>
          <w:vertAlign w:val="subscript"/>
          <w:lang w:val="pt-BR"/>
        </w:rPr>
        <w:t xml:space="preserve">c</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o comprimento </w:t>
      </w:r>
      <w:r>
        <w:rPr>
          <w:i/>
          <w:lang w:val="pt-BR"/>
        </w:rPr>
        <w:t xml:space="preserve">e</w:t>
      </w:r>
      <w:r>
        <w:rPr>
          <w:lang w:val="pt-BR"/>
        </w:rP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lang w:val="pt-BR"/>
        </w:rPr>
        <w:t xml:space="preserve">c</w:t>
      </w:r>
      <w:r>
        <w:rPr>
          <w:lang w:val="pt-BR"/>
        </w:rPr>
        <w:t xml:space="preserve">. A varredura manteve s</w:t>
      </w:r>
      <w:r>
        <w:rPr>
          <w:vertAlign w:val="subscript"/>
          <w:lang w:val="pt-BR"/>
        </w:rPr>
        <w:t xml:space="preserve">0</w:t>
      </w:r>
      <w:r>
        <w:rPr>
          <w:lang w:val="pt-BR"/>
        </w:rPr>
        <w:t xml:space="preserve"> = 287,190 mm e K = 1,46670 N/mm, isto é, o mesmo elástico, e variou apenas e</w:t>
      </w:r>
      <w:r>
        <w:rPr>
          <w:vertAlign w:val="subscript"/>
          <w:lang w:val="pt-BR"/>
        </w:rPr>
        <w:t xml:space="preserve">c</w:t>
      </w:r>
      <w:r>
        <w:rPr>
          <w:lang w:val="pt-BR"/>
        </w:rP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2"/>
        <w:rPr>
          <w:lang w:val="pt-BR"/>
        </w:rPr>
      </w:pPr>
      <w:r>
        <w:rPr>
          <w:lang w:val="pt-BR"/>
        </w:rPr>
        <w:t xml:space="preserve">3.2.11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 = 0. Os valores são de e</w:t>
      </w:r>
      <w:r>
        <w:rPr>
          <w:vertAlign w:val="subscript"/>
          <w:lang w:val="pt-BR"/>
        </w:rPr>
        <w:t xml:space="preserve">c</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q ≤ q* na malha, que o elemento 78 fica entre A e P na transição, que e</w:t>
      </w:r>
      <w:r>
        <w:rPr>
          <w:vertAlign w:val="subscript"/>
          <w:lang w:val="pt-BR"/>
        </w:rPr>
        <w:t xml:space="preserve">c</w:t>
      </w:r>
      <w:r>
        <w:rPr>
          <w:lang w:val="pt-BR"/>
        </w:rPr>
        <w:t xml:space="preserve"> é argumento obrigatório de toda a cadeia e que dois valores diferentes de e</w:t>
      </w:r>
      <w:r>
        <w:rPr>
          <w:vertAlign w:val="subscript"/>
          <w:lang w:val="pt-BR"/>
        </w:rPr>
        <w:t xml:space="preserve">c</w:t>
      </w:r>
      <w:r>
        <w:rPr>
          <w:lang w:val="pt-BR"/>
        </w:rP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2"/>
        <w:rPr>
          <w:lang w:val="pt-BR"/>
        </w:rPr>
      </w:pPr>
      <w:r>
        <w:rPr>
          <w:lang w:val="pt-BR"/>
        </w:rPr>
        <w:t xml:space="preserve">3.2.12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(54)</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(44),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/dq = −K δ m, de modo que a força generalizada elástica coincide, a menos do fator 1/1000, com o torque da Equação (43);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3.1.12,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4.2.10.</w:t>
      </w:r>
    </w:p>
    <w:p>
      <w:pPr>
        <w:pStyle w:val="Ttulo2"/>
        <w:rPr>
          <w:lang w:val="pt-BR"/>
        </w:rPr>
      </w:pPr>
      <w:r>
        <w:rPr>
          <w:lang w:val="pt-BR"/>
        </w:rPr>
        <w:t xml:space="preserve">3.2.13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rPr>
          <w:lang w:val="pt-BR"/>
        </w:rPr>
      </w:pPr>
      <w:r>
        <w:rPr>
          <w:lang w:val="pt-BR"/>
        </w:rPr>
        <w:t xml:space="preserve">4.1 Exoesqueleto 1: gerador de torque de mola, cabo e polia</w:t>
      </w:r>
    </w:p>
    <w:p w14:paraId="69E970E9" w14:textId="77777777" w:rsidR="009C1161" w:rsidRDefault="003B1183">
      <w:pPr>
        <w:rPr>
          <w:lang w:val="pt-BR"/>
        </w:rPr>
      </w:pPr>
      <w:r>
        <w:rPr>
          <w:lang w:val="pt-BR"/>
        </w:rPr>
        <w:t>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3.1.12 e a aplicação do procedimento à US 9.737.374 B2 não foram executadas.</w:t>
      </w:r>
    </w:p>
    <w:p w14:paraId="3B9D99E0" w14:textId="77777777" w:rsidR="009C1161" w:rsidRDefault="003B1183">
      <w:pPr>
        <w:pStyle w:val="Ttulo2"/>
        <w:rPr>
          <w:lang w:val="pt-BR"/>
        </w:rPr>
      </w:pPr>
      <w:r>
        <w:rPr>
          <w:lang w:val="pt-BR"/>
        </w:rPr>
        <w:t>4.1.1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4.1.8).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4.1.2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4.1.3 Verificação da cadeia de cálculo</w:t>
      </w:r>
    </w:p>
    <w:p w14:paraId="19FD541C" w14:textId="77777777" w:rsidR="009C1161" w:rsidRDefault="003B1183">
      <w:pPr>
        <w:rPr>
          <w:lang w:val="pt-BR"/>
        </w:rPr>
      </w:pPr>
      <w:r>
        <w:rPr>
          <w:lang w:val="pt-BR"/>
        </w:rPr>
        <w:t>As verificações automáticas da seção 3.1.11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4.1.4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3.1.6).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3.1.10),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4.1.7.</w:t>
      </w:r>
    </w:p>
    <w:p w14:paraId="782D974B" w14:textId="77777777" w:rsidR="009C1161" w:rsidRDefault="003B1183">
      <w:pPr>
        <w:rPr>
          <w:lang w:val="pt-BR"/>
        </w:rPr>
      </w:pPr>
      <w:r>
        <w:rPr>
          <w:lang w:val="pt-BR"/>
        </w:rPr>
        <w:t xml:space="preserve">A comparação entre formulações obedece à regra da seção 3.1.9.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4.1.3) e, por isso, foi abandonada: o menor RMSE não é critério de validade física.</w:t>
      </w:r>
    </w:p>
    <w:p w14:paraId="0812233E" w14:textId="77777777" w:rsidR="009C1161" w:rsidRDefault="003B1183">
      <w:pPr>
        <w:pStyle w:val="Ttulo2"/>
        <w:rPr>
          <w:lang w:val="pt-BR"/>
        </w:rPr>
      </w:pPr>
      <w:r>
        <w:rPr>
          <w:lang w:val="pt-BR"/>
        </w:rPr>
        <w:t>4.1.5 Qualidade do ajuste à curva da patente</w:t>
      </w:r>
    </w:p>
    <w:p w14:paraId="57A8ACB1" w14:textId="77777777" w:rsidR="00244E34" w:rsidRDefault="003B1183" w:rsidP="00E2321D">
      <w:pPr>
        <w:jc w:val="center"/>
        <w:rPr>
          <w:noProof/>
          <w:lang w:val="pt-BR"/>
        </w:rPr>
      </w:pPr>
      <w:r>
        <w:rPr>
          <w:lang w:val="pt-BR"/>
        </w:rPr>
        <w:t>A Figura 6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6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4.1.9).</w:t>
      </w:r>
    </w:p>
    <w:p w14:paraId="276675D0" w14:textId="77777777" w:rsidR="009C1161" w:rsidRDefault="003B1183">
      <w:pPr>
        <w:pStyle w:val="Ttulo2"/>
        <w:rPr>
          <w:lang w:val="pt-BR"/>
        </w:rPr>
      </w:pPr>
      <w:r>
        <w:rPr>
          <w:lang w:val="pt-BR"/>
        </w:rPr>
        <w:t>4.1.6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3.1.5.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4.1.8).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4.1.7 Varredura paramétrica de h com K congelado</w:t>
      </w:r>
    </w:p>
    <w:p w14:paraId="7DA42DE0" w14:textId="77777777" w:rsidR="009C1161" w:rsidRDefault="003B1183">
      <w:pPr>
        <w:rPr>
          <w:lang w:val="pt-BR"/>
        </w:rPr>
      </w:pPr>
      <w:r>
        <w:rPr>
          <w:lang w:val="pt-BR"/>
        </w:rPr>
        <w:t xml:space="preserve">A Figura 7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7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8 apresenta o RMSE em função de h.</w:t>
      </w:r>
    </w:p>
    <w:p w14:paraId="7976DECD" w14:textId="77777777" w:rsidR="009C1161" w:rsidRDefault="003B1183">
      <w:pPr>
        <w:keepNext/>
        <w:spacing w:before="120" w:after="60"/>
        <w:rPr>
          <w:lang w:val="pt-BR"/>
        </w:rPr>
      </w:pPr>
      <w:r>
        <w:rPr>
          <w:b/>
          <w:lang w:val="pt-BR"/>
        </w:rPr>
        <w:lastRenderedPageBreak/>
        <w:t>Figura 8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4.1.8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4.1.6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9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9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4.1.9 Limitações dos resultados</w:t>
      </w:r>
    </w:p>
    <w:p w14:paraId="3E503245" w14:textId="77777777" w:rsidR="009C1161" w:rsidRDefault="003B1183">
      <w:pPr>
        <w:rPr>
          <w:lang w:val="pt-BR"/>
        </w:rPr>
      </w:pPr>
      <w:r>
        <w:rPr>
          <w:lang w:val="pt-BR"/>
        </w:rPr>
        <w:t>Além das limitações de escopo da seção 3.1.13,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4.2 Exoesqueleto 2: elástico com alavanca e elemento de encosto</w:t>
      </w:r>
    </w:p>
    <w:p>
      <w:pPr>
        <w:rPr>
          <w:lang w:val="pt-BR"/>
        </w:rPr>
      </w:pPr>
      <w:r>
        <w:rPr>
          <w:lang w:val="pt-BR"/>
        </w:rPr>
        <w:t xml:space="preserve">Esta seção apresenta os resultados das etapas das seções 3.2.1 a 3.2.11, aplicadas ao dispositivo da EP 3 504 033 B1. Salvo indicação em contrário, os números foram obtidos com a geometria do CAD, e</w:t>
      </w:r>
      <w:r>
        <w:rPr>
          <w:vertAlign w:val="subscript"/>
          <w:lang w:val="pt-BR"/>
        </w:rPr>
        <w:t xml:space="preserve">c</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3.2.12 não foram executadas.</w:t>
      </w:r>
    </w:p>
    <w:p>
      <w:pPr>
        <w:pStyle w:val="Ttulo2"/>
        <w:rPr>
          <w:lang w:val="pt-BR"/>
        </w:rPr>
      </w:pPr>
      <w:r>
        <w:rPr>
          <w:lang w:val="pt-BR"/>
        </w:rPr>
        <w:t xml:space="preserve">4.2.1 Geometria reconstruída e propriedades de massa</w:t>
      </w:r>
    </w:p>
    <w:p>
      <w:pPr>
        <w:rPr>
          <w:lang w:val="pt-BR"/>
        </w:rPr>
      </w:pPr>
      <w:r>
        <w:rPr>
          <w:lang w:val="pt-BR"/>
        </w:rPr>
        <w:t xml:space="preserve">A Tabela 14 reúne as grandezas medidas no modelo em CAD e as que delas derivam, com a origem de cada uma (seção 3.2.1).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 = 90° − γ</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4.2.8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w:t>
            </w:r>
            <w:r>
              <w:rPr>
                <w:vertAlign w:val="subscript"/>
                <w:lang w:val="pt-BR"/>
              </w:rPr>
              <w:t xml:space="preserve">c</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c,pose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s</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Comprimento do segmento OP</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Direção de OP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146,147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q</w:t>
            </w:r>
            <w:r>
              <w:rPr>
                <w:vertAlign w:val="subscript"/>
                <w:lang w:val="pt-BR"/>
              </w:rPr>
              <w:t xml:space="preserve">c,pose</w:t>
            </w:r>
            <w:r>
              <w:rPr>
                <w:lang w:val="pt-BR"/>
              </w:rPr>
              <w:t xml:space="preserve"> + ε</w:t>
            </w:r>
          </w:p>
        </w:tc>
      </w:tr>
      <w:tr>
        <w:trPr>
          <w:cantSplit/>
          <w:jc w:val="center"/>
        </w:trPr>
        <w:tc>
          <w:tcPr>
            <w:tcW w:w="3560" w:type="dxa"/>
            <w:vAlign w:val="center"/>
          </w:tcPr>
          <w:p>
            <w:pPr>
              <w:keepNext/>
              <w:spacing w:before="20" w:after="20" w:line="240" w:lineRule="auto"/>
              <w:rPr>
                <w:lang w:val="pt-BR"/>
              </w:rPr>
            </w:pPr>
            <w:r>
              <w:rPr>
                <w:lang w:val="pt-BR"/>
              </w:rPr>
              <w:t xml:space="preserve">Defasagem entre a direção de p e q</w:t>
            </w:r>
          </w:p>
        </w:tc>
        <w:tc>
          <w:tcPr>
            <w:tcW w:w="1200" w:type="dxa"/>
            <w:vAlign w:val="center"/>
          </w:tcPr>
          <w:p>
            <w:pPr>
              <w:keepNext/>
              <w:spacing w:before="20" w:after="20" w:line="240" w:lineRule="auto"/>
              <w:jc w:val="center"/>
              <w:rPr>
                <w:lang w:val="pt-BR"/>
              </w:rPr>
            </w:pPr>
            <w:r>
              <w:rPr>
                <w:lang w:val="pt-BR"/>
              </w:rPr>
              <w:t xml:space="preserve">φ</w:t>
            </w:r>
          </w:p>
        </w:tc>
        <w:tc>
          <w:tcPr>
            <w:tcW w:w="1000" w:type="dxa"/>
            <w:vAlign w:val="center"/>
          </w:tcPr>
          <w:p>
            <w:pPr>
              <w:keepNext/>
              <w:spacing w:before="20" w:after="20" w:line="240" w:lineRule="auto"/>
              <w:jc w:val="center"/>
              <w:rPr>
                <w:lang w:val="pt-BR"/>
              </w:rPr>
            </w:pPr>
            <w:r>
              <w:rPr>
                <w:lang w:val="pt-BR"/>
              </w:rPr>
              <w:t xml:space="preserve">131,790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(33)</w:t>
            </w:r>
          </w:p>
        </w:tc>
      </w:tr>
      <w:tr>
        <w:trPr>
          <w:cantSplit/>
          <w:jc w:val="center"/>
        </w:trPr>
        <w:tc>
          <w:tcPr>
            <w:tcW w:w="3560" w:type="dxa"/>
            <w:vAlign w:val="center"/>
          </w:tcPr>
          <w:p>
            <w:pPr>
              <w:keepNext/>
              <w:spacing w:before="20" w:after="20" w:line="240" w:lineRule="auto"/>
              <w:rPr>
                <w:lang w:val="pt-BR"/>
              </w:rPr>
            </w:pPr>
            <w:r>
              <w:rPr>
                <w:lang w:val="pt-BR"/>
              </w:rPr>
              <w:t xml:space="preserve">Defasagem entre q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−25,891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(31)</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x</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3.2.3). O valor de e</w:t>
      </w:r>
      <w:r>
        <w:rPr>
          <w:sz w:val="20"/>
          <w:szCs w:val="20"/>
          <w:vertAlign w:val="subscript"/>
          <w:lang w:val="pt-BR"/>
        </w:rPr>
        <w:t xml:space="preserve">c</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3.1.4); a coincidência deve ser conferida no modelo em CAD.</w:t>
      </w:r>
    </w:p>
    <w:p>
      <w:pPr>
        <w:rPr>
          <w:lang w:val="pt-BR"/>
        </w:rPr>
      </w:pPr>
      <w:r>
        <w:rPr>
          <w:lang w:val="pt-BR"/>
        </w:rPr>
        <w:t xml:space="preserve">Na pose do CAD, o modelo situa P em (−38,090; 25,551) mm e o centro do elemento 78 em (1,071; −7,680) mm, e calcula s = 359,7679 mm, que difere do comprimento medido s</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2"/>
        <w:rPr>
          <w:lang w:val="pt-BR"/>
        </w:rPr>
      </w:pPr>
      <w:r>
        <w:rPr>
          <w:lang w:val="pt-BR"/>
        </w:rPr>
        <w:t xml:space="preserve">4.2.2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3.2.9).</w:t>
      </w:r>
    </w:p>
    <w:p>
      <w:pPr>
        <w:pStyle w:val="Ttulo2"/>
        <w:rPr>
          <w:lang w:val="pt-BR"/>
        </w:rPr>
      </w:pPr>
      <w:r>
        <w:rPr>
          <w:lang w:val="pt-BR"/>
        </w:rPr>
        <w:t xml:space="preserve">4.2.3 Verificação da cadeia de cálculo</w:t>
      </w:r>
    </w:p>
    <w:p>
      <w:pPr>
        <w:rPr>
          <w:lang w:val="pt-BR"/>
        </w:rPr>
      </w:pPr>
      <w:r>
        <w:rPr>
          <w:lang w:val="pt-BR"/>
        </w:rP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(35)</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x constante em q, Equação (37)</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(44)</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(44)</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s no contato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 = 0: q* numérico contra a Equação (45)</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 = 0: s = |r</w:t>
            </w:r>
            <w:r>
              <w:rPr>
                <w:vertAlign w:val="subscript"/>
                <w:lang w:val="pt-BR"/>
              </w:rPr>
              <w:t xml:space="preserve">AO</w:t>
            </w:r>
            <w:r>
              <w:rPr>
                <w:lang w:val="pt-BR"/>
              </w:rPr>
              <w:t xml:space="preserve">| + </w:t>
            </w:r>
            <w:r>
              <w:rPr>
                <w:i/>
                <w:lang w:val="pt-BR"/>
              </w:rPr>
              <w:t xml:space="preserve">e</w:t>
            </w:r>
            <w:r>
              <w:rPr>
                <w:lang w:val="pt-BR"/>
              </w:rPr>
              <w:t xml:space="preserve">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w:t>
            </w:r>
            <w:r>
              <w:rPr>
                <w:vertAlign w:val="subscript"/>
                <w:lang w:val="pt-BR"/>
              </w:rPr>
              <w:t xml:space="preserve">c</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q,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4.2.4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(49).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s(0°)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s do CAD em 1,12 mm RMS e no máximo 2,31 mm entre 35° e 155°: a variação de s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s(180°)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10: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5" name="Imagem 1005"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À esquerda, razão de cada curva dividida pela extensão do elástico, em função da anteversão, com as três curvas sobrepostas; à direita, fator comum lido na figura e forma prevista pelo model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4.2.5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10(b)).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3.2.9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4.1: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4.2.4,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11: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6" name="Imagem 1006"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6"/>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4.2.6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r>
              <w:rPr>
                <w:lang w:val="pt-BR"/>
              </w:rPr>
              <w:t xml:space="preserv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4.2.8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 φ</w:t>
            </w:r>
          </w:p>
        </w:tc>
        <w:tc>
          <w:tcPr>
            <w:tcW w:w="1500" w:type="dxa"/>
            <w:vAlign w:val="center"/>
          </w:tcPr>
          <w:p>
            <w:pPr>
              <w:keepNext/>
              <w:spacing w:before="20" w:after="20" w:line="240" w:lineRule="auto"/>
              <w:jc w:val="center"/>
              <w:rPr>
                <w:lang w:val="pt-BR"/>
              </w:rPr>
            </w:pPr>
            <w:r>
              <w:rPr>
                <w:lang w:val="pt-BR"/>
              </w:rPr>
              <w:t xml:space="preserve">7,754 mm; 131,790°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−25,891°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4.2.7 Comportamento do elástico e do mecanismo</w:t>
      </w:r>
    </w:p>
    <w:p>
      <w:pPr>
        <w:rPr>
          <w:lang w:val="pt-BR"/>
        </w:rPr>
      </w:pPr>
      <w:r>
        <w:rPr>
          <w:lang w:val="pt-BR"/>
        </w:rPr>
        <w:t xml:space="preserve">Na faixa de 0° a 180° de anteversão, q varia de 64,109° a 244,109°,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keepNext/>
        <w:spacing w:before="120" w:after="60"/>
        <w:rPr>
          <w:lang w:val="pt-BR"/>
        </w:rPr>
      </w:pPr>
      <w:r>
        <w:rPr>
          <w:b/>
          <w:lang w:val="pt-BR"/>
        </w:rPr>
        <w:t xml:space="preserve">Tabela 22: Grandezas do circuito em ângulos representativos (e</w:t>
      </w:r>
      <w:r>
        <w:rPr>
          <w:b/>
          <w:vertAlign w:val="subscript"/>
          <w:lang w:val="pt-BR"/>
        </w:rPr>
        <w:t xml:space="preserve">c</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s (mm)</w:t>
            </w:r>
          </w:p>
        </w:tc>
        <w:tc>
          <w:tcPr>
            <w:tcW w:w="1300" w:type="dxa"/>
            <w:shd w:val="clear" w:color="auto" w:fill="F2F2F2"/>
            <w:vAlign w:val="center"/>
          </w:tcPr>
          <w:p>
            <w:pPr>
              <w:keepNext/>
              <w:spacing w:before="20" w:after="20" w:line="240" w:lineRule="auto"/>
              <w:jc w:val="center"/>
              <w:rPr>
                <w:lang w:val="pt-BR"/>
              </w:rPr>
            </w:pPr>
            <w:r>
              <w:rPr>
                <w:b/>
                <w:lang w:val="pt-BR"/>
              </w:rPr>
              <w:t xml:space="preserve">ψ (°)</w:t>
            </w:r>
          </w:p>
        </w:tc>
        <w:tc>
          <w:tcPr>
            <w:tcW w:w="1700" w:type="dxa"/>
            <w:shd w:val="clear" w:color="auto" w:fill="F2F2F2"/>
            <w:vAlign w:val="center"/>
          </w:tcPr>
          <w:p>
            <w:pPr>
              <w:keepNext/>
              <w:spacing w:before="20" w:after="20" w:line="240" w:lineRule="auto"/>
              <w:jc w:val="center"/>
              <w:rPr>
                <w:lang w:val="pt-BR"/>
              </w:rPr>
            </w:pPr>
            <w:r>
              <w:rPr>
                <w:b/>
                <w:lang w:val="pt-BR"/>
              </w:rPr>
              <w:t xml:space="preserve">s − x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64,109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83,203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146,147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244,109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4.2.8 Varredura paramétrica do trecho e</w:t>
      </w:r>
      <w:r>
        <w:rPr>
          <w:vertAlign w:val="subscript"/>
          <w:lang w:val="pt-BR"/>
        </w:rPr>
        <w:t xml:space="preserve">c</w:t>
      </w:r>
      <w:r>
        <w:rPr>
          <w:lang w:val="pt-BR"/>
        </w:rPr>
        <w:t xml:space="preserve"> da alavanca</w:t>
      </w:r>
    </w:p>
    <w:p>
      <w:pPr>
        <w:rPr>
          <w:lang w:val="pt-BR"/>
        </w:rPr>
      </w:pPr>
      <w:r>
        <w:rPr>
          <w:lang w:val="pt-BR"/>
        </w:rPr>
        <w:t xml:space="preserve">Dos três critérios de validade física da seção 3.1.10, adaptados ao mecanismo, o fechamento dos dois regimes (s &gt; 0 e s − x &gt; 0) e o trabalho virtual foram atendidos em todos os valores de e</w:t>
      </w:r>
      <w:r>
        <w:rPr>
          <w:vertAlign w:val="subscript"/>
          <w:lang w:val="pt-BR"/>
        </w:rPr>
        <w:t xml:space="preserve">c</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e</w:t>
      </w:r>
      <w:r>
        <w:rPr>
          <w:vertAlign w:val="subscript"/>
          <w:lang w:val="pt-BR"/>
        </w:rPr>
        <w:t xml:space="preserve">c</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e</w:t>
      </w:r>
      <w:r>
        <w:rPr>
          <w:vertAlign w:val="subscript"/>
          <w:lang w:val="pt-BR"/>
        </w:rPr>
        <w:t xml:space="preserve">c</w:t>
      </w:r>
      <w:r>
        <w:rPr>
          <w:lang w:val="pt-BR"/>
        </w:rPr>
        <w:t xml:space="preserve"> = 45 mm, frouxa de 177,72° a 180°. A transição de regime desloca-se de θ</w:t>
      </w:r>
      <w:r>
        <w:rPr>
          <w:vertAlign w:val="subscript"/>
          <w:lang w:val="pt-BR"/>
        </w:rPr>
        <w:t xml:space="preserve">el</w:t>
      </w:r>
      <w:r>
        <w:rPr>
          <w:lang w:val="pt-BR"/>
        </w:rPr>
        <w:t xml:space="preserve"> = 26,91° (e</w:t>
      </w:r>
      <w:r>
        <w:rPr>
          <w:vertAlign w:val="subscript"/>
          <w:lang w:val="pt-BR"/>
        </w:rPr>
        <w:t xml:space="preserve">c</w:t>
      </w:r>
      <w:r>
        <w:rPr>
          <w:lang w:val="pt-BR"/>
        </w:rPr>
        <w:t xml:space="preserve"> = 20 mm) para 14,46° (e</w:t>
      </w:r>
      <w:r>
        <w:rPr>
          <w:vertAlign w:val="subscript"/>
          <w:lang w:val="pt-BR"/>
        </w:rPr>
        <w:t xml:space="preserve">c</w:t>
      </w:r>
      <w:r>
        <w:rPr>
          <w:lang w:val="pt-BR"/>
        </w:rPr>
        <w:t xml:space="preserve"> = 50 mm). A Tabela 23 e a Figura 12 mostram a família de curvas para cinco valores de e</w:t>
      </w:r>
      <w:r>
        <w:rPr>
          <w:vertAlign w:val="subscript"/>
          <w:lang w:val="pt-BR"/>
        </w:rPr>
        <w:t xml:space="preserve">c</w:t>
      </w:r>
      <w:r>
        <w:rPr>
          <w:lang w:val="pt-BR"/>
        </w:rPr>
        <w:t xml:space="preserve">.</w:t>
      </w:r>
    </w:p>
    <w:p>
      <w:pPr>
        <w:keepNext/>
        <w:spacing w:before="120" w:after="60"/>
        <w:rPr>
          <w:lang w:val="pt-BR"/>
        </w:rPr>
      </w:pPr>
      <w:r>
        <w:rPr>
          <w:b/>
          <w:lang w:val="pt-BR"/>
        </w:rPr>
        <w:t xml:space="preserve">Tabela 23: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w:t>
            </w:r>
            <w:r>
              <w:rPr>
                <w:b/>
                <w:vertAlign w:val="subscript"/>
                <w:lang w:val="pt-BR"/>
              </w:rPr>
              <w:t xml:space="preserve">c</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x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e</w:t>
      </w:r>
      <w:r>
        <w:rPr>
          <w:vertAlign w:val="subscript"/>
          <w:lang w:val="pt-BR"/>
        </w:rPr>
        <w:t xml:space="preserve">c</w:t>
      </w:r>
      <w:r>
        <w:rPr>
          <w:lang w:val="pt-BR"/>
        </w:rPr>
        <w:t xml:space="preserve"> se cruzam, o torque aumenta com e</w:t>
      </w:r>
      <w:r>
        <w:rPr>
          <w:vertAlign w:val="subscript"/>
          <w:lang w:val="pt-BR"/>
        </w:rPr>
        <w:t xml:space="preserve">c</w:t>
      </w:r>
      <w:r>
        <w:rPr>
          <w:lang w:val="pt-BR"/>
        </w:rPr>
        <w:t xml:space="preserve">; acima desse ângulo, diminui. Com o aumento de e</w:t>
      </w:r>
      <w:r>
        <w:rPr>
          <w:vertAlign w:val="subscript"/>
          <w:lang w:val="pt-BR"/>
        </w:rPr>
        <w:t xml:space="preserve">c</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e</w:t>
      </w:r>
      <w:r>
        <w:rPr>
          <w:vertAlign w:val="subscript"/>
          <w:lang w:val="pt-BR"/>
        </w:rPr>
        <w:t xml:space="preserve">c</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12: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7" name="Imagem 1007"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Cinco curvas para o trecho e de 25 a 45 mm em função da anteversão: à esquerda, torque por unidade de rigidez; à direita, razão entre o torque do elástico e o do peso."/>
                    <pic:cNvPicPr/>
                  </pic:nvPicPr>
                  <pic:blipFill>
                    <a:blip r:embed="rIdExo2F7"/>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4.2.9 Confronto com o torque gravitacional</w:t>
      </w:r>
    </w:p>
    <w:p>
      <w:pPr>
        <w:rPr>
          <w:lang w:val="pt-BR"/>
        </w:rPr>
      </w:pPr>
      <w:r>
        <w:rPr>
          <w:lang w:val="pt-BR"/>
        </w:rPr>
        <w:t xml:space="preserve">A forma do torque do elástico pode ser comparada à do peso sem depender de K, normalizando cada curva pelo próprio pico (Figura 13).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13: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8" name="Imagem 1008"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Torque do elástico e torque do peso normalizados, de 0 a 180 graus, com a faixa correspondente aos valores de s0 obtidos nas faixas de ângulo testadas."/>
                    <pic:cNvPicPr/>
                  </pic:nvPicPr>
                  <pic:blipFill>
                    <a:blip r:embed="rIdExo2F8"/>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14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4.2.7.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s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234,109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3.2.9);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14: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9" name="Imagem 1009"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Torque do elástico no cenário de projeto, torque do peso e 40 por cento do torque do peso em função da anteversão, com a razão entre eles indicada em 30, 60, 90, 120 e 150 graus."/>
                    <pic:cNvPicPr/>
                  </pic:nvPicPr>
                  <pic:blipFill>
                    <a:blip r:embed="rIdExo2F9"/>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4.1.8,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4.2.5), a leitura vale para o modelo.</w:t>
      </w:r>
    </w:p>
    <w:p>
      <w:pPr>
        <w:pStyle w:val="Ttulo2"/>
        <w:rPr>
          <w:lang w:val="pt-BR"/>
        </w:rPr>
      </w:pPr>
      <w:r>
        <w:rPr>
          <w:lang w:val="pt-BR"/>
        </w:rPr>
        <w:t xml:space="preserve">4.2.10 Limitações dos resultados</w:t>
      </w:r>
    </w:p>
    <w:p>
      <w:pPr>
        <w:rPr>
          <w:lang w:val="pt-BR"/>
        </w:rPr>
      </w:pPr>
      <w:r>
        <w:rPr>
          <w:lang w:val="pt-BR"/>
        </w:rP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4.1.1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q</w:t>
            </w:r>
            <w:r>
              <w:rPr>
                <w:vertAlign w:val="subscript"/>
                <w:lang w:val="pt-BR"/>
              </w:rPr>
              <w:t xml:space="preserve">0</w:t>
            </w:r>
            <w:r>
              <w:rPr>
                <w:lang w:val="pt-BR"/>
              </w:rPr>
              <w:t xml:space="preserve">, o contato,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3.2.3 e 4.2.4)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3.2.3)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e</w:t>
            </w:r>
            <w:r>
              <w:rPr>
                <w:vertAlign w:val="subscript"/>
                <w:lang w:val="pt-BR"/>
              </w:rPr>
              <w:t xml:space="preserve">c</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e</w:t>
            </w:r>
            <w:r>
              <w:rPr>
                <w:vertAlign w:val="subscript"/>
                <w:lang w:val="pt-BR"/>
              </w:rPr>
              <w:t xml:space="preserve">c</w:t>
            </w:r>
          </w:p>
        </w:tc>
        <w:tc>
          <w:tcPr>
            <w:tcW w:w="3480" w:type="dxa"/>
            <w:vAlign w:val="center"/>
          </w:tcPr>
          <w:p>
            <w:pPr>
              <w:keepNext/>
              <w:spacing w:before="20" w:after="20" w:line="240" w:lineRule="auto"/>
              <w:rPr>
                <w:lang w:val="pt-BR"/>
              </w:rPr>
            </w:pPr>
            <w:r>
              <w:rPr>
                <w:lang w:val="pt-BR"/>
              </w:rPr>
              <w:t xml:space="preserve">Conferir e</w:t>
            </w:r>
            <w:r>
              <w:rPr>
                <w:vertAlign w:val="subscript"/>
                <w:lang w:val="pt-BR"/>
              </w:rPr>
              <w:t xml:space="preserve">c</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w:t>
            </w:r>
            <w:r>
              <w:rPr>
                <w:vertAlign w:val="subscript"/>
                <w:lang w:val="pt-BR"/>
              </w:rPr>
              <w:t xml:space="preserve">c</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4.2.11 Comparação com o exoesqueleto 1</w:t>
      </w:r>
    </w:p>
    <w:p>
      <w:pPr>
        <w:rPr>
          <w:lang w:val="pt-BR"/>
        </w:rPr>
      </w:pPr>
      <w:r>
        <w:rPr>
          <w:lang w:val="pt-BR"/>
        </w:rP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4.1)</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4.2)</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4.1 e 4.2.</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5.1 trata do gerador de torque da US 9.889.554 B2, e a seção 5.2, do dispositivo da EP 3 504 033 B1.</w:t>
      </w:r>
    </w:p>
    <w:p>
      <w:pPr>
        <w:pStyle w:val="Ttulo2"/>
        <w:rPr>
          <w:lang w:val="pt-BR"/>
        </w:rPr>
      </w:pPr>
      <w:r>
        <w:rPr>
          <w:lang w:val="pt-BR"/>
        </w:rPr>
        <w:t xml:space="preserve">5.1 Exoesqueleto 1: gerador de torque de mola, cabo e polia</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5.2.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3.2, 4.2 e 5.2.</w:t>
      </w:r>
    </w:p>
    <w:p>
      <w:pPr>
        <w:pStyle w:val="Ttulo2"/>
        <w:rPr>
          <w:lang w:val="pt-BR"/>
        </w:rPr>
      </w:pPr>
      <w:r>
        <w:rPr>
          <w:lang w:val="pt-BR"/>
        </w:rPr>
        <w:t xml:space="preserve">5.2 Exoesqueleto 2: elástico com alavanca e elemento de encosto</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e</w:t>
      </w:r>
      <w:r>
        <w:rPr>
          <w:vertAlign w:val="subscript"/>
          <w:lang w:val="pt-BR"/>
        </w:rPr>
        <w:t xml:space="preserve">c</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e</w:t>
      </w:r>
      <w:r>
        <w:rPr>
          <w:vertAlign w:val="subscript"/>
          <w:lang w:val="pt-BR"/>
        </w:rPr>
        <w:t xml:space="preserve">c</w:t>
      </w:r>
      <w:r>
        <w:rPr>
          <w:lang w:val="pt-BR"/>
        </w:rPr>
        <w:t xml:space="preserve"> mostrou que o elástico permanece tracionado em toda a faixa só para e</w:t>
      </w:r>
      <w:r>
        <w:rPr>
          <w:vertAlign w:val="subscript"/>
          <w:lang w:val="pt-BR"/>
        </w:rPr>
        <w:t xml:space="preserve">c</w:t>
      </w:r>
      <w:r>
        <w:rPr>
          <w:lang w:val="pt-BR"/>
        </w:rPr>
        <w:t xml:space="preserve"> ≤ 44,50 mm; o aumento de e</w:t>
      </w:r>
      <w:r>
        <w:rPr>
          <w:vertAlign w:val="subscript"/>
          <w:lang w:val="pt-BR"/>
        </w:rPr>
        <w:t xml:space="preserve">c</w:t>
      </w:r>
      <w:r>
        <w:rPr>
          <w:lang w:val="pt-BR"/>
        </w:rPr>
        <w:t xml:space="preserve"> antecipa a transição de regime, de 26,91° para 14,46°, e desloca o pico do torque de 84,7° para 74,8° entre e</w:t>
      </w:r>
      <w:r>
        <w:rPr>
          <w:vertAlign w:val="subscript"/>
          <w:lang w:val="pt-BR"/>
        </w:rPr>
        <w:t xml:space="preserve">c</w:t>
      </w:r>
      <w:r>
        <w:rPr>
          <w:lang w:val="pt-BR"/>
        </w:rPr>
        <w:t xml:space="preserve"> = 25 mm e e</w:t>
      </w:r>
      <w:r>
        <w:rPr>
          <w:vertAlign w:val="subscript"/>
          <w:lang w:val="pt-BR"/>
        </w:rPr>
        <w:t xml:space="preserve">c</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e</w:t>
      </w:r>
      <w:r>
        <w:rPr>
          <w:vertAlign w:val="subscript"/>
          <w:lang w:val="pt-BR"/>
        </w:rPr>
        <w:t xml:space="preserve">c</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F8" Type="http://schemas.openxmlformats.org/officeDocument/2006/relationships/image" Target="media/exo2_8.png"/><Relationship Id="rIdExo2F9" Type="http://schemas.openxmlformats.org/officeDocument/2006/relationships/image" Target="media/exo2_9.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