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é problema clássico da síntese de mecanismos. </w:t>
      </w:r>
      <w:proofErr w:type="spellStart"/>
      <w:r>
        <w:rPr>
          <w:lang w:val="pt-BR"/>
        </w:rPr>
        <w:t>Arakelian</w:t>
      </w:r>
      <w:proofErr w:type="spellEnd"/>
      <w:r>
        <w:rPr>
          <w:lang w:val="pt-BR"/>
        </w:rPr>
        <w:t xml:space="preserve"> (2016) sistematiza as soluções em três grupos, conforme a natureza da força compensadora: contrapesos, molas ou força ativa de um atuador auxiliar. Nguyen (2026) atualiza o panorama das alternativas estritamente passivas e de seus limites de aplicação. Em exoesqueletos vestíveis, o contrapeso é inviável, e predomina a solução elástica, frequentemente associada a cabos, polias ou cames que moldam a curva de torque.</w:t>
      </w:r>
    </w:p>
    <w:p w14:paraId="14A2EBB8" w14:textId="77777777" w:rsidR="00FD1B34" w:rsidRPr="00955B75" w:rsidRDefault="003B1183">
      <w:pPr>
        <w:rPr>
          <w:lang w:val="pt-BR"/>
        </w:rPr>
      </w:pPr>
      <w:r>
        <w:rPr>
          <w:lang w:val="pt-BR"/>
        </w:rPr>
        <w:t>A patente US 9.889.554 B2 (VAN ENGELHOVEN; KAZEROONI, 2018)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junto à junta restringe o gerador de força, o torque cai a um valor residual e o braço recupera a liberdade de movimento.</w:t>
      </w:r>
    </w:p>
    <w:p>
      <w:pPr>
        <w:rPr>
          <w:lang w:val="pt-BR"/>
        </w:rPr>
      </w:pPr>
      <w:r>
        <w:rPr>
          <w:lang w:val="pt-BR"/>
        </w:rPr>
        <w:t xml:space="preserve">A patente EP 3 504 033 B1 (OTTOBOCK, 2023)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(OTTOBOCK, 2023).</w:t>
      </w:r>
    </w:p>
    <w:p w14:paraId="4939AF5C" w14:textId="77777777" w:rsidR="00FD1B34" w:rsidRPr="00955B75" w:rsidRDefault="003B1183">
      <w:pPr>
        <w:rPr>
          <w:lang w:val="pt-BR"/>
        </w:rPr>
      </w:pPr>
      <w:r>
        <w:rPr>
          <w:lang w:val="pt-BR"/>
        </w:rPr>
        <w:t>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(OKABE; BRITTES; BRITO, 2026).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3B.9.</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3B.3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3B.9.</w:t>
      </w:r>
    </w:p>
    <w:p>
      <w:pPr>
        <w:pStyle w:val="Ttulo2"/>
        <w:rPr>
          <w:lang w:val="pt-BR"/>
        </w:rPr>
      </w:pPr>
      <w:r>
        <w:rPr>
          <w:lang w:val="pt-BR"/>
        </w:rPr>
        <w:t xml:space="preserve">3A EXOESQUELETO 1: US 9.889.554 B2</w:t>
      </w:r>
    </w:p>
    <w:p w14:paraId="78597467" w14:textId="77777777" w:rsidR="009C1161" w:rsidRDefault="003B1183">
      <w:pPr>
        <w:pStyle w:val="Ttulo2"/>
        <w:rPr>
          <w:lang w:val="pt-BR"/>
        </w:rPr>
      </w:pPr>
      <w:r>
        <w:rPr>
          <w:lang w:val="pt-BR"/>
        </w:rPr>
        <w:t>3A.1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3A.2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14:paraId="276BE8C8" w14:textId="77777777" w:rsidR="009C1161" w:rsidRDefault="003B1183">
      <w:pPr>
        <w:pStyle w:val="Ttulo2"/>
        <w:rPr>
          <w:lang w:val="pt-BR"/>
        </w:rPr>
      </w:pPr>
      <w:r>
        <w:rPr>
          <w:lang w:val="pt-BR"/>
        </w:rPr>
        <w:t>3A.3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3A.9).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3A.4).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3A.4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3A.9).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14:paraId="142F19B8" w14:textId="77777777" w:rsidR="009C1161" w:rsidRDefault="003B1183">
      <w:pPr>
        <w:pStyle w:val="Ttulo2"/>
        <w:rPr>
          <w:lang w:val="pt-BR"/>
        </w:rPr>
      </w:pPr>
      <w:r>
        <w:rPr>
          <w:lang w:val="pt-BR"/>
        </w:rPr>
        <w:t>3A.5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3A.7) e é limitado pelo comprimento |B| = |OA|, teto que decorre do traçado do cabo, e não do ajuste.</w:t>
      </w:r>
    </w:p>
    <w:p w14:paraId="7C11C200" w14:textId="77777777" w:rsidR="009C1161" w:rsidRDefault="003B1183">
      <w:pPr>
        <w:pStyle w:val="Ttulo2"/>
        <w:rPr>
          <w:lang w:val="pt-BR"/>
        </w:rPr>
      </w:pPr>
      <w:r>
        <w:rPr>
          <w:lang w:val="pt-BR"/>
        </w:rPr>
        <w:t>3A.6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3A.11) e permite discriminar entre formulações do caminho do cabo: com o caminho igual apenas ao vão livre, ela não é satisfeita (seção 4A.3).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4A.6).</w:t>
      </w:r>
    </w:p>
    <w:p w14:paraId="4D4F73AB" w14:textId="77777777" w:rsidR="009C1161" w:rsidRDefault="003B1183">
      <w:pPr>
        <w:pStyle w:val="Ttulo2"/>
        <w:rPr>
          <w:lang w:val="pt-BR"/>
        </w:rPr>
      </w:pPr>
      <w:r>
        <w:rPr>
          <w:lang w:val="pt-BR"/>
        </w:rPr>
        <w:t>3A.7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3A.8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4A.8).</w:t>
      </w:r>
    </w:p>
    <w:p w14:paraId="527401B1" w14:textId="77777777" w:rsidR="009C1161" w:rsidRDefault="003B1183">
      <w:pPr>
        <w:pStyle w:val="Ttulo2"/>
        <w:rPr>
          <w:lang w:val="pt-BR"/>
        </w:rPr>
      </w:pPr>
      <w:r>
        <w:rPr>
          <w:lang w:val="pt-BR"/>
        </w:rPr>
        <w:t>3A.9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3A.10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3A.11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3A.12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3A.13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3B EXOESQUELETO 2: EP 3 504 033 B1</w:t>
      </w:r>
    </w:p>
    <w:p>
      <w:pPr>
        <w:rPr>
          <w:lang w:val="pt-BR"/>
        </w:rPr>
      </w:pPr>
      <w:r>
        <w:rPr>
          <w:lang w:val="pt-BR"/>
        </w:rPr>
        <w:t xml:space="preserve">As seções 3B.1 a 3B.13 aplicam à EP 3 504 033 B1 (OTTOBOCK, 2023) o procedimento das seções 3A.1 a 3A.13, que foi executado para o gerador de torque da US 9.889.554 B2, com a mesma numeração: a seção 3B.k corresponde à seção 3A.k.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w:t>
      </w:r>
    </w:p>
    <w:p>
      <w:pPr>
        <w:rPr>
          <w:lang w:val="pt-BR"/>
        </w:rPr>
      </w:pPr>
      <w:r>
        <w:rPr>
          <w:lang w:val="pt-BR"/>
        </w:rP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Figuras 1, 16, 17, 18, 22 e 24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4B.1)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4B</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4A</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3B.1 Reconstrução geométrica em CAD</w:t>
      </w:r>
    </w:p>
    <w:p>
      <w:pPr>
        <w:rPr>
          <w:lang w:val="pt-BR"/>
        </w:rPr>
      </w:pPr>
      <w:r>
        <w:rPr>
          <w:lang w:val="pt-BR"/>
        </w:rP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pPr>
        <w:rPr>
          <w:lang w:val="pt-BR"/>
        </w:rPr>
      </w:pPr>
      <w:r>
        <w:rPr>
          <w:lang w:val="pt-BR"/>
        </w:rP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3B.4 a 3B.7, de mesma numeração.</w:t>
      </w:r>
    </w:p>
    <w:p>
      <w:pPr>
        <w:rPr>
          <w:lang w:val="pt-BR"/>
        </w:rPr>
      </w:pPr>
      <w:r>
        <w:rPr>
          <w:lang w:val="pt-BR"/>
        </w:rPr>
        <w:t xml:space="preserve">O dispositivo admite abdução, adução e movimentos do tronco. O modelo é plano, restrito ao plano sagital, e representa somente a anteversão, que é o movimento das Figuras 16 e 17 da patente.</w:t>
      </w:r>
    </w:p>
    <w:p>
      <w:pPr>
        <w:rPr>
          <w:lang w:val="pt-BR"/>
        </w:rPr>
      </w:pPr>
      <w:r>
        <w:rPr>
          <w:lang w:val="pt-BR"/>
        </w:rP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3A.1, e não como dimensões do dispositivo comercial.</w:t>
      </w:r>
    </w:p>
    <w:p>
      <w:pPr>
        <w:pStyle w:val="Ttulo2"/>
        <w:rPr>
          <w:lang w:val="pt-BR"/>
        </w:rPr>
      </w:pPr>
      <w:r>
        <w:rPr>
          <w:lang w:val="pt-BR"/>
        </w:rPr>
        <w:t xml:space="preserve">3B.2 Parâmetros inerciais do membro e transporte ao eixo da articulação 20</w:t>
      </w:r>
    </w:p>
    <w:p>
      <w:pPr>
        <w:rPr>
          <w:lang w:val="pt-BR"/>
        </w:rPr>
      </w:pPr>
      <w:r>
        <w:rPr>
          <w:lang w:val="pt-BR"/>
        </w:rPr>
        <w:t xml:space="preserve">O membro humano segue de Leva (1996),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4B.1, reúne os resultados, que coincidem com os da planilha do autor.</w:t>
      </w:r>
    </w:p>
    <w:p>
      <w:pPr>
        <w:pStyle w:val="Ttulo2"/>
        <w:rPr>
          <w:lang w:val="pt-BR"/>
        </w:rPr>
      </w:pPr>
      <w:r>
        <w:rPr>
          <w:lang w:val="pt-BR"/>
        </w:rPr>
        <w:t xml:space="preserve">3B.3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pela própria patente.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A alavanca é representada pelo segmento OP, de comprimento </w:t>
      </w:r>
      <w:r>
        <w:rPr>
          <w:i/>
          <w:lang w:val="pt-BR"/>
        </w:rPr>
        <w:t xml:space="preserve">e</w:t>
      </w:r>
      <w:r>
        <w:rPr>
          <w:lang w:val="pt-BR"/>
        </w:rPr>
        <w:t xml:space="preserve"> e direção q (seção 3B.4); o ângulo q,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q</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q</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q</m:t>
                    </m:r>
                  </m:e>
                  <m:sub>
                    <m:r>
                      <m:t>0</m:t>
                    </m:r>
                  </m:sub>
                </m:sSub>
                <m:r>
                  <m:rPr>
                    <m:sty m:val="p"/>
                  </m:rPr>
                  <m:t>=</m:t>
                </m:r>
                <m:sSub>
                  <m:e>
                    <m:r>
                      <m:t>q</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q</w:t>
      </w:r>
      <w:r>
        <w:rPr>
          <w:vertAlign w:val="subscript"/>
          <w:lang w:val="pt-BR"/>
        </w:rPr>
        <w:t xml:space="preserve">pose</w:t>
      </w:r>
      <w:r>
        <w:rPr>
          <w:lang w:val="pt-BR"/>
        </w:rPr>
        <w:t xml:space="preserve"> é a direção de OP na pose do CAD e θ</w:t>
      </w:r>
      <w:r>
        <w:rPr>
          <w:vertAlign w:val="subscript"/>
          <w:lang w:val="pt-BR"/>
        </w:rPr>
        <w:t xml:space="preserve">b,pose</w:t>
      </w:r>
      <w:r>
        <w:rPr>
          <w:lang w:val="pt-BR"/>
        </w:rPr>
        <w:t xml:space="preserve"> o ângulo do braço com a horizontal nessa pose, positivo acima. A Tabela 3 resume as convenções e indica o nome de cada grandeza no código e sua correspondência com a seção 3A. Os símbolos desta parte seguem a formulação do autor para este mecanismo; s, ψ e φ têm, na seção 3A, outro significado.</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3A</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p>
        </w:tc>
        <w:tc>
          <w:tcPr>
            <w:tcW w:w="2260" w:type="dxa"/>
            <w:vAlign w:val="center"/>
          </w:tcPr>
          <w:p>
            <w:pPr>
              <w:keepNext/>
              <w:spacing w:before="20" w:after="20" w:line="240" w:lineRule="auto"/>
              <w:rPr>
                <w:lang w:val="pt-BR"/>
              </w:rPr>
            </w:pPr>
            <w:r>
              <w:rPr>
                <w:lang w:val="pt-BR"/>
              </w:rPr>
              <w:t xml:space="preserve">Direção do segmento OP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 + angulo_OP</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q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 + angulo_OP</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p>
        </w:tc>
        <w:tc>
          <w:tcPr>
            <w:tcW w:w="2260" w:type="dxa"/>
            <w:vAlign w:val="center"/>
          </w:tcPr>
          <w:p>
            <w:pPr>
              <w:keepNext/>
              <w:spacing w:before="20" w:after="20" w:line="240" w:lineRule="auto"/>
              <w:rPr>
                <w:lang w:val="pt-BR"/>
              </w:rPr>
            </w:pPr>
            <w:r>
              <w:rPr>
                <w:lang w:val="pt-BR"/>
              </w:rPr>
              <w:t xml:space="preserve">Valor de q no contato do elástico com o elemento 78</w:t>
            </w:r>
          </w:p>
        </w:tc>
        <w:tc>
          <w:tcPr>
            <w:tcW w:w="1900" w:type="dxa"/>
            <w:vAlign w:val="center"/>
          </w:tcPr>
          <w:p>
            <w:pPr>
              <w:keepNext/>
              <w:spacing w:before="20" w:after="20" w:line="240" w:lineRule="auto"/>
              <w:rPr>
                <w:lang w:val="pt-BR"/>
              </w:rPr>
            </w:pPr>
            <w:r>
              <w:rPr>
                <w:lang w:val="pt-BR"/>
              </w:rPr>
              <w:t xml:space="preserve">Seção 3B.5</w:t>
            </w:r>
          </w:p>
        </w:tc>
        <w:tc>
          <w:tcPr>
            <w:tcW w:w="1400" w:type="dxa"/>
            <w:vAlign w:val="center"/>
          </w:tcPr>
          <w:p>
            <w:pPr>
              <w:keepNext/>
              <w:spacing w:before="20" w:after="20" w:line="240" w:lineRule="auto"/>
              <w:jc w:val="center"/>
              <w:rPr>
                <w:lang w:val="pt-BR"/>
              </w:rPr>
            </w:pPr>
            <w:r>
              <w:rPr>
                <w:lang w:val="pt-BR"/>
              </w:rPr>
              <w:t xml:space="preserve">q_estrela</w:t>
            </w:r>
          </w:p>
        </w:tc>
        <w:tc>
          <w:tcPr>
            <w:tcW w:w="2700" w:type="dxa"/>
            <w:vAlign w:val="center"/>
          </w:tcPr>
          <w:p>
            <w:pPr>
              <w:keepNext/>
              <w:spacing w:before="20" w:after="20" w:line="240" w:lineRule="auto"/>
              <w:rPr>
                <w:lang w:val="pt-BR"/>
              </w:rPr>
            </w:pPr>
            <w:r>
              <w:rPr>
                <w:lang w:val="pt-BR"/>
              </w:rPr>
              <w:t xml:space="preserve">Sem correspondente</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Defasagem constante entre a direção de p e q</w:t>
            </w:r>
          </w:p>
        </w:tc>
        <w:tc>
          <w:tcPr>
            <w:tcW w:w="1900" w:type="dxa"/>
            <w:vAlign w:val="center"/>
          </w:tcPr>
          <w:p>
            <w:pPr>
              <w:keepNext/>
              <w:spacing w:before="20" w:after="20" w:line="240" w:lineRule="auto"/>
              <w:rPr>
                <w:lang w:val="pt-BR"/>
              </w:rPr>
            </w:pPr>
            <w:r>
              <w:rPr>
                <w:lang w:val="pt-BR"/>
              </w:rPr>
              <w:t xml:space="preserve">Equação (33)</w:t>
            </w:r>
          </w:p>
        </w:tc>
        <w:tc>
          <w:tcPr>
            <w:tcW w:w="1400" w:type="dxa"/>
            <w:vAlign w:val="center"/>
          </w:tcPr>
          <w:p>
            <w:pPr>
              <w:keepNext/>
              <w:spacing w:before="20" w:after="20" w:line="240" w:lineRule="auto"/>
              <w:jc w:val="center"/>
              <w:rPr>
                <w:lang w:val="pt-BR"/>
              </w:rPr>
            </w:pPr>
            <w:r>
              <w:rPr>
                <w:lang w:val="pt-BR"/>
              </w:rPr>
              <w:t xml:space="preserve">phi − angulo_OP</w:t>
            </w:r>
          </w:p>
        </w:tc>
        <w:tc>
          <w:tcPr>
            <w:tcW w:w="2700" w:type="dxa"/>
            <w:vAlign w:val="center"/>
          </w:tcPr>
          <w:p>
            <w:pPr>
              <w:keepNext/>
              <w:spacing w:before="20" w:after="20" w:line="240" w:lineRule="auto"/>
              <w:rPr>
                <w:lang w:val="pt-BR"/>
              </w:rPr>
            </w:pPr>
            <w:r>
              <w:rPr>
                <w:lang w:val="pt-BR"/>
              </w:rPr>
              <w:t xml:space="preserve">Na seção 3A, φ é a direção do cabo</w:t>
            </w:r>
          </w:p>
        </w:tc>
      </w:tr>
      <w:tr>
        <w:trPr>
          <w:cantSplit/>
          <w:jc w:val="center"/>
        </w:trPr>
        <w:tc>
          <w:tcPr>
            <w:tcW w:w="1100" w:type="dxa"/>
            <w:vAlign w:val="center"/>
          </w:tcPr>
          <w:p>
            <w:pPr>
              <w:keepNext/>
              <w:spacing w:before="20" w:after="20" w:line="240" w:lineRule="auto"/>
              <w:jc w:val="center"/>
              <w:rPr>
                <w:lang w:val="pt-BR"/>
              </w:rPr>
            </w:pPr>
            <w:r>
              <w:rPr>
                <w:lang w:val="pt-BR"/>
              </w:rPr>
              <w:t xml:space="preserve">ψ</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(38) e (39)</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Papel de φ, Equação (8); na seção 3A, ψ é o ângulo entre o cabo e o elo</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(38) e (39)</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Papel de ℓ, Equação (16); na seção 3A, s é o vão livre do cabo</w:t>
            </w:r>
          </w:p>
        </w:tc>
      </w:tr>
      <w:tr>
        <w:trPr>
          <w:cantSplit/>
          <w:jc w:val="center"/>
        </w:trPr>
        <w:tc>
          <w:tcPr>
            <w:tcW w:w="1100" w:type="dxa"/>
            <w:vAlign w:val="center"/>
          </w:tcPr>
          <w:p>
            <w:pPr>
              <w:keepNext/>
              <w:spacing w:before="20" w:after="20" w:line="240" w:lineRule="auto"/>
              <w:jc w:val="center"/>
              <w:rPr>
                <w:lang w:val="pt-BR"/>
              </w:rPr>
            </w:pPr>
            <w:r>
              <w:rPr>
                <w:lang w:val="pt-BR"/>
              </w:rPr>
              <w:t xml:space="preserve">x</w:t>
            </w:r>
          </w:p>
        </w:tc>
        <w:tc>
          <w:tcPr>
            <w:tcW w:w="2260" w:type="dxa"/>
            <w:vAlign w:val="center"/>
          </w:tcPr>
          <w:p>
            <w:pPr>
              <w:keepNext/>
              <w:spacing w:before="20" w:after="20" w:line="240" w:lineRule="auto"/>
              <w:rPr>
                <w:lang w:val="pt-BR"/>
              </w:rPr>
            </w:pPr>
            <w:r>
              <w:rPr>
                <w:lang w:val="pt-BR"/>
              </w:rPr>
              <w:t xml:space="preserve">Comprimento do trecho do elástico entre o elemento 78 e P</w:t>
            </w:r>
          </w:p>
        </w:tc>
        <w:tc>
          <w:tcPr>
            <w:tcW w:w="1900" w:type="dxa"/>
            <w:vAlign w:val="center"/>
          </w:tcPr>
          <w:p>
            <w:pPr>
              <w:keepNext/>
              <w:spacing w:before="20" w:after="20" w:line="240" w:lineRule="auto"/>
              <w:rPr>
                <w:lang w:val="pt-BR"/>
              </w:rPr>
            </w:pPr>
            <w:r>
              <w:rPr>
                <w:lang w:val="pt-BR"/>
              </w:rPr>
              <w:t xml:space="preserve">Equação (37)</w:t>
            </w:r>
          </w:p>
        </w:tc>
        <w:tc>
          <w:tcPr>
            <w:tcW w:w="1400" w:type="dxa"/>
            <w:vAlign w:val="center"/>
          </w:tcPr>
          <w:p>
            <w:pPr>
              <w:keepNext/>
              <w:spacing w:before="20" w:after="20" w:line="240" w:lineRule="auto"/>
              <w:jc w:val="center"/>
              <w:rPr>
                <w:lang w:val="pt-BR"/>
              </w:rPr>
            </w:pPr>
            <w:r>
              <w:rPr>
                <w:lang w:val="pt-BR"/>
              </w:rPr>
              <w:t xml:space="preserve">calculate_d</w:t>
            </w:r>
          </w:p>
        </w:tc>
        <w:tc>
          <w:tcPr>
            <w:tcW w:w="2700" w:type="dxa"/>
            <w:vAlign w:val="center"/>
          </w:tcPr>
          <w:p>
            <w:pPr>
              <w:keepNext/>
              <w:spacing w:before="20" w:after="20" w:line="240" w:lineRule="auto"/>
              <w:rPr>
                <w:lang w:val="pt-BR"/>
              </w:rPr>
            </w:pPr>
            <w:r>
              <w:rPr>
                <w:lang w:val="pt-BR"/>
              </w:rPr>
              <w:t xml:space="preserve">Sem correspondente</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s em que o elástico atinge o comprimento livre</w:t>
            </w:r>
          </w:p>
        </w:tc>
        <w:tc>
          <w:tcPr>
            <w:tcW w:w="1900" w:type="dxa"/>
            <w:vAlign w:val="center"/>
          </w:tcPr>
          <w:p>
            <w:pPr>
              <w:keepNext/>
              <w:spacing w:before="20" w:after="20" w:line="240" w:lineRule="auto"/>
              <w:rPr>
                <w:lang w:val="pt-BR"/>
              </w:rPr>
            </w:pPr>
            <w:r>
              <w:rPr>
                <w:lang w:val="pt-BR"/>
              </w:rPr>
              <w:t xml:space="preserve">Seção 3B.6</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(41)</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(43)</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(46)</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q</w:t>
      </w:r>
      <w:r>
        <w:rPr>
          <w:vertAlign w:val="subscript"/>
          <w:lang w:val="pt-BR"/>
        </w:rPr>
        <w:t xml:space="preserve">0</w:t>
      </w:r>
      <w:r>
        <w:rPr>
          <w:lang w:val="pt-BR"/>
        </w:rPr>
        <w:t xml:space="preserve"> passa a −41,815° e θ</w:t>
      </w:r>
      <w:r>
        <w:rPr>
          <w:vertAlign w:val="subscript"/>
          <w:lang w:val="pt-BR"/>
        </w:rPr>
        <w:t xml:space="preserve">el,pose</w:t>
      </w:r>
      <w:r>
        <w:rPr>
          <w:lang w:val="pt-BR"/>
        </w:rPr>
        <w:t xml:space="preserve"> a 97,962°, e o contato da seção 3B.5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4B.4, e os resultados da seção 4B dependem da confirmação desse sinal.</w:t>
      </w:r>
    </w:p>
    <w:p>
      <w:pPr>
        <w:pStyle w:val="Ttulo2"/>
        <w:rPr>
          <w:lang w:val="pt-BR"/>
        </w:rPr>
      </w:pPr>
      <w:r>
        <w:rPr>
          <w:lang w:val="pt-BR"/>
        </w:rPr>
        <w:t xml:space="preserve">3B.4 Equação de fechamento do circuito vetorial</w:t>
      </w:r>
    </w:p>
    <w:p>
      <w:pPr>
        <w:rPr>
          <w:lang w:val="pt-BR"/>
        </w:rPr>
      </w:pPr>
      <w:r>
        <w:rPr>
          <w:lang w:val="pt-BR"/>
        </w:rPr>
        <w:t xml:space="preserve">A ancoragem A do elástico fica na barra 18, e o ponto P, na extremidade da alavanca solidária ao braço (Figura 2). No modelo em CAD, a alavanca tem um cotovelo: um trecho e</w:t>
      </w:r>
      <w:r>
        <w:rPr>
          <w:vertAlign w:val="subscript"/>
          <w:lang w:val="pt-BR"/>
        </w:rPr>
        <w:t xml:space="preserve">c</w:t>
      </w:r>
      <w:r>
        <w:rPr>
          <w:lang w:val="pt-BR"/>
        </w:rPr>
        <w:t xml:space="preserve"> a partir de O e um trecho C</w:t>
      </w:r>
      <w:r>
        <w:rPr>
          <w:vertAlign w:val="subscript"/>
          <w:lang w:val="pt-BR"/>
        </w:rPr>
        <w:t xml:space="preserve">3</w:t>
      </w:r>
      <w:r>
        <w:rPr>
          <w:lang w:val="pt-BR"/>
        </w:rPr>
        <w:t xml:space="preserve"> girado de β</w:t>
      </w:r>
      <w:r>
        <w:rPr>
          <w:vertAlign w:val="subscript"/>
          <w:lang w:val="pt-BR"/>
        </w:rPr>
        <w:t xml:space="preserve">c</w:t>
      </w:r>
      <w:r>
        <w:rPr>
          <w:lang w:val="pt-BR"/>
        </w:rPr>
        <w:t xml:space="preserve">. Como os dois giram juntos com o braço, a alavanca é representada pelo segmento OP, de comprimento </w:t>
      </w:r>
      <w:r>
        <w:rPr>
          <w:i/>
          <w:lang w:val="pt-BR"/>
        </w:rPr>
        <w:t xml:space="preserve">e</w:t>
      </w:r>
      <w:r>
        <w:rPr>
          <w:lang w:val="pt-BR"/>
        </w:rPr>
        <w:t xml:space="preserve">, que forma com o trecho e</w:t>
      </w:r>
      <w:r>
        <w:rPr>
          <w:vertAlign w:val="subscript"/>
          <w:lang w:val="pt-BR"/>
        </w:rPr>
        <w:t xml:space="preserve">c</w:t>
      </w:r>
      <w:r>
        <w:rPr>
          <w:lang w:val="pt-BR"/>
        </w:rPr>
        <w:t xml:space="preserve"> o ângulo fixo ε:</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e</m:t>
                </m:r>
                <m:r>
                  <m:rPr>
                    <m:sty m:val="p"/>
                  </m:rPr>
                  <m:t>=</m:t>
                </m:r>
                <m:d>
                  <m:dPr>
                    <m:begChr m:val="|"/>
                    <m:sepChr m:val=""/>
                    <m:endChr m:val="|"/>
                    <m:grow/>
                  </m:dPr>
                  <m:e>
                    <m:sSub>
                      <m:e>
                        <m:r>
                          <m:t>e</m:t>
                        </m:r>
                      </m:e>
                      <m:sub>
                        <m:r>
                          <m:t>c</m:t>
                        </m:r>
                      </m:sub>
                    </m:sSub>
                    <m:r>
                      <m:rPr>
                        <m:sty m:val="p"/>
                      </m:rPr>
                      <m:t>+</m:t>
                    </m:r>
                    <m:sSub>
                      <m:e>
                        <m:r>
                          <m:t>C</m:t>
                        </m:r>
                      </m:e>
                      <m:sub>
                        <m:r>
                          <m:t>3</m:t>
                        </m:r>
                      </m:sub>
                    </m:sSub>
                    <m:r>
                      <m:t> </m:t>
                    </m:r>
                    <m:r>
                      <m:rPr>
                        <m:sty m:val="b"/>
                      </m:rPr>
                      <m:t>u</m:t>
                    </m:r>
                    <m:d>
                      <m:dPr>
                        <m:begChr m:val="("/>
                        <m:sepChr m:val=""/>
                        <m:endChr m:val=")"/>
                        <m:grow/>
                      </m:dPr>
                      <m:e>
                        <m:sSub>
                          <m:e>
                            <m:r>
                              <m:t>β</m:t>
                            </m:r>
                          </m:e>
                          <m:sub>
                            <m:r>
                              <m:t>c</m:t>
                            </m:r>
                          </m:sub>
                        </m:sSub>
                      </m:e>
                    </m:d>
                  </m:e>
                </m:d>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sSub>
                          <m:e>
                            <m:r>
                              <m:t>e</m:t>
                            </m:r>
                          </m:e>
                          <m:sub>
                            <m:r>
                              <m:t>c</m:t>
                            </m:r>
                          </m:sub>
                        </m:sSub>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(30)</w:t>
            </w:r>
          </w:p>
        </w:tc>
      </w:tr>
    </w:tbl>
    <w:p>
      <w:pPr>
        <w:rPr>
          <w:lang w:val="pt-BR"/>
        </w:rPr>
      </w:pPr>
      <w:r>
        <w:rPr>
          <w:lang w:val="pt-BR"/>
        </w:rPr>
        <w:t xml:space="preserve">Com e</w:t>
      </w:r>
      <w:r>
        <w:rPr>
          <w:vertAlign w:val="subscript"/>
          <w:lang w:val="pt-BR"/>
        </w:rPr>
        <w:t xml:space="preserve">c</w:t>
      </w:r>
      <w:r>
        <w:rPr>
          <w:lang w:val="pt-BR"/>
        </w:rPr>
        <w:t xml:space="preserve"> = 34,785 mm, C</w:t>
      </w:r>
      <w:r>
        <w:rPr>
          <w:vertAlign w:val="subscript"/>
          <w:lang w:val="pt-BR"/>
        </w:rPr>
        <w:t xml:space="preserve">3</w:t>
      </w:r>
      <w:r>
        <w:rPr>
          <w:lang w:val="pt-BR"/>
        </w:rPr>
        <w:t xml:space="preserve"> = 14,907 mm e β</w:t>
      </w:r>
      <w:r>
        <w:rPr>
          <w:vertAlign w:val="subscript"/>
          <w:lang w:val="pt-BR"/>
        </w:rPr>
        <w:t xml:space="preserve">c</w:t>
      </w:r>
      <w:r>
        <w:rPr>
          <w:lang w:val="pt-BR"/>
        </w:rPr>
        <w:t xml:space="preserve"> = −49,647°, medidos no CAD, resulta </w:t>
      </w:r>
      <w:r>
        <w:rPr>
          <w:i/>
          <w:lang w:val="pt-BR"/>
        </w:rPr>
        <w:t xml:space="preserve">e</w:t>
      </w:r>
      <w:r>
        <w:rPr>
          <w:lang w:val="pt-BR"/>
        </w:rPr>
        <w:t xml:space="preserve"> = 45,866 mm e ε = −14,340°. O vetor fixo de A a O, a posição de P e a do centro do elemento 78, na extremidade do vetor p,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 </m:t>
                </m:r>
                <m:r>
                  <m:t>α</m:t>
                </m:r>
                <m:r>
                  <m:rPr>
                    <m:sty m:val="p"/>
                  </m:rPr>
                  <m:t>=</m:t>
                </m:r>
                <m:sSup>
                  <m:e>
                    <m:r>
                      <m:t>90</m:t>
                    </m:r>
                  </m:e>
                  <m:sup>
                    <m:r>
                      <m:rPr>
                        <m:sty m:val="p"/>
                      </m:rPr>
                      <m:t>∘</m:t>
                    </m:r>
                  </m:sup>
                </m:sSup>
                <m:r>
                  <m:rPr>
                    <m:sty m:val="p"/>
                  </m:rPr>
                  <m:t>−</m:t>
                </m:r>
                <m:r>
                  <m:t>γ</m:t>
                </m:r>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q</m:t>
                    </m:r>
                  </m:e>
                </m:d>
                <m:r>
                  <m:rPr>
                    <m:sty m:val="p"/>
                  </m:rPr>
                  <m:t>,</m:t>
                </m:r>
                <m:r>
                  <m:t> </m:t>
                </m:r>
                <m:sSub>
                  <m:e>
                    <m:r>
                      <m:rPr>
                        <m:sty m:val="b"/>
                      </m:rPr>
                      <m:t>C</m:t>
                    </m:r>
                  </m:e>
                  <m:sub>
                    <m:r>
                      <m:t>78</m:t>
                    </m:r>
                  </m:sub>
                </m:sSub>
                <m:r>
                  <m:rPr>
                    <m:sty m:val="p"/>
                  </m:rPr>
                  <m:t>=</m:t>
                </m:r>
                <m:r>
                  <m:t>p</m:t>
                </m:r>
                <m:r>
                  <m:t> </m:t>
                </m:r>
                <m:r>
                  <m:rPr>
                    <m:sty m:val="b"/>
                  </m:rPr>
                  <m:t>u</m:t>
                </m:r>
                <m:d>
                  <m:dPr>
                    <m:begChr m:val="("/>
                    <m:sepChr m:val=""/>
                    <m:endChr m:val=")"/>
                    <m:grow/>
                  </m:dPr>
                  <m:e>
                    <m:r>
                      <m:t>q</m:t>
                    </m:r>
                    <m:r>
                      <m:rPr>
                        <m:sty m:val="p"/>
                      </m:rPr>
                      <m:t>+</m:t>
                    </m:r>
                    <m:r>
                      <m:t>φ</m:t>
                    </m:r>
                  </m:e>
                </m:d>
              </m:oMath>
            </m:oMathPara>
          </w:p>
        </w:tc>
        <w:tc>
          <w:tcPr>
            <w:tcW w:w="900" w:type="dxa"/>
            <w:vAlign w:val="center"/>
          </w:tcPr>
          <w:p>
            <w:pPr>
              <w:spacing w:before="60" w:after="60"/>
              <w:jc w:val="right"/>
              <w:rPr>
                <w:lang w:val="pt-BR"/>
              </w:rPr>
            </w:pPr>
            <w:r>
              <w:rPr>
                <w:lang w:val="pt-BR"/>
              </w:rPr>
              <w:t>(32)</w:t>
            </w:r>
          </w:p>
        </w:tc>
      </w:tr>
      <w:tr>
        <w:trPr>
          <w:cantSplit/>
          <w:jc w:val="center"/>
        </w:trPr>
        <w:tc>
          <w:tcPr>
            <w:tcW w:w="8460" w:type="dxa"/>
            <w:vAlign w:val="center"/>
          </w:tcPr>
          <w:p>
            <w:pPr>
              <w:spacing w:before="60" w:after="60"/>
              <w:jc w:val="center"/>
              <w:rPr>
                <w:lang w:val="pt-BR"/>
              </w:rPr>
            </w:pPr>
            <m:oMathPara>
              <m:oMathParaPr>
                <m:jc m:val="center"/>
              </m:oMathParaPr>
              <m:oMath>
                <m:r>
                  <m:t>φ</m:t>
                </m:r>
                <m:r>
                  <m:rPr>
                    <m:sty m:val="p"/>
                  </m:rPr>
                  <m:t>=</m:t>
                </m:r>
                <m:sSub>
                  <m:e>
                    <m:r>
                      <m:t>q</m:t>
                    </m:r>
                  </m:e>
                  <m:sub>
                    <m:r>
                      <m:t>78</m:t>
                    </m:r>
                    <m:r>
                      <m:rPr>
                        <m:sty m:val="p"/>
                      </m:rPr>
                      <m:t>,</m:t>
                    </m:r>
                    <m:r>
                      <m:rPr>
                        <m:sty m:val="p"/>
                      </m:rPr>
                      <m:t>p</m:t>
                    </m:r>
                    <m:r>
                      <m:rPr>
                        <m:sty m:val="p"/>
                      </m:rPr>
                      <m:t>o</m:t>
                    </m:r>
                    <m:r>
                      <m:rPr>
                        <m:sty m:val="p"/>
                      </m:rPr>
                      <m:t>s</m:t>
                    </m:r>
                    <m:r>
                      <m:rPr>
                        <m:sty m:val="p"/>
                      </m:rPr>
                      <m:t>e</m:t>
                    </m:r>
                  </m:sub>
                </m:sSub>
                <m:r>
                  <m:rPr>
                    <m:sty m:val="p"/>
                  </m:rPr>
                  <m:t>−</m:t>
                </m:r>
                <m:sSub>
                  <m:e>
                    <m:r>
                      <m:t>q</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(33)</w:t>
            </w:r>
          </w:p>
        </w:tc>
      </w:tr>
    </w:tbl>
    <w:p>
      <w:pPr>
        <w:rPr>
          <w:lang w:val="pt-BR"/>
        </w:rPr>
      </w:pPr>
      <w:r>
        <w:rPr>
          <w:lang w:val="pt-BR"/>
        </w:rPr>
        <w:t xml:space="preserve">com A = −r</w:t>
      </w:r>
      <w:r>
        <w:rPr>
          <w:vertAlign w:val="subscript"/>
          <w:lang w:val="pt-BR"/>
        </w:rPr>
        <w:t xml:space="preserve">AO</w:t>
      </w:r>
      <w:r>
        <w:rPr>
          <w:lang w:val="pt-BR"/>
        </w:rPr>
        <w:t xml:space="preserve">. O elemento 78 é preso ao braço, e φ é a defasagem constante entre a direção de p e q, 131,790° na geometria do CAD. Para q &gt; q*, o elástico é retilíneo de A a P (regime I), e o circuito fechado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e</m:t>
                </m:r>
                <m:r>
                  <m:t> </m:t>
                </m:r>
                <m:r>
                  <m:rPr>
                    <m:sty m:val="b"/>
                  </m:rPr>
                  <m:t>u</m:t>
                </m:r>
                <m:d>
                  <m:dPr>
                    <m:begChr m:val="("/>
                    <m:sepChr m:val=""/>
                    <m:endChr m:val=")"/>
                    <m:grow/>
                  </m:dPr>
                  <m:e>
                    <m:r>
                      <m:t>q</m:t>
                    </m:r>
                  </m:e>
                </m:d>
                <m:r>
                  <m:rPr>
                    <m:sty m:val="p"/>
                  </m:rPr>
                  <m:t>−</m:t>
                </m:r>
                <m:r>
                  <m:t>s</m:t>
                </m:r>
                <m:r>
                  <m:t> </m:t>
                </m:r>
                <m:r>
                  <m:rPr>
                    <m:sty m:val="b"/>
                  </m:rPr>
                  <m:t>u</m:t>
                </m:r>
                <m:d>
                  <m:dPr>
                    <m:begChr m:val="("/>
                    <m:sepChr m:val=""/>
                    <m:endChr m:val=")"/>
                    <m:grow/>
                  </m:dPr>
                  <m:e>
                    <m:r>
                      <m:t>ψ</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Para q ≤ q*, o elástico encosta no elemento 78 e fica dividido nos trechos de A ao elemento 78 e do elemento 78 a P (regime II). O elemento 78 só entra no circuito a partir do contato, e há dois circuitos: o circuito fechado que passa pelo elemento 78 e o triângulo formado por </w:t>
      </w:r>
      <w:r>
        <w:rPr>
          <w:i/>
          <w:lang w:val="pt-BR"/>
        </w:rPr>
        <w:t xml:space="preserve">e</w:t>
      </w:r>
      <w:r>
        <w:rPr>
          <w:lang w:val="pt-BR"/>
        </w:rPr>
        <w:t xml:space="preserve">, p e x,</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p</m:t>
                </m:r>
                <m:r>
                  <m:t> </m:t>
                </m:r>
                <m:r>
                  <m:rPr>
                    <m:sty m:val="b"/>
                  </m:rPr>
                  <m:t>u</m:t>
                </m:r>
                <m:d>
                  <m:dPr>
                    <m:begChr m:val="("/>
                    <m:sepChr m:val=""/>
                    <m:endChr m:val=")"/>
                    <m:grow/>
                  </m:dPr>
                  <m:e>
                    <m:r>
                      <m:t>q</m:t>
                    </m:r>
                    <m:r>
                      <m:rPr>
                        <m:sty m:val="p"/>
                      </m:rPr>
                      <m:t>+</m:t>
                    </m:r>
                    <m:r>
                      <m:t>φ</m:t>
                    </m:r>
                  </m:e>
                </m:d>
                <m:r>
                  <m:rPr>
                    <m:sty m:val="p"/>
                  </m:rPr>
                  <m:t>−</m:t>
                </m:r>
                <m:d>
                  <m:dPr>
                    <m:begChr m:val="("/>
                    <m:sepChr m:val=""/>
                    <m:endChr m:val=")"/>
                    <m:grow/>
                  </m:dPr>
                  <m:e>
                    <m:r>
                      <m:t>s</m:t>
                    </m:r>
                    <m:r>
                      <m:rPr>
                        <m:sty m:val="p"/>
                      </m:rPr>
                      <m:t>−</m:t>
                    </m:r>
                    <m:r>
                      <m:t>x</m:t>
                    </m:r>
                  </m:e>
                </m:d>
                <m:r>
                  <m:rPr>
                    <m:sty m:val="b"/>
                  </m:rPr>
                  <m:t>u</m:t>
                </m:r>
                <m:d>
                  <m:dPr>
                    <m:begChr m:val="("/>
                    <m:sepChr m:val=""/>
                    <m:endChr m:val=")"/>
                    <m:grow/>
                  </m:dPr>
                  <m:e>
                    <m:r>
                      <m:t>ψ</m:t>
                    </m:r>
                  </m:e>
                </m:d>
                <m:r>
                  <m:rPr>
                    <m:sty m:val="p"/>
                  </m:rPr>
                  <m:t>=</m:t>
                </m:r>
                <m:r>
                  <m:rPr>
                    <m:sty m:val="b"/>
                  </m:rPr>
                  <m:t>0</m:t>
                </m:r>
              </m:oMath>
            </m:oMathPara>
          </w:p>
        </w:tc>
        <w:tc>
          <w:tcPr>
            <w:tcW w:w="900" w:type="dxa"/>
            <w:vAlign w:val="center"/>
          </w:tcPr>
          <w:p>
            <w:pPr>
              <w:spacing w:before="60" w:after="60"/>
              <w:jc w:val="right"/>
              <w:rPr>
                <w:lang w:val="pt-BR"/>
              </w:rPr>
            </w:pPr>
            <w:r>
              <w:rPr>
                <w:lang w:val="pt-BR"/>
              </w:rPr>
              <w:t>(35)</w:t>
            </w:r>
          </w:p>
        </w:tc>
      </w:tr>
      <w:tr>
        <w:trPr>
          <w:cantSplit/>
          <w:jc w:val="center"/>
        </w:trPr>
        <w:tc>
          <w:tcPr>
            <w:tcW w:w="8460" w:type="dxa"/>
            <w:vAlign w:val="center"/>
          </w:tcPr>
          <w:p>
            <w:pPr>
              <w:spacing w:before="60" w:after="60"/>
              <w:jc w:val="center"/>
              <w:rPr>
                <w:lang w:val="pt-BR"/>
              </w:rPr>
            </w:pPr>
            <m:oMathPara>
              <m:oMathParaPr>
                <m:jc m:val="center"/>
              </m:oMathParaPr>
              <m:oMath>
                <m:r>
                  <m:t>x</m:t>
                </m:r>
                <m:r>
                  <m:rPr>
                    <m:sty m:val="p"/>
                  </m:rPr>
                  <m:t>=</m:t>
                </m:r>
                <m:d>
                  <m:dPr>
                    <m:begChr m:val="|"/>
                    <m:sepChr m:val=""/>
                    <m:endChr m:val="|"/>
                    <m:grow/>
                  </m:dPr>
                  <m:e>
                    <m:r>
                      <m:t>e</m:t>
                    </m:r>
                    <m:r>
                      <m:t> </m:t>
                    </m:r>
                    <m:r>
                      <m:rPr>
                        <m:sty m:val="b"/>
                      </m:rPr>
                      <m:t>u</m:t>
                    </m:r>
                    <m:d>
                      <m:dPr>
                        <m:begChr m:val="("/>
                        <m:sepChr m:val=""/>
                        <m:endChr m:val=")"/>
                        <m:grow/>
                      </m:dPr>
                      <m:e>
                        <m:r>
                          <m:t>q</m:t>
                        </m:r>
                      </m:e>
                    </m:d>
                    <m:r>
                      <m:rPr>
                        <m:sty m:val="p"/>
                      </m:rPr>
                      <m:t>−</m:t>
                    </m:r>
                    <m:r>
                      <m:t>p</m:t>
                    </m:r>
                    <m:r>
                      <m:t> </m:t>
                    </m:r>
                    <m:r>
                      <m:rPr>
                        <m:sty m:val="b"/>
                      </m:rPr>
                      <m:t>u</m:t>
                    </m:r>
                    <m:d>
                      <m:dPr>
                        <m:begChr m:val="("/>
                        <m:sepChr m:val=""/>
                        <m:endChr m:val=")"/>
                        <m:grow/>
                      </m:dPr>
                      <m:e>
                        <m:r>
                          <m:t>q</m:t>
                        </m:r>
                        <m:r>
                          <m:rPr>
                            <m:sty m:val="p"/>
                          </m:rPr>
                          <m:t>+</m:t>
                        </m:r>
                        <m:r>
                          <m:t>φ</m:t>
                        </m:r>
                      </m:e>
                    </m:d>
                  </m:e>
                </m:d>
              </m:oMath>
            </m:oMathPara>
          </w:p>
        </w:tc>
        <w:tc>
          <w:tcPr>
            <w:tcW w:w="900" w:type="dxa"/>
            <w:vAlign w:val="center"/>
          </w:tcPr>
          <w:p>
            <w:pPr>
              <w:spacing w:before="60" w:after="60"/>
              <w:jc w:val="right"/>
              <w:rPr>
                <w:lang w:val="pt-BR"/>
              </w:rPr>
            </w:pPr>
            <w:r>
              <w:rPr>
                <w:lang w:val="pt-BR"/>
              </w:rPr>
              <w:t>(36)</w:t>
            </w:r>
          </w:p>
        </w:tc>
      </w:tr>
    </w:tbl>
    <w:p>
      <w:pPr>
        <w:rPr>
          <w:lang w:val="pt-BR"/>
        </w:rPr>
      </w:pPr>
      <w:r>
        <w:rPr>
          <w:lang w:val="pt-BR"/>
        </w:rPr>
        <w:t xml:space="preserve">em que s é o comprimento total do elástico entre A e P, ψ a direção do trecho ligado a A e x o comprimento do trecho entre o elemento 78 e P. No triângulo, </w:t>
      </w:r>
      <w:r>
        <w:rPr>
          <w:i/>
          <w:lang w:val="pt-BR"/>
        </w:rPr>
        <w:t xml:space="preserve">e</w:t>
      </w:r>
      <w:r>
        <w:rPr>
          <w:lang w:val="pt-BR"/>
        </w:rPr>
        <w:t xml:space="preserve"> e p são constantes e o ângulo entre eles é a defasagem φ, de modo que x não depende de q:</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x</m:t>
                </m:r>
                <m:r>
                  <m:rPr>
                    <m:sty m:val="p"/>
                  </m:rPr>
                  <m:t>=</m:t>
                </m:r>
                <m:rad>
                  <m:radPr>
                    <m:degHide m:val="on"/>
                  </m:radPr>
                  <m:deg/>
                  <m:e>
                    <m:sSup>
                      <m:e>
                        <m:r>
                          <m:t>e</m:t>
                        </m:r>
                      </m:e>
                      <m:sup>
                        <m:r>
                          <m:t>2</m:t>
                        </m:r>
                      </m:sup>
                    </m:sSup>
                    <m:r>
                      <m:rPr>
                        <m:sty m:val="p"/>
                      </m:rPr>
                      <m:t>+</m:t>
                    </m:r>
                    <m:sSup>
                      <m:e>
                        <m:r>
                          <m:t>p</m:t>
                        </m:r>
                      </m:e>
                      <m:sup>
                        <m:r>
                          <m:t>2</m:t>
                        </m:r>
                      </m:sup>
                    </m:sSup>
                    <m:r>
                      <m:rPr>
                        <m:sty m:val="p"/>
                      </m:rPr>
                      <m:t>−</m:t>
                    </m:r>
                    <m:r>
                      <m:t>2</m:t>
                    </m:r>
                    <m:r>
                      <m:t> </m:t>
                    </m:r>
                    <m:r>
                      <m:t>e</m:t>
                    </m:r>
                    <m:r>
                      <m:t> </m:t>
                    </m:r>
                    <m:r>
                      <m:t>p</m:t>
                    </m:r>
                    <m:r>
                      <m:rPr>
                        <m:sty m:val="p"/>
                      </m:rPr>
                      <m:t>cos</m:t>
                    </m:r>
                    <m:r>
                      <m:t>φ</m:t>
                    </m:r>
                  </m:e>
                </m:rad>
              </m:oMath>
            </m:oMathPara>
          </w:p>
        </w:tc>
        <w:tc>
          <w:tcPr>
            <w:tcW w:w="900" w:type="dxa"/>
            <w:vAlign w:val="center"/>
          </w:tcPr>
          <w:p>
            <w:pPr>
              <w:spacing w:before="60" w:after="60"/>
              <w:jc w:val="right"/>
              <w:rPr>
                <w:lang w:val="pt-BR"/>
              </w:rPr>
            </w:pPr>
            <w:r>
              <w:rPr>
                <w:lang w:val="pt-BR"/>
              </w:rPr>
              <w:t>(37)</w:t>
            </w:r>
          </w:p>
        </w:tc>
      </w:tr>
    </w:tbl>
    <w:p>
      <w:pPr>
        <w:rPr>
          <w:lang w:val="pt-BR"/>
        </w:rPr>
      </w:pPr>
      <w:r>
        <w:rPr>
          <w:lang w:val="pt-BR"/>
        </w:rPr>
        <w:t xml:space="preserve">Com as grandezas do CAD, x = 51,360 mm. Cada regime tem solução fechada, sem procedimento iterativo, porque o lado direito das relações abaixo, a primeira para o regime I e a segunda para o regime II, é conhecido para cada q:</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s</m:t>
                </m:r>
                <m:r>
                  <m:t> </m:t>
                </m:r>
                <m:r>
                  <m:rPr>
                    <m:sty m:val="b"/>
                  </m:rPr>
                  <m:t>u</m:t>
                </m:r>
                <m:d>
                  <m:dPr>
                    <m:begChr m:val="("/>
                    <m:sepChr m:val=""/>
                    <m:endChr m:val=")"/>
                    <m:grow/>
                  </m:dPr>
                  <m:e>
                    <m:r>
                      <m:t>ψ</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(38)</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t>s</m:t>
                    </m:r>
                    <m:r>
                      <m:rPr>
                        <m:sty m:val="p"/>
                      </m:rPr>
                      <m:t>−</m:t>
                    </m:r>
                    <m:r>
                      <m:t>x</m:t>
                    </m:r>
                  </m:e>
                </m:d>
                <m:r>
                  <m:rPr>
                    <m:sty m:val="b"/>
                  </m:rPr>
                  <m:t>u</m:t>
                </m:r>
                <m:d>
                  <m:dPr>
                    <m:begChr m:val="("/>
                    <m:sepChr m:val=""/>
                    <m:endChr m:val=")"/>
                    <m:grow/>
                  </m:dPr>
                  <m:e>
                    <m:r>
                      <m:t>ψ</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(39)</w:t>
            </w:r>
          </w:p>
        </w:tc>
      </w:tr>
    </w:tbl>
    <w:p>
      <w:pPr>
        <w:pStyle w:val="Ttulo2"/>
        <w:rPr>
          <w:lang w:val="pt-BR"/>
        </w:rPr>
      </w:pPr>
      <w:r>
        <w:rPr>
          <w:lang w:val="pt-BR"/>
        </w:rPr>
        <w:t xml:space="preserve">3B.5 Ponto de contato e troca de regime</w:t>
      </w:r>
    </w:p>
    <w:p>
      <w:pPr>
        <w:rPr>
          <w:lang w:val="pt-BR"/>
        </w:rPr>
      </w:pPr>
      <w:r>
        <w:rPr>
          <w:lang w:val="pt-BR"/>
        </w:rPr>
        <w:t xml:space="preserve">O contato não é imposto por um ângulo. Ele é detectado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O regime II ocorre quando κ ≥ 0, isto é, quando o elemento 78 ficaria do outro lado da reta de A a P se o elástico não o contornasse. O ângulo de contato q* é a raiz de κ, obtida por bissecção, com a condição de que o elemento 78 fique entre A e P. Para a geometria do CAD, q* = 83,203°, isto é, θ</w:t>
      </w:r>
      <w:r>
        <w:rPr>
          <w:vertAlign w:val="subscript"/>
          <w:lang w:val="pt-BR"/>
        </w:rPr>
        <w:t xml:space="preserve">el</w:t>
      </w:r>
      <w:r>
        <w:rPr>
          <w:lang w:val="pt-BR"/>
        </w:rPr>
        <w:t xml:space="preserve"> = 19,094°; nesse ponto, s = 387,222 mm e m = 5,163 mm nos dois regimes, porque A, o elemento 78 e P estão alinhados e o trecho x completa o comprimento.</w:t>
      </w:r>
    </w:p>
    <w:p>
      <w:pPr>
        <w:keepNext/>
        <w:spacing w:before="120" w:after="60"/>
        <w:rPr>
          <w:lang w:val="pt-BR"/>
        </w:rPr>
      </w:pPr>
      <w:r>
        <w:rPr>
          <w:b/>
          <w:lang w:val="pt-BR"/>
        </w:rPr>
        <w:t xml:space="preserve">Figura 2: Circuitos do mecanismo: regime I na pose do CAD (θ</w:t>
      </w:r>
      <w:r>
        <w:rPr>
          <w:b/>
          <w:vertAlign w:val="subscript"/>
          <w:lang w:val="pt-BR"/>
        </w:rPr>
        <w:t xml:space="preserve">el</w:t>
      </w:r>
      <w:r>
        <w:rPr>
          <w:b/>
          <w:lang w:val="pt-BR"/>
        </w:rPr>
        <w:t xml:space="preserve"> = 82,038°) e regime II em θ</w:t>
      </w:r>
      <w:r>
        <w:rPr>
          <w:b/>
          <w:vertAlign w:val="subscript"/>
          <w:lang w:val="pt-BR"/>
        </w:rPr>
        <w:t xml:space="preserve">el</w:t>
      </w:r>
      <w:r>
        <w:rPr>
          <w:b/>
          <w:lang w:val="pt-BR"/>
        </w:rPr>
        <w:t xml:space="preserve"> = 10°</w:t>
      </w:r>
    </w:p>
    <w:p>
      <w:pPr>
        <w:keepNext/>
        <w:spacing w:after="60"/>
        <w:jc w:val="center"/>
        <w:rPr>
          <w:lang w:val="pt-BR"/>
        </w:rPr>
      </w:pPr>
      <w:r>
        <w:rPr>
          <w:noProof/>
          <w:lang w:val="pt-BR"/>
        </w:rPr>
        <w:drawing>
          <wp:inline distT="0" distB="0" distL="0" distR="0">
            <wp:extent cx="5943600" cy="4992624"/>
            <wp:effectExtent l="0" t="0" r="0" b="0"/>
            <wp:docPr id="1001" name="Imagem 1001"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Circuitos do mecanismo da Ottobock. Acima, regime I na pose do CAD: vetores C1, C2, e e s fechando o circuito de A por O e P. Abaixo, regime II com o braço a 10 graus: circuito C1, C2, p e s menos x, e triângulo e, p, x. À direita, ampliação da região do pivô."/>
                    <pic:cNvPicPr/>
                  </pic:nvPicPr>
                  <pic:blipFill>
                    <a:blip r:embed="rIdExo2F1"/>
                    <a:stretch>
                      <a:fillRect/>
                    </a:stretch>
                  </pic:blipFill>
                  <pic:spPr>
                    <a:xfrm>
                      <a:off x="0" y="0"/>
                      <a:ext cx="5943600" cy="4992624"/>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A alavanca está representada pelo segmento OP, de comprimento </w:t>
      </w:r>
      <w:r>
        <w:rPr>
          <w:i/>
          <w:sz w:val="20"/>
          <w:szCs w:val="20"/>
          <w:lang w:val="pt-BR"/>
        </w:rPr>
        <w:t xml:space="preserve">e</w:t>
      </w:r>
      <w:r>
        <w:rPr>
          <w:sz w:val="20"/>
          <w:szCs w:val="20"/>
          <w:lang w:val="pt-BR"/>
        </w:rPr>
        <w:t xml:space="preserve">. Regime 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w:t>
      </w:r>
      <w:r>
        <w:rPr>
          <w:i/>
          <w:sz w:val="20"/>
          <w:szCs w:val="20"/>
          <w:lang w:val="pt-BR"/>
        </w:rPr>
        <w:t xml:space="preserve">e</w:t>
      </w:r>
      <w:r>
        <w:rPr>
          <w:sz w:val="20"/>
          <w:szCs w:val="20"/>
          <w:lang w:val="pt-BR"/>
        </w:rPr>
        <w:t xml:space="preserve"> e s. Regime II: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p e s − x, e triângulo </w:t>
      </w:r>
      <w:r>
        <w:rPr>
          <w:i/>
          <w:sz w:val="20"/>
          <w:szCs w:val="20"/>
          <w:lang w:val="pt-BR"/>
        </w:rPr>
        <w:t xml:space="preserve">e</w:t>
      </w:r>
      <w:r>
        <w:rPr>
          <w:sz w:val="20"/>
          <w:szCs w:val="20"/>
          <w:lang w:val="pt-BR"/>
        </w:rPr>
        <w:t xml:space="preserve">, p e x (</w:t>
      </w:r>
      <w:r>
        <w:rPr>
          <w:i/>
          <w:sz w:val="20"/>
          <w:szCs w:val="20"/>
          <w:lang w:val="pt-BR"/>
        </w:rPr>
        <w:t xml:space="preserve">e</w:t>
      </w:r>
      <w:r>
        <w:rPr>
          <w:sz w:val="20"/>
          <w:szCs w:val="20"/>
          <w:lang w:val="pt-BR"/>
        </w:rPr>
        <w:t xml:space="preserve"> tracejado); o elemento 78, na ponta de p, só entra depois do contato. As linhas pontilhadas indicam o eixo do braço.</w:t>
      </w:r>
    </w:p>
    <w:p>
      <w:pPr>
        <w:pStyle w:val="Ttulo2"/>
        <w:rPr>
          <w:lang w:val="pt-BR"/>
        </w:rPr>
      </w:pPr>
      <w:r>
        <w:rPr>
          <w:lang w:val="pt-BR"/>
        </w:rPr>
        <w:t xml:space="preserve">3B.6 Comprimento do elástico, lei da mola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t>s</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em que s</w:t>
      </w:r>
      <w:r>
        <w:rPr>
          <w:vertAlign w:val="subscript"/>
          <w:lang w:val="pt-BR"/>
        </w:rPr>
        <w:t xml:space="preserve">0</w:t>
      </w:r>
      <w:r>
        <w:rPr>
          <w:lang w:val="pt-BR"/>
        </w:rPr>
        <w:t xml:space="preserve"> é o valor de s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s</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s(θ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3B.9).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u(ψ):</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ψ</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x liga dois pontos do mesmo corpo; as forças que exerce sobre P e sobre o elemento 78 são iguais, opostas e colineares e não contribuem para o torque, o que corresponde à descrição da patente.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q</m:t>
                        </m:r>
                        <m:r>
                          <m:rPr>
                            <m:sty m:val="p"/>
                          </m:rPr>
                          <m:t>−</m:t>
                        </m:r>
                        <m:r>
                          <m:t>ψ</m:t>
                        </m:r>
                      </m:e>
                    </m:d>
                  </m:e>
                </m:func>
                <m:r>
                  <m:rPr>
                    <m:sty m:val="p"/>
                  </m:rPr>
                  <m:t>,</m:t>
                </m:r>
                <m:r>
                  <m:t> </m:t>
                </m:r>
                <m:sSub>
                  <m:e>
                    <m:r>
                      <m:t>m</m:t>
                    </m:r>
                  </m:e>
                  <m:sub>
                    <m:r>
                      <m:rPr>
                        <m:sty m:val="p"/>
                      </m:rPr>
                      <m:t>I</m:t>
                    </m:r>
                    <m:r>
                      <m:rPr>
                        <m:sty m:val="p"/>
                      </m:rPr>
                      <m:t>I</m:t>
                    </m:r>
                  </m:sub>
                </m:sSub>
                <m:r>
                  <m:rPr>
                    <m:sty m:val="p"/>
                  </m:rPr>
                  <m:t>=</m:t>
                </m:r>
                <m:r>
                  <m:t>p</m:t>
                </m:r>
                <m:func>
                  <m:fName>
                    <m:r>
                      <m:rPr>
                        <m:sty m:val="p"/>
                      </m:rPr>
                      <m:t>sin</m:t>
                    </m:r>
                  </m:fName>
                  <m:e>
                    <m:d>
                      <m:dPr>
                        <m:begChr m:val="("/>
                        <m:sepChr m:val=""/>
                        <m:endChr m:val=")"/>
                        <m:grow/>
                      </m:dPr>
                      <m:e>
                        <m:r>
                          <m:t>q</m:t>
                        </m:r>
                        <m:r>
                          <m:rPr>
                            <m:sty m:val="p"/>
                          </m:rPr>
                          <m:t>+</m:t>
                        </m:r>
                        <m:r>
                          <m:t>φ</m:t>
                        </m:r>
                        <m:r>
                          <m:rPr>
                            <m:sty m:val="p"/>
                          </m:rPr>
                          <m:t>−</m:t>
                        </m:r>
                        <m:r>
                          <m:t>ψ</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t>s</m:t>
                    </m:r>
                  </m:num>
                  <m:den>
                    <m:r>
                      <m:t>d</m:t>
                    </m:r>
                    <m:r>
                      <m:t>q</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q em radianos, relação análoga à Equação (17), verificada numericamente nos dois regimes (seção 4B.3). O sinal negativo, oposto ao da Equação (17), vem de q crescer com a elevação do braço, ao passo que θ* decresce; nos dois mecanismos, m é positivo quando assiste a subida, e o elástico se encurta quando o braço sobe e devolve energia, como descreve a patente.</w:t>
      </w:r>
    </w:p>
    <w:p>
      <w:pPr>
        <w:pStyle w:val="Ttulo2"/>
        <w:rPr>
          <w:lang w:val="pt-BR"/>
        </w:rPr>
      </w:pPr>
      <w:r>
        <w:rPr>
          <w:lang w:val="pt-BR"/>
        </w:rPr>
        <w:t xml:space="preserve">3B.7 Faixa sem torque com o braço baixado</w:t>
      </w:r>
    </w:p>
    <w:p>
      <w:pPr>
        <w:rPr>
          <w:lang w:val="pt-BR"/>
        </w:rPr>
      </w:pPr>
      <w:r>
        <w:rPr>
          <w:lang w:val="pt-BR"/>
        </w:rPr>
        <w:t xml:space="preserve">Esta seção faz o papel da seção 3A.7: indica onde o modelo libera o braço. Pela Equação (43), m</w:t>
      </w:r>
      <w:r>
        <w:rPr>
          <w:vertAlign w:val="subscript"/>
          <w:lang w:val="pt-BR"/>
        </w:rPr>
        <w:t xml:space="preserve">II</w:t>
      </w:r>
      <w:r>
        <w:rPr>
          <w:lang w:val="pt-BR"/>
        </w:rPr>
        <w:t xml:space="preserve"> é proporcional a p, de modo que, abaixo do contato, o torque só se anula se o elemento 78 estiver sobre o eixo. Com o elemento 78 sobre o eixo (p = 0), configuração preferida pela patente, x = </w:t>
      </w:r>
      <w:r>
        <w:rPr>
          <w:i/>
          <w:lang w:val="pt-BR"/>
        </w:rPr>
        <w:t xml:space="preserve">e</w:t>
      </w:r>
      <w:r>
        <w:rPr>
          <w:lang w:val="pt-BR"/>
        </w:rPr>
        <w:t xml:space="preserve"> e o ângulo de contato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p>
                  <m:e>
                    <m:r>
                      <m:t>q</m:t>
                    </m:r>
                  </m:e>
                  <m:sup>
                    <m:r>
                      <m:rPr>
                        <m:sty m:val="p"/>
                      </m:rPr>
                      <m:t>*</m:t>
                    </m:r>
                  </m:sup>
                </m:sSup>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Nesse caso, a direção de OP no contato coincide com a de r</w:t>
      </w:r>
      <w:r>
        <w:rPr>
          <w:vertAlign w:val="subscript"/>
          <w:lang w:val="pt-BR"/>
        </w:rPr>
        <w:t xml:space="preserve">AO</w:t>
      </w:r>
      <w:r>
        <w:rPr>
          <w:lang w:val="pt-BR"/>
        </w:rPr>
        <w:t xml:space="preserve">, a reta do elástico passa pelo pivô e o torque no regime II é nulo. Com as demais grandezas do CAD, a Equação (45) dá θ</w:t>
      </w:r>
      <w:r>
        <w:rPr>
          <w:vertAlign w:val="subscript"/>
          <w:lang w:val="pt-BR"/>
        </w:rPr>
        <w:t xml:space="preserve">el</w:t>
      </w:r>
      <w:r>
        <w:rPr>
          <w:lang w:val="pt-BR"/>
        </w:rPr>
        <w:t xml:space="preserve"> = 11,765°. As curvas da Figura 16 da patente partem de razão nula entre 14,23° e 14,36° (seção 4B.2), entre os dois valores do modelo; só no caso p = 0, porém, o modelo tem torque nulo antes do contato (seção 4B.9).</w:t>
      </w:r>
    </w:p>
    <w:p>
      <w:pPr>
        <w:pStyle w:val="Ttulo2"/>
        <w:rPr>
          <w:lang w:val="pt-BR"/>
        </w:rPr>
      </w:pPr>
      <w:r>
        <w:rPr>
          <w:lang w:val="pt-BR"/>
        </w:rPr>
        <w:t xml:space="preserve">3B.8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O conjunto reúne o membro humano e o braço do exoesqueleto (elemento 8), cujo centro de massa é referido ao eixo da articulação 20 pela posição desse eixo no modelo em CAD (seção 4B.1). Com o membro humano, alinhado ao eixo do braço, a</w:t>
      </w:r>
      <w:r>
        <w:rPr>
          <w:vertAlign w:val="subscript"/>
          <w:lang w:val="pt-BR"/>
        </w:rPr>
        <w:t xml:space="preserve">CG</w:t>
      </w:r>
      <w:r>
        <w:rPr>
          <w:lang w:val="pt-BR"/>
        </w:rPr>
        <w:t xml:space="preserve"> seria nulo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o braço do exoesqueleto desloca o centro de massa do conjunto em a</w:t>
      </w:r>
      <w:r>
        <w:rPr>
          <w:vertAlign w:val="subscript"/>
          <w:lang w:val="pt-BR"/>
        </w:rPr>
        <w:t xml:space="preserve">CG</w:t>
      </w:r>
      <w:r>
        <w:rPr>
          <w:lang w:val="pt-BR"/>
        </w:rPr>
        <w:t xml:space="preserve"> = 0,287°, e o máximo de τ</w:t>
      </w:r>
      <w:r>
        <w:rPr>
          <w:vertAlign w:val="subscript"/>
          <w:lang w:val="pt-BR"/>
        </w:rPr>
        <w:t xml:space="preserve">g</w:t>
      </w:r>
      <w:r>
        <w:rPr>
          <w:lang w:val="pt-BR"/>
        </w:rPr>
        <w:t xml:space="preserve">, 10,604 N·m, ocorre em θ</w:t>
      </w:r>
      <w:r>
        <w:rPr>
          <w:vertAlign w:val="subscript"/>
          <w:lang w:val="pt-BR"/>
        </w:rPr>
        <w:t xml:space="preserve">el</w:t>
      </w:r>
      <w:r>
        <w:rPr>
          <w:lang w:val="pt-BR"/>
        </w:rPr>
        <w:t xml:space="preserve"> = 89,7°.</w:t>
      </w:r>
    </w:p>
    <w:p>
      <w:pPr>
        <w:pStyle w:val="Ttulo2"/>
        <w:rPr>
          <w:lang w:val="pt-BR"/>
        </w:rPr>
      </w:pPr>
      <w:r>
        <w:rPr>
          <w:lang w:val="pt-BR"/>
        </w:rPr>
        <w:t xml:space="preserve">3B.9 Dados da patente e identificação dos parâmetros</w:t>
      </w:r>
    </w:p>
    <w:p>
      <w:pPr>
        <w:rPr>
          <w:lang w:val="pt-BR"/>
        </w:rPr>
      </w:pPr>
      <w:r>
        <w:rPr>
          <w:lang w:val="pt-BR"/>
        </w:rP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keepNext/>
        <w:spacing w:before="120" w:after="60"/>
        <w:rPr>
          <w:lang w:val="pt-BR"/>
        </w:rPr>
      </w:pPr>
      <w:r>
        <w:rPr>
          <w:b/>
          <w:lang w:val="pt-BR"/>
        </w:rPr>
        <w:t xml:space="preserve">Figura 3: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2" name="Imagem 1002"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Reprodução da Figura 16 da EP 3 504 033 B1: três curvas, pontilhada, tracejada e contínua, em função da anteversão de 0 a 180 graus; ordenada sem escala."/>
                    <pic:cNvPicPr/>
                  </pic:nvPicPr>
                  <pic:blipFill>
                    <a:blip r:embed="rIdExo2F2"/>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pPr>
        <w:rPr>
          <w:lang w:val="pt-BR"/>
        </w:rPr>
      </w:pPr>
      <w:r>
        <w:rPr>
          <w:lang w:val="pt-BR"/>
        </w:rPr>
        <w:t xml:space="preserve">A Figura 17 da patente não foi digitalizada. A seção 4B.8 faz apenas uma comparação visual com ela.</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admite-se que a geometria e a rigidez sejam as mesmas nas três, hipótese testada pela coincidência dos fatores G</w:t>
      </w:r>
      <w:r>
        <w:rPr>
          <w:vertAlign w:val="subscript"/>
          <w:lang w:val="pt-BR"/>
        </w:rPr>
        <w:t xml:space="preserve">i</w:t>
      </w:r>
      <w:r>
        <w:rPr>
          <w:lang w:val="pt-BR"/>
        </w:rPr>
        <w:t xml:space="preserve"> (seção 4B.4).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t>s</m:t>
                </m:r>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A Equação (49)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s(θ</w:t>
      </w:r>
      <w:r>
        <w:rPr>
          <w:vertAlign w:val="subscript"/>
          <w:lang w:val="pt-BR"/>
        </w:rPr>
        <w:t xml:space="preserve">el</w:t>
      </w:r>
      <w:r>
        <w:rPr>
          <w:lang w:val="pt-BR"/>
        </w:rPr>
        <w:t xml:space="preserve">) do circuito da seção 3B.4: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o contato calculado com p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Como s decresce com θ</w:t>
      </w:r>
      <w:r>
        <w:rPr>
          <w:vertAlign w:val="subscript"/>
          <w:lang w:val="pt-BR"/>
        </w:rPr>
        <w:t xml:space="preserve">el</w:t>
      </w:r>
      <w:r>
        <w:rPr>
          <w:lang w:val="pt-BR"/>
        </w:rPr>
        <w:t xml:space="preserve">, Equação (44), o elástico afrouxa primeiro com o braço elevado, e a razão da curva menos tensionada deve chegar a zero onde s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9(a) sobrepõe as curvas ajustadas aos pontos extraídos.</w:t>
      </w:r>
    </w:p>
    <w:p>
      <w:pPr>
        <w:rPr>
          <w:lang w:val="pt-BR"/>
        </w:rPr>
      </w:pPr>
      <w:r>
        <w:rPr>
          <w:lang w:val="pt-BR"/>
        </w:rP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9(b)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(53)</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3B.10 Varredura paramétrica do trecho e</w:t>
      </w:r>
      <w:r>
        <w:rPr>
          <w:vertAlign w:val="subscript"/>
          <w:lang w:val="pt-BR"/>
        </w:rPr>
        <w:t xml:space="preserve">c</w:t>
      </w:r>
      <w:r>
        <w:rPr>
          <w:lang w:val="pt-BR"/>
        </w:rPr>
        <w:t xml:space="preserve"> da alavanca</w:t>
      </w:r>
    </w:p>
    <w:p>
      <w:pPr>
        <w:rPr>
          <w:lang w:val="pt-BR"/>
        </w:rPr>
      </w:pPr>
      <w:r>
        <w:rPr>
          <w:lang w:val="pt-BR"/>
        </w:rPr>
        <w:t xml:space="preserve">O comprimento e</w:t>
      </w:r>
      <w:r>
        <w:rPr>
          <w:vertAlign w:val="subscript"/>
          <w:lang w:val="pt-BR"/>
        </w:rPr>
        <w:t xml:space="preserve">c</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o comprimento </w:t>
      </w:r>
      <w:r>
        <w:rPr>
          <w:i/>
          <w:lang w:val="pt-BR"/>
        </w:rPr>
        <w:t xml:space="preserve">e</w:t>
      </w:r>
      <w:r>
        <w:rPr>
          <w:lang w:val="pt-BR"/>
        </w:rPr>
        <w:t xml:space="preserve"> e a direção do segmento OP, isto é, a excentricidade do ponto de aplicação, um dos parâmetros de ajuste previstos na patente e objeto da Figura 17 da patente. Por isso, o papel de h na seção 4A é desempenhado aqui por e</w:t>
      </w:r>
      <w:r>
        <w:rPr>
          <w:vertAlign w:val="subscript"/>
          <w:lang w:val="pt-BR"/>
        </w:rPr>
        <w:t xml:space="preserve">c</w:t>
      </w:r>
      <w:r>
        <w:rPr>
          <w:lang w:val="pt-BR"/>
        </w:rPr>
        <w:t xml:space="preserve">. A varredura manteve s</w:t>
      </w:r>
      <w:r>
        <w:rPr>
          <w:vertAlign w:val="subscript"/>
          <w:lang w:val="pt-BR"/>
        </w:rPr>
        <w:t xml:space="preserve">0</w:t>
      </w:r>
      <w:r>
        <w:rPr>
          <w:lang w:val="pt-BR"/>
        </w:rPr>
        <w:t xml:space="preserve"> = 287,190 mm e K = 1,46670 N/mm, isto é, o mesmo elástico, e variou apenas e</w:t>
      </w:r>
      <w:r>
        <w:rPr>
          <w:vertAlign w:val="subscript"/>
          <w:lang w:val="pt-BR"/>
        </w:rPr>
        <w:t xml:space="preserve">c</w:t>
      </w:r>
      <w:r>
        <w:rPr>
          <w:lang w:val="pt-BR"/>
        </w:rP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2"/>
        <w:rPr>
          <w:lang w:val="pt-BR"/>
        </w:rPr>
      </w:pPr>
      <w:r>
        <w:rPr>
          <w:lang w:val="pt-BR"/>
        </w:rPr>
        <w:t xml:space="preserve">3B.11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 = 0. Os valores são de e</w:t>
      </w:r>
      <w:r>
        <w:rPr>
          <w:vertAlign w:val="subscript"/>
          <w:lang w:val="pt-BR"/>
        </w:rPr>
        <w:t xml:space="preserve">c</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q ≤ q* na malha, que o elemento 78 fica entre A e P na transição, que e</w:t>
      </w:r>
      <w:r>
        <w:rPr>
          <w:vertAlign w:val="subscript"/>
          <w:lang w:val="pt-BR"/>
        </w:rPr>
        <w:t xml:space="preserve">c</w:t>
      </w:r>
      <w:r>
        <w:rPr>
          <w:lang w:val="pt-BR"/>
        </w:rPr>
        <w:t xml:space="preserve"> é argumento obrigatório de toda a cadeia e que dois valores diferentes de e</w:t>
      </w:r>
      <w:r>
        <w:rPr>
          <w:vertAlign w:val="subscript"/>
          <w:lang w:val="pt-BR"/>
        </w:rPr>
        <w:t xml:space="preserve">c</w:t>
      </w:r>
      <w:r>
        <w:rPr>
          <w:lang w:val="pt-BR"/>
        </w:rP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3B.9.</w:t>
      </w:r>
    </w:p>
    <w:p>
      <w:pPr>
        <w:pStyle w:val="Ttulo2"/>
        <w:rPr>
          <w:lang w:val="pt-BR"/>
        </w:rPr>
      </w:pPr>
      <w:r>
        <w:rPr>
          <w:lang w:val="pt-BR"/>
        </w:rPr>
        <w:t xml:space="preserve">3B.12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(54)</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(44),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/dq = −K δ m, de modo que a força generalizada elástica coincide, a menos do fator 1/1000, com o torque da Equação (43);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3A.12, mas a escala resulta de uma hipótese de projeto, e não de dado do dispositivo. O momento de inércia disponível, I</w:t>
      </w:r>
      <w:r>
        <w:rPr>
          <w:vertAlign w:val="subscript"/>
          <w:lang w:val="pt-BR"/>
        </w:rPr>
        <w:t xml:space="preserve">O</w:t>
      </w:r>
      <w:r>
        <w:rPr>
          <w:lang w:val="pt-BR"/>
        </w:rPr>
        <w:t xml:space="preserve"> = 0,436010 kg·m</w:t>
      </w:r>
      <w:r>
        <w:rPr>
          <w:vertAlign w:val="superscript"/>
          <w:lang w:val="pt-BR"/>
        </w:rPr>
        <w:t xml:space="preserve">2</w:t>
      </w:r>
      <w:r>
        <w:rPr>
          <w:lang w:val="pt-BR"/>
        </w:rPr>
        <w:t xml:space="preserve">, reúne o membro humano e o braço do exoesqueleto;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4B.10.</w:t>
      </w:r>
    </w:p>
    <w:p>
      <w:pPr>
        <w:pStyle w:val="Ttulo2"/>
        <w:rPr>
          <w:lang w:val="pt-BR"/>
        </w:rPr>
      </w:pPr>
      <w:r>
        <w:rPr>
          <w:lang w:val="pt-BR"/>
        </w:rPr>
        <w:t xml:space="preserve">3B.13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3B.3. O torque gravitacional considera o membro humano estendido, sem ferramenta na mão, e o braço do exoesqueleto; a alavanca, o elemento 78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rPr>
          <w:lang w:val="pt-BR"/>
        </w:rPr>
      </w:pPr>
      <w:r>
        <w:rPr>
          <w:lang w:val="pt-BR"/>
        </w:rPr>
        <w:t xml:space="preserve">4A EXOESQUELETO 1: US 9.889.554 B2</w:t>
      </w:r>
    </w:p>
    <w:p w14:paraId="69E970E9" w14:textId="77777777" w:rsidR="009C1161" w:rsidRDefault="003B1183">
      <w:pPr>
        <w:rPr>
          <w:lang w:val="pt-BR"/>
        </w:rPr>
      </w:pPr>
      <w:r>
        <w:rPr>
          <w:lang w:val="pt-BR"/>
        </w:rPr>
        <w:t>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3A.12 e a aplicação do procedimento à US 9.737.374 B2 não foram executadas.</w:t>
      </w:r>
    </w:p>
    <w:p w14:paraId="3B9D99E0" w14:textId="77777777" w:rsidR="009C1161" w:rsidRDefault="003B1183">
      <w:pPr>
        <w:pStyle w:val="Ttulo2"/>
        <w:rPr>
          <w:lang w:val="pt-BR"/>
        </w:rPr>
      </w:pPr>
      <w:r>
        <w:rPr>
          <w:lang w:val="pt-BR"/>
        </w:rPr>
        <w:t>4A.1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4A.8).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4A.2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4A.3 Verificação da cadeia de cálculo</w:t>
      </w:r>
    </w:p>
    <w:p w14:paraId="19FD541C" w14:textId="77777777" w:rsidR="009C1161" w:rsidRDefault="003B1183">
      <w:pPr>
        <w:rPr>
          <w:lang w:val="pt-BR"/>
        </w:rPr>
      </w:pPr>
      <w:r>
        <w:rPr>
          <w:lang w:val="pt-BR"/>
        </w:rPr>
        <w:t>As verificações automáticas da seção 3A.11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4A.4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3A.6).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3A.10),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4A.7.</w:t>
      </w:r>
    </w:p>
    <w:p w14:paraId="782D974B" w14:textId="77777777" w:rsidR="009C1161" w:rsidRDefault="003B1183">
      <w:pPr>
        <w:rPr>
          <w:lang w:val="pt-BR"/>
        </w:rPr>
      </w:pPr>
      <w:r>
        <w:rPr>
          <w:lang w:val="pt-BR"/>
        </w:rPr>
        <w:t xml:space="preserve">A comparação entre formulações obedece à regra da seção 3A.9.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4A.3) e, por isso, foi abandonada: o menor RMSE não é critério de validade física.</w:t>
      </w:r>
    </w:p>
    <w:p w14:paraId="0812233E" w14:textId="77777777" w:rsidR="009C1161" w:rsidRDefault="003B1183">
      <w:pPr>
        <w:pStyle w:val="Ttulo2"/>
        <w:rPr>
          <w:lang w:val="pt-BR"/>
        </w:rPr>
      </w:pPr>
      <w:r>
        <w:rPr>
          <w:lang w:val="pt-BR"/>
        </w:rPr>
        <w:t>4A.5 Qualidade do ajuste à curva da patente</w:t>
      </w:r>
    </w:p>
    <w:p w14:paraId="57A8ACB1" w14:textId="77777777" w:rsidR="00244E34" w:rsidRDefault="003B1183" w:rsidP="00E2321D">
      <w:pPr>
        <w:jc w:val="center"/>
        <w:rPr>
          <w:noProof/>
          <w:lang w:val="pt-BR"/>
        </w:rPr>
      </w:pPr>
      <w:r>
        <w:rPr>
          <w:lang w:val="pt-BR"/>
        </w:rPr>
        <w:t>A Figura 4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4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4A.9).</w:t>
      </w:r>
    </w:p>
    <w:p w14:paraId="276675D0" w14:textId="77777777" w:rsidR="009C1161" w:rsidRDefault="003B1183">
      <w:pPr>
        <w:pStyle w:val="Ttulo2"/>
        <w:rPr>
          <w:lang w:val="pt-BR"/>
        </w:rPr>
      </w:pPr>
      <w:r>
        <w:rPr>
          <w:lang w:val="pt-BR"/>
        </w:rPr>
        <w:t>4A.6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3A.5.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4A.8).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4A.7 Varredura paramétrica de h com K congelado</w:t>
      </w:r>
    </w:p>
    <w:p w14:paraId="7DA42DE0" w14:textId="77777777" w:rsidR="009C1161" w:rsidRDefault="003B1183">
      <w:pPr>
        <w:rPr>
          <w:lang w:val="pt-BR"/>
        </w:rPr>
      </w:pPr>
      <w:r>
        <w:rPr>
          <w:lang w:val="pt-BR"/>
        </w:rPr>
        <w:t xml:space="preserve">A Figura 5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5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6 apresenta o RMSE em função de h.</w:t>
      </w:r>
    </w:p>
    <w:p w14:paraId="7976DECD" w14:textId="77777777" w:rsidR="009C1161" w:rsidRDefault="003B1183">
      <w:pPr>
        <w:keepNext/>
        <w:spacing w:before="120" w:after="60"/>
        <w:rPr>
          <w:lang w:val="pt-BR"/>
        </w:rPr>
      </w:pPr>
      <w:r>
        <w:rPr>
          <w:b/>
          <w:lang w:val="pt-BR"/>
        </w:rPr>
        <w:lastRenderedPageBreak/>
        <w:t>Figura 6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4A.8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4A.6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7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7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4A.9 Limitações dos resultados</w:t>
      </w:r>
    </w:p>
    <w:p w14:paraId="3E503245" w14:textId="77777777" w:rsidR="009C1161" w:rsidRDefault="003B1183">
      <w:pPr>
        <w:rPr>
          <w:lang w:val="pt-BR"/>
        </w:rPr>
      </w:pPr>
      <w:r>
        <w:rPr>
          <w:lang w:val="pt-BR"/>
        </w:rPr>
        <w:t>Além das limitações de escopo da seção 3A.13,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4B EXOESQUELETO 2: EP 3 504 033 B1</w:t>
      </w:r>
    </w:p>
    <w:p>
      <w:pPr>
        <w:rPr>
          <w:lang w:val="pt-BR"/>
        </w:rPr>
      </w:pPr>
      <w:r>
        <w:rPr>
          <w:lang w:val="pt-BR"/>
        </w:rPr>
        <w:t xml:space="preserve">Esta seção apresenta os resultados das etapas das seções 3B.1 a 3B.11, aplicadas ao dispositivo da EP 3 504 033 B1. Salvo indicação em contrário, os números foram obtidos com a geometria do CAD, e</w:t>
      </w:r>
      <w:r>
        <w:rPr>
          <w:vertAlign w:val="subscript"/>
          <w:lang w:val="pt-BR"/>
        </w:rPr>
        <w:t xml:space="preserve">c</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1,46670 N/mm, hipótese de projeto. As etapas dinâmicas da seção 3B.12 não foram executadas.</w:t>
      </w:r>
    </w:p>
    <w:p>
      <w:pPr>
        <w:pStyle w:val="Ttulo2"/>
        <w:rPr>
          <w:lang w:val="pt-BR"/>
        </w:rPr>
      </w:pPr>
      <w:r>
        <w:rPr>
          <w:lang w:val="pt-BR"/>
        </w:rPr>
        <w:t xml:space="preserve">4B.1 Geometria reconstruída e propriedades de massa</w:t>
      </w:r>
    </w:p>
    <w:p>
      <w:pPr>
        <w:rPr>
          <w:lang w:val="pt-BR"/>
        </w:rPr>
      </w:pPr>
      <w:r>
        <w:rPr>
          <w:lang w:val="pt-BR"/>
        </w:rPr>
        <w:t xml:space="preserve">A Tabela 14 reúne as grandezas medidas no modelo em CAD e as que delas derivam, com a origem de cada uma (seção 3B.1).</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 = 90° − γ</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lang w:val="pt-BR"/>
              </w:rPr>
              <w:t xml:space="preserve">e</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4B.8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e</w:t>
            </w:r>
            <w:r>
              <w:rPr>
                <w:vertAlign w:val="subscript"/>
                <w:lang w:val="pt-BR"/>
              </w:rPr>
              <w:t xml:space="preserve">c</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e</w:t>
            </w:r>
            <w:r>
              <w:rPr>
                <w:vertAlign w:val="subscript"/>
                <w:lang w:val="pt-BR"/>
              </w:rPr>
              <w:t xml:space="preserve">c</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c,pose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s</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Comprimento do segmento OP</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e</w:t>
            </w:r>
            <w:r>
              <w:rPr>
                <w:vertAlign w:val="subscript"/>
                <w:lang w:val="pt-BR"/>
              </w:rPr>
              <w:t xml:space="preserve">c</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Direção de OP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146,147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q</w:t>
            </w:r>
            <w:r>
              <w:rPr>
                <w:vertAlign w:val="subscript"/>
                <w:lang w:val="pt-BR"/>
              </w:rPr>
              <w:t xml:space="preserve">c,pose</w:t>
            </w:r>
            <w:r>
              <w:rPr>
                <w:lang w:val="pt-BR"/>
              </w:rPr>
              <w:t xml:space="preserve"> + ε</w:t>
            </w:r>
          </w:p>
        </w:tc>
      </w:tr>
      <w:tr>
        <w:trPr>
          <w:cantSplit/>
          <w:jc w:val="center"/>
        </w:trPr>
        <w:tc>
          <w:tcPr>
            <w:tcW w:w="3560" w:type="dxa"/>
            <w:vAlign w:val="center"/>
          </w:tcPr>
          <w:p>
            <w:pPr>
              <w:keepNext/>
              <w:spacing w:before="20" w:after="20" w:line="240" w:lineRule="auto"/>
              <w:rPr>
                <w:lang w:val="pt-BR"/>
              </w:rPr>
            </w:pPr>
            <w:r>
              <w:rPr>
                <w:lang w:val="pt-BR"/>
              </w:rPr>
              <w:t xml:space="preserve">Defasagem entre a direção de p e q</w:t>
            </w:r>
          </w:p>
        </w:tc>
        <w:tc>
          <w:tcPr>
            <w:tcW w:w="1200" w:type="dxa"/>
            <w:vAlign w:val="center"/>
          </w:tcPr>
          <w:p>
            <w:pPr>
              <w:keepNext/>
              <w:spacing w:before="20" w:after="20" w:line="240" w:lineRule="auto"/>
              <w:jc w:val="center"/>
              <w:rPr>
                <w:lang w:val="pt-BR"/>
              </w:rPr>
            </w:pPr>
            <w:r>
              <w:rPr>
                <w:lang w:val="pt-BR"/>
              </w:rPr>
              <w:t xml:space="preserve">φ</w:t>
            </w:r>
          </w:p>
        </w:tc>
        <w:tc>
          <w:tcPr>
            <w:tcW w:w="1000" w:type="dxa"/>
            <w:vAlign w:val="center"/>
          </w:tcPr>
          <w:p>
            <w:pPr>
              <w:keepNext/>
              <w:spacing w:before="20" w:after="20" w:line="240" w:lineRule="auto"/>
              <w:jc w:val="center"/>
              <w:rPr>
                <w:lang w:val="pt-BR"/>
              </w:rPr>
            </w:pPr>
            <w:r>
              <w:rPr>
                <w:lang w:val="pt-BR"/>
              </w:rPr>
              <w:t xml:space="preserve">131,790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(33)</w:t>
            </w:r>
          </w:p>
        </w:tc>
      </w:tr>
      <w:tr>
        <w:trPr>
          <w:cantSplit/>
          <w:jc w:val="center"/>
        </w:trPr>
        <w:tc>
          <w:tcPr>
            <w:tcW w:w="3560" w:type="dxa"/>
            <w:vAlign w:val="center"/>
          </w:tcPr>
          <w:p>
            <w:pPr>
              <w:keepNext/>
              <w:spacing w:before="20" w:after="20" w:line="240" w:lineRule="auto"/>
              <w:rPr>
                <w:lang w:val="pt-BR"/>
              </w:rPr>
            </w:pPr>
            <w:r>
              <w:rPr>
                <w:lang w:val="pt-BR"/>
              </w:rPr>
              <w:t xml:space="preserve">Defasagem entre q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−25,891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(31)</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x</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(37)</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3B.3). O valor de e</w:t>
      </w:r>
      <w:r>
        <w:rPr>
          <w:sz w:val="20"/>
          <w:szCs w:val="20"/>
          <w:vertAlign w:val="subscript"/>
          <w:lang w:val="pt-BR"/>
        </w:rPr>
        <w:t xml:space="preserve">c</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3A.4); a coincidência deve ser conferida no modelo em CAD.</w:t>
      </w:r>
    </w:p>
    <w:p>
      <w:pPr>
        <w:rPr>
          <w:lang w:val="pt-BR"/>
        </w:rPr>
      </w:pPr>
      <w:r>
        <w:rPr>
          <w:lang w:val="pt-BR"/>
        </w:rPr>
        <w:t xml:space="preserve">Na pose do CAD, o modelo situa P em (−38,090; 25,551) mm e o centro do elemento 78 em (1,071; −7,680) mm, e calcula s = 359,7679 mm, que difere do comprimento medido s</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 = 7,754 mm do eixo da articulação, enquanto a patente prefere esse elemento sobre o eixo; as consequências dessa diferença são tratadas nas seções 3B.7 e 4B.9.</w:t>
      </w:r>
    </w:p>
    <w:p>
      <w:pPr>
        <w:keepNext/>
        <w:spacing w:before="120" w:after="60"/>
        <w:rPr>
          <w:lang w:val="pt-BR"/>
        </w:rPr>
      </w:pPr>
      <w:r>
        <w:rPr>
          <w:b/>
          <w:lang w:val="pt-BR"/>
        </w:rPr>
        <w:t xml:space="preserve">Tabela 15: Propriedades de massa do conjunto que gira com o braço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r>
        <w:trPr>
          <w:cantSplit/>
          <w:jc w:val="center"/>
        </w:trPr>
        <w:tc>
          <w:tcPr>
            <w:tcW w:w="1660" w:type="dxa"/>
            <w:vAlign w:val="center"/>
          </w:tcPr>
          <w:p>
            <w:pPr>
              <w:keepNext/>
              <w:spacing w:before="20" w:after="20" w:line="240" w:lineRule="auto"/>
              <w:rPr>
                <w:lang w:val="pt-BR"/>
              </w:rPr>
            </w:pPr>
            <w:r>
              <w:rPr>
                <w:lang w:val="pt-BR"/>
              </w:rPr>
              <w:t xml:space="preserve">Braço do exoesqueleto (elemento 8)</w:t>
            </w:r>
          </w:p>
        </w:tc>
        <w:tc>
          <w:tcPr>
            <w:tcW w:w="1300" w:type="dxa"/>
            <w:vAlign w:val="center"/>
          </w:tcPr>
          <w:p>
            <w:pPr>
              <w:keepNext/>
              <w:spacing w:before="20" w:after="20" w:line="240" w:lineRule="auto"/>
              <w:jc w:val="center"/>
              <w:rPr>
                <w:lang w:val="pt-BR"/>
              </w:rPr>
            </w:pPr>
            <w:r>
              <w:rPr>
                <w:lang w:val="pt-BR"/>
              </w:rPr>
              <w:t xml:space="preserve">0,1640</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47,362</w:t>
            </w:r>
          </w:p>
        </w:tc>
        <w:tc>
          <w:tcPr>
            <w:tcW w:w="1600" w:type="dxa"/>
            <w:vAlign w:val="center"/>
          </w:tcPr>
          <w:p>
            <w:pPr>
              <w:keepNext/>
              <w:spacing w:before="20" w:after="20" w:line="240" w:lineRule="auto"/>
              <w:jc w:val="center"/>
              <w:rPr>
                <w:lang w:val="pt-BR"/>
              </w:rPr>
            </w:pPr>
            <w:r>
              <w:rPr>
                <w:lang w:val="pt-BR"/>
              </w:rPr>
              <w:t xml:space="preserve">0,000966</w:t>
            </w:r>
          </w:p>
        </w:tc>
        <w:tc>
          <w:tcPr>
            <w:tcW w:w="1600" w:type="dxa"/>
            <w:vAlign w:val="center"/>
          </w:tcPr>
          <w:p>
            <w:pPr>
              <w:keepNext/>
              <w:spacing w:before="20" w:after="20" w:line="240" w:lineRule="auto"/>
              <w:jc w:val="center"/>
              <w:rPr>
                <w:lang w:val="pt-BR"/>
              </w:rPr>
            </w:pPr>
            <w:r>
              <w:rPr>
                <w:lang w:val="pt-BR"/>
              </w:rPr>
              <w:t xml:space="preserve">0,001334</w:t>
            </w:r>
          </w:p>
        </w:tc>
      </w:tr>
      <w:tr>
        <w:trPr>
          <w:cantSplit/>
          <w:jc w:val="center"/>
        </w:trPr>
        <w:tc>
          <w:tcPr>
            <w:tcW w:w="1660" w:type="dxa"/>
            <w:vAlign w:val="center"/>
          </w:tcPr>
          <w:p>
            <w:pPr>
              <w:keepNext/>
              <w:spacing w:before="20" w:after="20" w:line="240" w:lineRule="auto"/>
              <w:rPr>
                <w:lang w:val="pt-BR"/>
              </w:rPr>
            </w:pPr>
            <w:r>
              <w:rPr>
                <w:lang w:val="pt-BR"/>
              </w:rPr>
              <w:t xml:space="preserve">Conjunto</w:t>
            </w:r>
          </w:p>
        </w:tc>
        <w:tc>
          <w:tcPr>
            <w:tcW w:w="1300" w:type="dxa"/>
            <w:vAlign w:val="center"/>
          </w:tcPr>
          <w:p>
            <w:pPr>
              <w:keepNext/>
              <w:spacing w:before="20" w:after="20" w:line="240" w:lineRule="auto"/>
              <w:jc w:val="center"/>
              <w:rPr>
                <w:lang w:val="pt-BR"/>
              </w:rPr>
            </w:pPr>
            <w:r>
              <w:rPr>
                <w:lang w:val="pt-BR"/>
              </w:rPr>
              <w:t xml:space="preserve">3,7702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286,819</w:t>
            </w:r>
          </w:p>
        </w:tc>
        <w:tc>
          <w:tcPr>
            <w:tcW w:w="1600" w:type="dxa"/>
            <w:vAlign w:val="center"/>
          </w:tcPr>
          <w:p>
            <w:pPr>
              <w:keepNext/>
              <w:spacing w:before="20" w:after="20" w:line="240" w:lineRule="auto"/>
              <w:jc w:val="center"/>
              <w:rPr>
                <w:lang w:val="pt-BR"/>
              </w:rPr>
            </w:pPr>
            <w:r>
              <w:rPr>
                <w:lang w:val="pt-BR"/>
              </w:rPr>
              <w:t xml:space="preserve">0,125859</w:t>
            </w:r>
          </w:p>
        </w:tc>
        <w:tc>
          <w:tcPr>
            <w:tcW w:w="1600" w:type="dxa"/>
            <w:vAlign w:val="center"/>
          </w:tcPr>
          <w:p>
            <w:pPr>
              <w:keepNext/>
              <w:spacing w:before="20" w:after="20" w:line="240" w:lineRule="auto"/>
              <w:jc w:val="center"/>
              <w:rPr>
                <w:lang w:val="pt-BR"/>
              </w:rPr>
            </w:pPr>
            <w:r>
              <w:rPr>
                <w:lang w:val="pt-BR"/>
              </w:rPr>
              <w:t xml:space="preserve">0,436010</w:t>
            </w:r>
          </w:p>
        </w:tc>
      </w:tr>
    </w:tbl>
    <w:p>
      <w:pPr>
        <w:spacing w:before="60" w:after="60"/>
        <w:rPr>
          <w:lang w:val="pt-BR"/>
        </w:rPr>
      </w:pPr>
      <w:r>
        <w:rPr>
          <w:sz w:val="20"/>
          <w:szCs w:val="20"/>
          <w:lang w:val="pt-BR"/>
        </w:rPr>
        <w:t xml:space="preserve">Fonte: elaborada pelo autor, com dados de de Leva (1996) e do modelo em CAD.</w:t>
      </w:r>
    </w:p>
    <w:p>
      <w:pPr>
        <w:rPr>
          <w:lang w:val="pt-BR"/>
        </w:rPr>
      </w:pPr>
      <w:r>
        <w:rPr>
          <w:lang w:val="pt-BR"/>
        </w:rPr>
        <w:t xml:space="preserve">A consistência foi conferida pela Equação (1): para o membro humano,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e, para o conjunto, 0,125859 + 0,310151 = 0,436010 kg·m</w:t>
      </w:r>
      <w:r>
        <w:rPr>
          <w:vertAlign w:val="superscript"/>
          <w:lang w:val="pt-BR"/>
        </w:rPr>
        <w:t xml:space="preserve">2</w:t>
      </w:r>
      <w:r>
        <w:rPr>
          <w:lang w:val="pt-BR"/>
        </w:rPr>
        <w:t xml:space="preserve">. A amplitude do momento gravitacional é M g d = 10,550 N·m para o membro e 10,604 N·m para o conjunto.</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O eixo da articulação 20 está em (31,023; 123,596) mm no mesmo referencial, de modo que o centro de massa fica a 47,362 mm do eixo. Admitidos os eixos do Fusion paralelos aos do modelo, esse vetor foi levado ao eixo do braço pela direção do braço na pose do CAD, cujo sinal ainda depende de confirmação (seção 3B.3), e somado ao membro humano pela Equação (1). O braço do exoesqueleto acrescenta 0,1640 kg ao conjunto e desloca seu centro de massa em 0,287° em relação ao eixo do braço. A alavanca, o elemento 78 e a braçadeira não estão modelados como corpos separados, e as peças do lado do tronco (barra 18, barra de ancoragem e capas do elástico) apoiam-se no cinto e não giram com o braço. A Tabela 5 da seção 4A.1 tem o mesmo membro humano e soma a ele as peças do outro exoesqueleto.</w:t>
      </w:r>
    </w:p>
    <w:p>
      <w:pPr>
        <w:pStyle w:val="Ttulo2"/>
        <w:rPr>
          <w:lang w:val="pt-BR"/>
        </w:rPr>
      </w:pPr>
      <w:r>
        <w:rPr>
          <w:lang w:val="pt-BR"/>
        </w:rPr>
        <w:t xml:space="preserve">4B.2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3B.9).</w:t>
      </w:r>
    </w:p>
    <w:p>
      <w:pPr>
        <w:pStyle w:val="Ttulo2"/>
        <w:rPr>
          <w:lang w:val="pt-BR"/>
        </w:rPr>
      </w:pPr>
      <w:r>
        <w:rPr>
          <w:lang w:val="pt-BR"/>
        </w:rPr>
        <w:t xml:space="preserve">4B.3 Verificação da cadeia de cálculo</w:t>
      </w:r>
    </w:p>
    <w:p>
      <w:pPr>
        <w:rPr>
          <w:lang w:val="pt-BR"/>
        </w:rPr>
      </w:pPr>
      <w:r>
        <w:rPr>
          <w:lang w:val="pt-BR"/>
        </w:rPr>
        <w:t xml:space="preserve">As verificações automáticas da seção 3B.11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0,063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(35)</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x constante em q, Equação (37)</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(44)</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(44)</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s no contato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 = 0: q* numérico contra a Equação (45)</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 = 0: s = |r</w:t>
            </w:r>
            <w:r>
              <w:rPr>
                <w:vertAlign w:val="subscript"/>
                <w:lang w:val="pt-BR"/>
              </w:rPr>
              <w:t xml:space="preserve">AO</w:t>
            </w:r>
            <w:r>
              <w:rPr>
                <w:lang w:val="pt-BR"/>
              </w:rPr>
              <w:t xml:space="preserve">| + </w:t>
            </w:r>
            <w:r>
              <w:rPr>
                <w:i/>
                <w:lang w:val="pt-BR"/>
              </w:rPr>
              <w:t xml:space="preserve">e</w:t>
            </w:r>
            <w:r>
              <w:rPr>
                <w:lang w:val="pt-BR"/>
              </w:rPr>
              <w:t xml:space="preserve">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e</w:t>
            </w:r>
            <w:r>
              <w:rPr>
                <w:vertAlign w:val="subscript"/>
                <w:lang w:val="pt-BR"/>
              </w:rPr>
              <w:t xml:space="preserve">c</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0,063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q,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4B.4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(49).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na patente,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1,65068 N/mm, com pico de τ de 4,252 N·m em 92,1°; no ajuste de forma, o s</w:t>
      </w:r>
      <w:r>
        <w:rPr>
          <w:vertAlign w:val="subscript"/>
          <w:lang w:val="pt-BR"/>
        </w:rPr>
        <w:t xml:space="preserve">0</w:t>
      </w:r>
      <w:r>
        <w:rPr>
          <w:lang w:val="pt-BR"/>
        </w:rPr>
        <w:t xml:space="preserve"> da tracejada vai de 167,098 mm para 280,059 mm, com 4 dos 40 pontos ajustados no regime II, e K</w:t>
      </w:r>
      <w:r>
        <w:rPr>
          <w:vertAlign w:val="subscript"/>
          <w:lang w:val="pt-BR"/>
        </w:rPr>
        <w:t xml:space="preserve">40</w:t>
      </w:r>
      <w:r>
        <w:rPr>
          <w:lang w:val="pt-BR"/>
        </w:rPr>
        <w:t xml:space="preserve">, de 0,52377 para 1,31188 N/mm. Com a abscissa espelhada, o RMSE sobe para 1,31 mm e os três valores de s</w:t>
      </w:r>
      <w:r>
        <w:rPr>
          <w:vertAlign w:val="subscript"/>
          <w:lang w:val="pt-BR"/>
        </w:rPr>
        <w:t xml:space="preserve">0</w:t>
      </w:r>
      <w:r>
        <w:rPr>
          <w:lang w:val="pt-BR"/>
        </w:rPr>
        <w:t xml:space="preserve"> ficam acima de s(0°)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(50) coincidem nas três curvas (Figura 8(a)), com dispersão mediana de 0,87% entre 20° e 165° e de no máximo 4,69% até 150°. Acima de 150°, a dispersão cresce, até 104,6% em 165°, porque a extensão da curva pontilhada tende a zero e o quociente da Equação (50) fica mal condicionado. O comprimento do elástico lido no espaçamento entre as curvas pontilhada e contínua, s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s do CAD em 1,12 mm RMS e no máximo 2,31 mm entre 35° e 155°: a variação de s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s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s(180°)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s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keepNext/>
        <w:spacing w:before="120" w:after="60"/>
        <w:rPr>
          <w:lang w:val="pt-BR"/>
        </w:rPr>
      </w:pPr>
      <w:r>
        <w:rPr>
          <w:b/>
          <w:lang w:val="pt-BR"/>
        </w:rPr>
        <w:t xml:space="preserve">Figura 8: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3" name="Imagem 1003"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À esquerda, razão de cada curva dividida pela extensão do elástico, em função da anteversão, com as três curvas sobrepostas; à direita, fator comum lido na figura e forma prevista pelo modelo."/>
                    <pic:cNvPicPr/>
                  </pic:nvPicPr>
                  <pic:blipFill>
                    <a:blip r:embed="rIdExo2F3"/>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4B.5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8(b)). Normalizada em 90°, a razão entre os dois vale 0,39 em 20°, 0,79 em 60°, 1,33 em 120°, 2,02 em 150° e 2,97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conjunto, a razão calculada não reproduz a Figura 16 da patente: com escala comum às três curvas, o coeficiente de determinação é −0,521 (pontilhada), −1,565 (tracejada) e −0,635 (contínua). Como o s implícito na figura concorda com o do CAD (seção 4B.4), a diferença não se explica por s. Restam o braço de momento, que depende da derivada de s, e o torque do peso que a patente usou para formar a razão, que o texto não define de forma consistente (seção 3B.9). Entre 35° e 155°, a concordância de s limita a primeira causa: pela Equação (44), atribuir ao braço de momento toda a diferença afastaria o s implícito do s do CAD em até 7,68 mm (3,20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3B.9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277,43 mm na pontilhada, 167,10 mm na tracejada e o limite s</w:t>
      </w:r>
      <w:r>
        <w:rPr>
          <w:vertAlign w:val="subscript"/>
          <w:lang w:val="pt-BR"/>
        </w:rPr>
        <w:t xml:space="preserve">0</w:t>
      </w:r>
      <w:r>
        <w:rPr>
          <w:lang w:val="pt-BR"/>
        </w:rP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277,434</w:t>
            </w:r>
          </w:p>
        </w:tc>
        <w:tc>
          <w:tcPr>
            <w:tcW w:w="2150" w:type="dxa"/>
            <w:vAlign w:val="center"/>
          </w:tcPr>
          <w:p>
            <w:pPr>
              <w:keepNext/>
              <w:spacing w:before="20" w:after="20" w:line="240" w:lineRule="auto"/>
              <w:jc w:val="center"/>
              <w:rPr>
                <w:lang w:val="pt-BR"/>
              </w:rPr>
            </w:pPr>
            <w:r>
              <w:rPr>
                <w:lang w:val="pt-BR"/>
              </w:rPr>
              <w:t xml:space="preserve">167,098</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273,02 a 281,36</w:t>
            </w:r>
          </w:p>
        </w:tc>
        <w:tc>
          <w:tcPr>
            <w:tcW w:w="2150" w:type="dxa"/>
            <w:vAlign w:val="center"/>
          </w:tcPr>
          <w:p>
            <w:pPr>
              <w:keepNext/>
              <w:spacing w:before="20" w:after="20" w:line="240" w:lineRule="auto"/>
              <w:jc w:val="center"/>
              <w:rPr>
                <w:lang w:val="pt-BR"/>
              </w:rPr>
            </w:pPr>
            <w:r>
              <w:rPr>
                <w:lang w:val="pt-BR"/>
              </w:rPr>
              <w:t xml:space="preserve">152,49 a 179,55</w:t>
            </w:r>
          </w:p>
        </w:tc>
        <w:tc>
          <w:tcPr>
            <w:tcW w:w="2160" w:type="dxa"/>
            <w:vAlign w:val="center"/>
          </w:tcPr>
          <w:p>
            <w:pPr>
              <w:keepNext/>
              <w:spacing w:before="20" w:after="20" w:line="240" w:lineRule="auto"/>
              <w:jc w:val="center"/>
              <w:rPr>
                <w:lang w:val="pt-BR"/>
              </w:rPr>
            </w:pPr>
            <w:r>
              <w:rPr>
                <w:lang w:val="pt-BR"/>
              </w:rPr>
              <w:t xml:space="preserve">0,00 a 4,72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2,95496</w:t>
            </w:r>
          </w:p>
        </w:tc>
        <w:tc>
          <w:tcPr>
            <w:tcW w:w="2150" w:type="dxa"/>
            <w:vAlign w:val="center"/>
          </w:tcPr>
          <w:p>
            <w:pPr>
              <w:keepNext/>
              <w:spacing w:before="20" w:after="20" w:line="240" w:lineRule="auto"/>
              <w:jc w:val="center"/>
              <w:rPr>
                <w:lang w:val="pt-BR"/>
              </w:rPr>
            </w:pPr>
            <w:r>
              <w:rPr>
                <w:lang w:val="pt-BR"/>
              </w:rPr>
              <w:t xml:space="preserve">1,62444</w:t>
            </w:r>
          </w:p>
        </w:tc>
        <w:tc>
          <w:tcPr>
            <w:tcW w:w="2160" w:type="dxa"/>
            <w:vAlign w:val="center"/>
          </w:tcPr>
          <w:p>
            <w:pPr>
              <w:keepNext/>
              <w:spacing w:before="20" w:after="20" w:line="240" w:lineRule="auto"/>
              <w:jc w:val="center"/>
              <w:rPr>
                <w:lang w:val="pt-BR"/>
              </w:rPr>
            </w:pPr>
            <w:r>
              <w:rPr>
                <w:lang w:val="pt-BR"/>
              </w:rPr>
              <w:t xml:space="preserve">1,08614</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0,1614</w:t>
            </w:r>
          </w:p>
        </w:tc>
        <w:tc>
          <w:tcPr>
            <w:tcW w:w="2150" w:type="dxa"/>
            <w:vAlign w:val="center"/>
          </w:tcPr>
          <w:p>
            <w:pPr>
              <w:keepNext/>
              <w:spacing w:before="20" w:after="20" w:line="240" w:lineRule="auto"/>
              <w:jc w:val="center"/>
              <w:rPr>
                <w:lang w:val="pt-BR"/>
              </w:rPr>
            </w:pPr>
            <w:r>
              <w:rPr>
                <w:lang w:val="pt-BR"/>
              </w:rPr>
              <w:t xml:space="preserve">0,1111</w:t>
            </w:r>
          </w:p>
        </w:tc>
        <w:tc>
          <w:tcPr>
            <w:tcW w:w="2160" w:type="dxa"/>
            <w:vAlign w:val="center"/>
          </w:tcPr>
          <w:p>
            <w:pPr>
              <w:keepNext/>
              <w:spacing w:before="20" w:after="20" w:line="240" w:lineRule="auto"/>
              <w:jc w:val="center"/>
              <w:rPr>
                <w:lang w:val="pt-BR"/>
              </w:rPr>
            </w:pPr>
            <w:r>
              <w:rPr>
                <w:lang w:val="pt-BR"/>
              </w:rPr>
              <w:t xml:space="preserve">0,1497</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14,97%</w:t>
            </w:r>
          </w:p>
        </w:tc>
        <w:tc>
          <w:tcPr>
            <w:tcW w:w="2150" w:type="dxa"/>
            <w:vAlign w:val="center"/>
          </w:tcPr>
          <w:p>
            <w:pPr>
              <w:keepNext/>
              <w:spacing w:before="20" w:after="20" w:line="240" w:lineRule="auto"/>
              <w:jc w:val="center"/>
              <w:rPr>
                <w:lang w:val="pt-BR"/>
              </w:rPr>
            </w:pPr>
            <w:r>
              <w:rPr>
                <w:lang w:val="pt-BR"/>
              </w:rPr>
              <w:t xml:space="preserve">6,56%</w:t>
            </w:r>
          </w:p>
        </w:tc>
        <w:tc>
          <w:tcPr>
            <w:tcW w:w="2160" w:type="dxa"/>
            <w:vAlign w:val="center"/>
          </w:tcPr>
          <w:p>
            <w:pPr>
              <w:keepNext/>
              <w:spacing w:before="20" w:after="20" w:line="240" w:lineRule="auto"/>
              <w:jc w:val="center"/>
              <w:rPr>
                <w:lang w:val="pt-BR"/>
              </w:rPr>
            </w:pPr>
            <w:r>
              <w:rPr>
                <w:lang w:val="pt-BR"/>
              </w:rPr>
              <w:t xml:space="preserve">4,83%</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0,1407</w:t>
            </w:r>
          </w:p>
        </w:tc>
        <w:tc>
          <w:tcPr>
            <w:tcW w:w="2150" w:type="dxa"/>
            <w:vAlign w:val="center"/>
          </w:tcPr>
          <w:p>
            <w:pPr>
              <w:keepNext/>
              <w:spacing w:before="20" w:after="20" w:line="240" w:lineRule="auto"/>
              <w:jc w:val="center"/>
              <w:rPr>
                <w:lang w:val="pt-BR"/>
              </w:rPr>
            </w:pPr>
            <w:r>
              <w:rPr>
                <w:lang w:val="pt-BR"/>
              </w:rPr>
              <w:t xml:space="preserve">0,0953</w:t>
            </w:r>
          </w:p>
        </w:tc>
        <w:tc>
          <w:tcPr>
            <w:tcW w:w="2160" w:type="dxa"/>
            <w:vAlign w:val="center"/>
          </w:tcPr>
          <w:p>
            <w:pPr>
              <w:keepNext/>
              <w:spacing w:before="20" w:after="20" w:line="240" w:lineRule="auto"/>
              <w:jc w:val="center"/>
              <w:rPr>
                <w:lang w:val="pt-BR"/>
              </w:rPr>
            </w:pPr>
            <w:r>
              <w:rPr>
                <w:lang w:val="pt-BR"/>
              </w:rPr>
              <w:t xml:space="preserve">0,1002</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0,3548, em 162,08°</w:t>
            </w:r>
          </w:p>
        </w:tc>
        <w:tc>
          <w:tcPr>
            <w:tcW w:w="2150" w:type="dxa"/>
            <w:vAlign w:val="center"/>
          </w:tcPr>
          <w:p>
            <w:pPr>
              <w:keepNext/>
              <w:spacing w:before="20" w:after="20" w:line="240" w:lineRule="auto"/>
              <w:jc w:val="center"/>
              <w:rPr>
                <w:lang w:val="pt-BR"/>
              </w:rPr>
            </w:pPr>
            <w:r>
              <w:rPr>
                <w:lang w:val="pt-BR"/>
              </w:rPr>
              <w:t xml:space="preserve">0,2559, em 21,39°</w:t>
            </w:r>
          </w:p>
        </w:tc>
        <w:tc>
          <w:tcPr>
            <w:tcW w:w="2160" w:type="dxa"/>
            <w:vAlign w:val="center"/>
          </w:tcPr>
          <w:p>
            <w:pPr>
              <w:keepNext/>
              <w:spacing w:before="20" w:after="20" w:line="240" w:lineRule="auto"/>
              <w:jc w:val="center"/>
              <w:rPr>
                <w:lang w:val="pt-BR"/>
              </w:rPr>
            </w:pPr>
            <w:r>
              <w:rPr>
                <w:lang w:val="pt-BR"/>
              </w:rPr>
              <w:t xml:space="preserve">0,3308,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0,5690</w:t>
            </w:r>
          </w:p>
        </w:tc>
        <w:tc>
          <w:tcPr>
            <w:tcW w:w="2150" w:type="dxa"/>
            <w:vAlign w:val="center"/>
          </w:tcPr>
          <w:p>
            <w:pPr>
              <w:keepNext/>
              <w:spacing w:before="20" w:after="20" w:line="240" w:lineRule="auto"/>
              <w:jc w:val="center"/>
              <w:rPr>
                <w:lang w:val="pt-BR"/>
              </w:rPr>
            </w:pPr>
            <w:r>
              <w:rPr>
                <w:lang w:val="pt-BR"/>
              </w:rPr>
              <w:t xml:space="preserve">0,8560</w:t>
            </w:r>
          </w:p>
        </w:tc>
        <w:tc>
          <w:tcPr>
            <w:tcW w:w="2160" w:type="dxa"/>
            <w:vAlign w:val="center"/>
          </w:tcPr>
          <w:p>
            <w:pPr>
              <w:keepNext/>
              <w:spacing w:before="20" w:after="20" w:line="240" w:lineRule="auto"/>
              <w:jc w:val="center"/>
              <w:rPr>
                <w:lang w:val="pt-BR"/>
              </w:rPr>
            </w:pPr>
            <w:r>
              <w:rPr>
                <w:lang w:val="pt-BR"/>
              </w:rPr>
              <w:t xml:space="preserve">0,9466</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76,465</w:t>
            </w:r>
          </w:p>
        </w:tc>
        <w:tc>
          <w:tcPr>
            <w:tcW w:w="2150" w:type="dxa"/>
            <w:vAlign w:val="center"/>
          </w:tcPr>
          <w:p>
            <w:pPr>
              <w:keepNext/>
              <w:spacing w:before="20" w:after="20" w:line="240" w:lineRule="auto"/>
              <w:jc w:val="center"/>
              <w:rPr>
                <w:lang w:val="pt-BR"/>
              </w:rPr>
            </w:pPr>
            <w:r>
              <w:rPr>
                <w:lang w:val="pt-BR"/>
              </w:rPr>
              <w:t xml:space="preserve">186,800</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1,27956</w:t>
            </w:r>
          </w:p>
        </w:tc>
        <w:tc>
          <w:tcPr>
            <w:tcW w:w="2150" w:type="dxa"/>
            <w:vAlign w:val="center"/>
          </w:tcPr>
          <w:p>
            <w:pPr>
              <w:keepNext/>
              <w:spacing w:before="20" w:after="20" w:line="240" w:lineRule="auto"/>
              <w:jc w:val="center"/>
              <w:rPr>
                <w:lang w:val="pt-BR"/>
              </w:rPr>
            </w:pPr>
            <w:r>
              <w:rPr>
                <w:lang w:val="pt-BR"/>
              </w:rPr>
              <w:t xml:space="preserve">0,52377</w:t>
            </w:r>
          </w:p>
        </w:tc>
        <w:tc>
          <w:tcPr>
            <w:tcW w:w="2160" w:type="dxa"/>
            <w:vAlign w:val="center"/>
          </w:tcPr>
          <w:p>
            <w:pPr>
              <w:keepNext/>
              <w:spacing w:before="20" w:after="20" w:line="240" w:lineRule="auto"/>
              <w:jc w:val="center"/>
              <w:rPr>
                <w:lang w:val="pt-BR"/>
              </w:rPr>
            </w:pPr>
            <w:r>
              <w:rPr>
                <w:lang w:val="pt-BR"/>
              </w:rPr>
              <w:t xml:space="preserve">0,27647</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0,4330</w:t>
            </w:r>
          </w:p>
        </w:tc>
        <w:tc>
          <w:tcPr>
            <w:tcW w:w="2150" w:type="dxa"/>
            <w:vAlign w:val="center"/>
          </w:tcPr>
          <w:p>
            <w:pPr>
              <w:keepNext/>
              <w:spacing w:before="20" w:after="20" w:line="240" w:lineRule="auto"/>
              <w:jc w:val="center"/>
              <w:rPr>
                <w:lang w:val="pt-BR"/>
              </w:rPr>
            </w:pPr>
            <w:r>
              <w:rPr>
                <w:lang w:val="pt-BR"/>
              </w:rPr>
              <w:t xml:space="preserve">0,3224</w:t>
            </w:r>
          </w:p>
        </w:tc>
        <w:tc>
          <w:tcPr>
            <w:tcW w:w="2160" w:type="dxa"/>
            <w:vAlign w:val="center"/>
          </w:tcPr>
          <w:p>
            <w:pPr>
              <w:keepNext/>
              <w:spacing w:before="20" w:after="20" w:line="240" w:lineRule="auto"/>
              <w:jc w:val="center"/>
              <w:rPr>
                <w:lang w:val="pt-BR"/>
              </w:rPr>
            </w:pPr>
            <w:r>
              <w:rPr>
                <w:lang w:val="pt-BR"/>
              </w:rPr>
              <w:t xml:space="preserve">0,2545</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8,34 mm na curva pontilhada e 27,06 mm na tracejada; na contínua, a faixa encosta no limite s</w:t>
      </w:r>
      <w:r>
        <w:rPr>
          <w:vertAlign w:val="subscript"/>
          <w:lang w:val="pt-BR"/>
        </w:rPr>
        <w:t xml:space="preserve">0</w:t>
      </w:r>
      <w:r>
        <w:rPr>
          <w:lang w:val="pt-BR"/>
        </w:rPr>
        <w:t xml:space="preserve"> = 0. O ajuste é pior que o da seção 4A: R</w:t>
      </w:r>
      <w:r>
        <w:rPr>
          <w:vertAlign w:val="superscript"/>
          <w:lang w:val="pt-BR"/>
        </w:rPr>
        <w:t xml:space="preserve">2</w:t>
      </w:r>
      <w:r>
        <w:rPr>
          <w:lang w:val="pt-BR"/>
        </w:rPr>
        <w:t xml:space="preserve"> de 0,569 (pontilhada), 0,856 (tracejada) e 0,947 (contínua), contra 0,99839 na Tabela 9, e resíduos em três ou quatro zonas de sinal, o que indica diferença sistemática de forma entre o modelo e as curvas. Na curva pontilhada, o modelo não acompanha a queda da razão acima de 100°, com erro máximo de 0,355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0,52377 N/mm e F(90°) = 97,84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0,322 na curva tracejada, 0,433 na pontilhada e 0,255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277,434</w:t>
            </w:r>
          </w:p>
        </w:tc>
        <w:tc>
          <w:tcPr>
            <w:tcW w:w="2150" w:type="dxa"/>
            <w:vAlign w:val="center"/>
          </w:tcPr>
          <w:p>
            <w:pPr>
              <w:keepNext/>
              <w:spacing w:before="20" w:after="20" w:line="240" w:lineRule="auto"/>
              <w:jc w:val="center"/>
              <w:rPr>
                <w:lang w:val="pt-BR"/>
              </w:rPr>
            </w:pPr>
            <w:r>
              <w:rPr>
                <w:lang w:val="pt-BR"/>
              </w:rPr>
              <w:t xml:space="preserve">167,098</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227,040</w:t>
            </w:r>
          </w:p>
        </w:tc>
        <w:tc>
          <w:tcPr>
            <w:tcW w:w="2150" w:type="dxa"/>
            <w:vAlign w:val="center"/>
          </w:tcPr>
          <w:p>
            <w:pPr>
              <w:keepNext/>
              <w:spacing w:before="20" w:after="20" w:line="240" w:lineRule="auto"/>
              <w:jc w:val="center"/>
              <w:rPr>
                <w:lang w:val="pt-BR"/>
              </w:rPr>
            </w:pPr>
            <w:r>
              <w:rPr>
                <w:lang w:val="pt-BR"/>
              </w:rPr>
              <w:t xml:space="preserve">162,401</w:t>
            </w:r>
          </w:p>
        </w:tc>
        <w:tc>
          <w:tcPr>
            <w:tcW w:w="2160" w:type="dxa"/>
            <w:vAlign w:val="center"/>
          </w:tcPr>
          <w:p>
            <w:pPr>
              <w:keepNext/>
              <w:spacing w:before="20" w:after="20" w:line="240" w:lineRule="auto"/>
              <w:jc w:val="center"/>
              <w:rPr>
                <w:lang w:val="pt-BR"/>
              </w:rPr>
            </w:pPr>
            <w:r>
              <w:rPr>
                <w:lang w:val="pt-BR"/>
              </w:rPr>
              <w:t xml:space="preserve">100,009</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14,97%</w:t>
            </w:r>
          </w:p>
        </w:tc>
        <w:tc>
          <w:tcPr>
            <w:tcW w:w="2150" w:type="dxa"/>
            <w:vAlign w:val="center"/>
          </w:tcPr>
          <w:p>
            <w:pPr>
              <w:keepNext/>
              <w:spacing w:before="20" w:after="20" w:line="240" w:lineRule="auto"/>
              <w:jc w:val="center"/>
              <w:rPr>
                <w:lang w:val="pt-BR"/>
              </w:rPr>
            </w:pPr>
            <w:r>
              <w:rPr>
                <w:lang w:val="pt-BR"/>
              </w:rPr>
              <w:t xml:space="preserve">6,56%</w:t>
            </w:r>
          </w:p>
        </w:tc>
        <w:tc>
          <w:tcPr>
            <w:tcW w:w="2160" w:type="dxa"/>
            <w:vAlign w:val="center"/>
          </w:tcPr>
          <w:p>
            <w:pPr>
              <w:keepNext/>
              <w:spacing w:before="20" w:after="20" w:line="240" w:lineRule="auto"/>
              <w:jc w:val="center"/>
              <w:rPr>
                <w:lang w:val="pt-BR"/>
              </w:rPr>
            </w:pPr>
            <w:r>
              <w:rPr>
                <w:lang w:val="pt-BR"/>
              </w:rPr>
              <w:t xml:space="preserve">4,83%</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21,35%</w:t>
            </w:r>
          </w:p>
        </w:tc>
        <w:tc>
          <w:tcPr>
            <w:tcW w:w="2150" w:type="dxa"/>
            <w:vAlign w:val="center"/>
          </w:tcPr>
          <w:p>
            <w:pPr>
              <w:keepNext/>
              <w:spacing w:before="20" w:after="20" w:line="240" w:lineRule="auto"/>
              <w:jc w:val="center"/>
              <w:rPr>
                <w:lang w:val="pt-BR"/>
              </w:rPr>
            </w:pPr>
            <w:r>
              <w:rPr>
                <w:lang w:val="pt-BR"/>
              </w:rPr>
              <w:t xml:space="preserve">6,57%</w:t>
            </w:r>
          </w:p>
        </w:tc>
        <w:tc>
          <w:tcPr>
            <w:tcW w:w="2160" w:type="dxa"/>
            <w:vAlign w:val="center"/>
          </w:tcPr>
          <w:p>
            <w:pPr>
              <w:keepNext/>
              <w:spacing w:before="20" w:after="20" w:line="240" w:lineRule="auto"/>
              <w:jc w:val="center"/>
              <w:rPr>
                <w:lang w:val="pt-BR"/>
              </w:rPr>
            </w:pPr>
            <w:r>
              <w:rPr>
                <w:lang w:val="pt-BR"/>
              </w:rPr>
              <w:t xml:space="preserve">6,45%</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0,1240</w:t>
            </w:r>
          </w:p>
        </w:tc>
        <w:tc>
          <w:tcPr>
            <w:tcW w:w="2150" w:type="dxa"/>
            <w:vAlign w:val="center"/>
          </w:tcPr>
          <w:p>
            <w:pPr>
              <w:keepNext/>
              <w:spacing w:before="20" w:after="20" w:line="240" w:lineRule="auto"/>
              <w:jc w:val="center"/>
              <w:rPr>
                <w:lang w:val="pt-BR"/>
              </w:rPr>
            </w:pPr>
            <w:r>
              <w:rPr>
                <w:lang w:val="pt-BR"/>
              </w:rPr>
              <w:t xml:space="preserve">0,8557</w:t>
            </w:r>
          </w:p>
        </w:tc>
        <w:tc>
          <w:tcPr>
            <w:tcW w:w="2160" w:type="dxa"/>
            <w:vAlign w:val="center"/>
          </w:tcPr>
          <w:p>
            <w:pPr>
              <w:keepNext/>
              <w:spacing w:before="20" w:after="20" w:line="240" w:lineRule="auto"/>
              <w:jc w:val="center"/>
              <w:rPr>
                <w:lang w:val="pt-BR"/>
              </w:rPr>
            </w:pPr>
            <w:r>
              <w:rPr>
                <w:lang w:val="pt-BR"/>
              </w:rPr>
              <w:t xml:space="preserve">0,9048</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35,96%</w:t>
            </w:r>
          </w:p>
        </w:tc>
        <w:tc>
          <w:tcPr>
            <w:tcW w:w="2150" w:type="dxa"/>
            <w:vAlign w:val="center"/>
          </w:tcPr>
          <w:p>
            <w:pPr>
              <w:keepNext/>
              <w:spacing w:before="20" w:after="20" w:line="240" w:lineRule="auto"/>
              <w:jc w:val="center"/>
              <w:rPr>
                <w:lang w:val="pt-BR"/>
              </w:rPr>
            </w:pPr>
            <w:r>
              <w:rPr>
                <w:lang w:val="pt-BR"/>
              </w:rPr>
              <w:t xml:space="preserve">13,28%</w:t>
            </w:r>
          </w:p>
        </w:tc>
        <w:tc>
          <w:tcPr>
            <w:tcW w:w="2160" w:type="dxa"/>
            <w:vAlign w:val="center"/>
          </w:tcPr>
          <w:p>
            <w:pPr>
              <w:keepNext/>
              <w:spacing w:before="20" w:after="20" w:line="240" w:lineRule="auto"/>
              <w:jc w:val="center"/>
              <w:rPr>
                <w:lang w:val="pt-BR"/>
              </w:rPr>
            </w:pPr>
            <w:r>
              <w:rPr>
                <w:lang w:val="pt-BR"/>
              </w:rPr>
              <w:t xml:space="preserve">3,44%</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−1,4848</w:t>
            </w:r>
          </w:p>
        </w:tc>
        <w:tc>
          <w:tcPr>
            <w:tcW w:w="2150" w:type="dxa"/>
            <w:vAlign w:val="center"/>
          </w:tcPr>
          <w:p>
            <w:pPr>
              <w:keepNext/>
              <w:spacing w:before="20" w:after="20" w:line="240" w:lineRule="auto"/>
              <w:jc w:val="center"/>
              <w:rPr>
                <w:lang w:val="pt-BR"/>
              </w:rPr>
            </w:pPr>
            <w:r>
              <w:rPr>
                <w:lang w:val="pt-BR"/>
              </w:rPr>
              <w:t xml:space="preserve">0,4095</w:t>
            </w:r>
          </w:p>
        </w:tc>
        <w:tc>
          <w:tcPr>
            <w:tcW w:w="2160" w:type="dxa"/>
            <w:vAlign w:val="center"/>
          </w:tcPr>
          <w:p>
            <w:pPr>
              <w:keepNext/>
              <w:spacing w:before="20" w:after="20" w:line="240" w:lineRule="auto"/>
              <w:jc w:val="center"/>
              <w:rPr>
                <w:lang w:val="pt-BR"/>
              </w:rPr>
            </w:pPr>
            <w:r>
              <w:rPr>
                <w:lang w:val="pt-BR"/>
              </w:rPr>
              <w:t xml:space="preserve">0,9730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1,5794, comum às três curvas; na força constante, c é ajustado por curva.</w:t>
      </w:r>
    </w:p>
    <w:p>
      <w:pPr>
        <w:rPr>
          <w:lang w:val="pt-BR"/>
        </w:rPr>
      </w:pPr>
      <w:r>
        <w:rPr>
          <w:lang w:val="pt-BR"/>
        </w:rPr>
        <w:t xml:space="preserve">O ajuste conjunto ordena os comprimentos de referência como as pré-tensões descritas na patente: s</w:t>
      </w:r>
      <w:r>
        <w:rPr>
          <w:vertAlign w:val="subscript"/>
          <w:lang w:val="pt-BR"/>
        </w:rPr>
        <w:t xml:space="preserve">0</w:t>
      </w:r>
      <w:r>
        <w:rPr>
          <w:lang w:val="pt-BR"/>
        </w:rPr>
        <w:t xml:space="preserve"> = 227,040 mm na curva pontilhada, 162,401 mm na tracejada e 100,009 mm na contínua; menor s</w:t>
      </w:r>
      <w:r>
        <w:rPr>
          <w:vertAlign w:val="subscript"/>
          <w:lang w:val="pt-BR"/>
        </w:rPr>
        <w:t xml:space="preserve">0</w:t>
      </w:r>
      <w:r>
        <w:rPr>
          <w:lang w:val="pt-BR"/>
        </w:rPr>
        <w:t xml:space="preserve"> significa maior extensão do elástico em qualquer ângulo. As curvas tracejada e contínua ficam com RMSE/máx de 6,57% e 6,45%, e a pontilhada passa de 14,97% para 21,35%. Com uma só escala, o modelo linear reproduz a ordem das pré-tensões, mas não a forma da curva de menor pré-tensão. A força constante descreve a curva contínua com RMSE/máx de 3,44%, menor que os 4,83% do ajuste em s</w:t>
      </w:r>
      <w:r>
        <w:rPr>
          <w:vertAlign w:val="subscript"/>
          <w:lang w:val="pt-BR"/>
        </w:rPr>
        <w:t xml:space="preserve">0</w:t>
      </w:r>
      <w:r>
        <w:rPr>
          <w:lang w:val="pt-BR"/>
        </w:rPr>
        <w:t xml:space="preserve"> = 0, e as outras duas com erros de 35,96% e 13,28%.</w:t>
      </w:r>
    </w:p>
    <w:p>
      <w:pPr>
        <w:rPr>
          <w:lang w:val="pt-BR"/>
        </w:rPr>
      </w:pPr>
      <w:r>
        <w:rPr>
          <w:lang w:val="pt-BR"/>
        </w:rPr>
        <w:t xml:space="preserve">A pré-tensão da curva pontilhada, descrita como quase nula, também diverge do ajuste de forma. Pelo critério da seção 4B.4, a extensão em 180°, essa curva teria 19,50 mm com o s</w:t>
      </w:r>
      <w:r>
        <w:rPr>
          <w:vertAlign w:val="subscript"/>
          <w:lang w:val="pt-BR"/>
        </w:rPr>
        <w:t xml:space="preserve">0</w:t>
      </w:r>
      <w:r>
        <w:rPr>
          <w:lang w:val="pt-BR"/>
        </w:rPr>
        <w:t xml:space="preserve"> individual e 69,89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9: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4" name="Imagem 1004"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4"/>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4B.6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1,46670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lang w:val="pt-BR"/>
              </w:rPr>
              <w:t xml:space="preserve">e</w:t>
            </w:r>
            <w:r>
              <w:rPr>
                <w:vertAlign w:val="subscript"/>
                <w:lang w:val="pt-BR"/>
              </w:rPr>
              <w:t xml:space="preserve">{c</w:t>
            </w:r>
            <w:r>
              <w:rPr>
                <w:lang w:val="pt-BR"/>
              </w:rPr>
              <w:t xml:space="preserv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4B.8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 φ</w:t>
            </w:r>
          </w:p>
        </w:tc>
        <w:tc>
          <w:tcPr>
            <w:tcW w:w="1500" w:type="dxa"/>
            <w:vAlign w:val="center"/>
          </w:tcPr>
          <w:p>
            <w:pPr>
              <w:keepNext/>
              <w:spacing w:before="20" w:after="20" w:line="240" w:lineRule="auto"/>
              <w:jc w:val="center"/>
              <w:rPr>
                <w:lang w:val="pt-BR"/>
              </w:rPr>
            </w:pPr>
            <w:r>
              <w:rPr>
                <w:lang w:val="pt-BR"/>
              </w:rPr>
              <w:t xml:space="preserve">7,754 mm; 131,790°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 = 0</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−25,891°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163,951 g; 47,362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Incluídos no peso e na inércia; eixos do Fusion admitidos paralelos aos do modelo</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4B.7 Comportamento do elástico e do mecanismo</w:t>
      </w:r>
    </w:p>
    <w:p>
      <w:pPr>
        <w:rPr>
          <w:lang w:val="pt-BR"/>
        </w:rPr>
      </w:pPr>
      <w:r>
        <w:rPr>
          <w:lang w:val="pt-BR"/>
        </w:rPr>
        <w:t xml:space="preserve">Na faixa de 0° a 180° de anteversão, q varia de 64,109° a 244,109°,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keepNext/>
        <w:spacing w:before="120" w:after="60"/>
        <w:rPr>
          <w:lang w:val="pt-BR"/>
        </w:rPr>
      </w:pPr>
      <w:r>
        <w:rPr>
          <w:b/>
          <w:lang w:val="pt-BR"/>
        </w:rPr>
        <w:t xml:space="preserve">Tabela 22: Grandezas do circuito em ângulos representativos (e</w:t>
      </w:r>
      <w:r>
        <w:rPr>
          <w:b/>
          <w:vertAlign w:val="subscript"/>
          <w:lang w:val="pt-BR"/>
        </w:rPr>
        <w:t xml:space="preserve">c</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q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s (mm)</w:t>
            </w:r>
          </w:p>
        </w:tc>
        <w:tc>
          <w:tcPr>
            <w:tcW w:w="1300" w:type="dxa"/>
            <w:shd w:val="clear" w:color="auto" w:fill="F2F2F2"/>
            <w:vAlign w:val="center"/>
          </w:tcPr>
          <w:p>
            <w:pPr>
              <w:keepNext/>
              <w:spacing w:before="20" w:after="20" w:line="240" w:lineRule="auto"/>
              <w:jc w:val="center"/>
              <w:rPr>
                <w:lang w:val="pt-BR"/>
              </w:rPr>
            </w:pPr>
            <w:r>
              <w:rPr>
                <w:b/>
                <w:lang w:val="pt-BR"/>
              </w:rPr>
              <w:t xml:space="preserve">ψ (°)</w:t>
            </w:r>
          </w:p>
        </w:tc>
        <w:tc>
          <w:tcPr>
            <w:tcW w:w="1700" w:type="dxa"/>
            <w:shd w:val="clear" w:color="auto" w:fill="F2F2F2"/>
            <w:vAlign w:val="center"/>
          </w:tcPr>
          <w:p>
            <w:pPr>
              <w:keepNext/>
              <w:spacing w:before="20" w:after="20" w:line="240" w:lineRule="auto"/>
              <w:jc w:val="center"/>
              <w:rPr>
                <w:lang w:val="pt-BR"/>
              </w:rPr>
            </w:pPr>
            <w:r>
              <w:rPr>
                <w:b/>
                <w:lang w:val="pt-BR"/>
              </w:rPr>
              <w:t xml:space="preserve">s − x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64,109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74,109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83,203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94,109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124,109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146,147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154,109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184,109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214,109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244,109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149,67 N a 14,29 N. O ajuste de forma levaria a valores bem diferentes: com s</w:t>
      </w:r>
      <w:r>
        <w:rPr>
          <w:vertAlign w:val="subscript"/>
          <w:lang w:val="pt-BR"/>
        </w:rPr>
        <w:t xml:space="preserve">0</w:t>
      </w:r>
      <w:r>
        <w:rPr>
          <w:lang w:val="pt-BR"/>
        </w:rPr>
        <w:t xml:space="preserve"> = 167,098 mm, a extensão iria de 222,13 a 129,83 mm, com deformação de 132,9%, e a força, com o K</w:t>
      </w:r>
      <w:r>
        <w:rPr>
          <w:vertAlign w:val="subscript"/>
          <w:lang w:val="pt-BR"/>
        </w:rPr>
        <w:t xml:space="preserve">40</w:t>
      </w:r>
      <w:r>
        <w:rPr>
          <w:lang w:val="pt-BR"/>
        </w:rPr>
        <w:t xml:space="preserve"> correspondente, de 116,35 a 68,00 N. A viabilidade dessas extensões depende do elemento elástico, que a patente não especifica.</w:t>
      </w:r>
    </w:p>
    <w:p>
      <w:pPr>
        <w:pStyle w:val="Ttulo2"/>
        <w:rPr>
          <w:lang w:val="pt-BR"/>
        </w:rPr>
      </w:pPr>
      <w:r>
        <w:rPr>
          <w:lang w:val="pt-BR"/>
        </w:rPr>
        <w:t xml:space="preserve">4B.8 Varredura paramétrica do trecho e</w:t>
      </w:r>
      <w:r>
        <w:rPr>
          <w:vertAlign w:val="subscript"/>
          <w:lang w:val="pt-BR"/>
        </w:rPr>
        <w:t xml:space="preserve">c</w:t>
      </w:r>
      <w:r>
        <w:rPr>
          <w:lang w:val="pt-BR"/>
        </w:rPr>
        <w:t xml:space="preserve"> da alavanca</w:t>
      </w:r>
    </w:p>
    <w:p>
      <w:pPr>
        <w:rPr>
          <w:lang w:val="pt-BR"/>
        </w:rPr>
      </w:pPr>
      <w:r>
        <w:rPr>
          <w:lang w:val="pt-BR"/>
        </w:rPr>
        <w:t xml:space="preserve">Dos três critérios de validade física da seção 3A.10, adaptados ao mecanismo, o fechamento dos dois regimes (s &gt; 0 e s − x &gt; 0) e o trabalho virtual foram atendidos em todos os valores de e</w:t>
      </w:r>
      <w:r>
        <w:rPr>
          <w:vertAlign w:val="subscript"/>
          <w:lang w:val="pt-BR"/>
        </w:rPr>
        <w:t xml:space="preserve">c</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e</w:t>
      </w:r>
      <w:r>
        <w:rPr>
          <w:vertAlign w:val="subscript"/>
          <w:lang w:val="pt-BR"/>
        </w:rPr>
        <w:t xml:space="preserve">c</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e</w:t>
      </w:r>
      <w:r>
        <w:rPr>
          <w:vertAlign w:val="subscript"/>
          <w:lang w:val="pt-BR"/>
        </w:rPr>
        <w:t xml:space="preserve">c</w:t>
      </w:r>
      <w:r>
        <w:rPr>
          <w:lang w:val="pt-BR"/>
        </w:rPr>
        <w:t xml:space="preserve"> = 45 mm, frouxa de 177,72° a 180°. A transição de regime desloca-se de θ</w:t>
      </w:r>
      <w:r>
        <w:rPr>
          <w:vertAlign w:val="subscript"/>
          <w:lang w:val="pt-BR"/>
        </w:rPr>
        <w:t xml:space="preserve">el</w:t>
      </w:r>
      <w:r>
        <w:rPr>
          <w:lang w:val="pt-BR"/>
        </w:rPr>
        <w:t xml:space="preserve"> = 26,91° (e</w:t>
      </w:r>
      <w:r>
        <w:rPr>
          <w:vertAlign w:val="subscript"/>
          <w:lang w:val="pt-BR"/>
        </w:rPr>
        <w:t xml:space="preserve">c</w:t>
      </w:r>
      <w:r>
        <w:rPr>
          <w:lang w:val="pt-BR"/>
        </w:rPr>
        <w:t xml:space="preserve"> = 20 mm) para 14,46° (e</w:t>
      </w:r>
      <w:r>
        <w:rPr>
          <w:vertAlign w:val="subscript"/>
          <w:lang w:val="pt-BR"/>
        </w:rPr>
        <w:t xml:space="preserve">c</w:t>
      </w:r>
      <w:r>
        <w:rPr>
          <w:lang w:val="pt-BR"/>
        </w:rPr>
        <w:t xml:space="preserve"> = 50 mm). A Tabela 23 e a Figura 10 mostram a família de curvas para cinco valores de e</w:t>
      </w:r>
      <w:r>
        <w:rPr>
          <w:vertAlign w:val="subscript"/>
          <w:lang w:val="pt-BR"/>
        </w:rPr>
        <w:t xml:space="preserve">c</w:t>
      </w:r>
      <w:r>
        <w:rPr>
          <w:lang w:val="pt-BR"/>
        </w:rPr>
        <w:t xml:space="preserve">.</w:t>
      </w:r>
    </w:p>
    <w:p>
      <w:pPr>
        <w:keepNext/>
        <w:spacing w:before="120" w:after="60"/>
        <w:rPr>
          <w:lang w:val="pt-BR"/>
        </w:rPr>
      </w:pPr>
      <w:r>
        <w:rPr>
          <w:b/>
          <w:lang w:val="pt-BR"/>
        </w:rPr>
        <w:t xml:space="preserve">Tabela 23: Família de curvas em e</w:t>
      </w:r>
      <w:r>
        <w:rPr>
          <w:b/>
          <w:vertAlign w:val="subscript"/>
          <w:lang w:val="pt-BR"/>
        </w:rPr>
        <w:t xml:space="preserve">c</w:t>
      </w:r>
      <w:r>
        <w:rPr>
          <w:b/>
          <w:lang w:val="pt-BR"/>
        </w:rPr>
        <w:t xml:space="preserve">, com s</w:t>
      </w:r>
      <w:r>
        <w:rPr>
          <w:b/>
          <w:vertAlign w:val="subscript"/>
          <w:lang w:val="pt-BR"/>
        </w:rPr>
        <w:t xml:space="preserve">0</w:t>
      </w:r>
      <w:r>
        <w:rPr>
          <w:b/>
          <w:lang w:val="pt-BR"/>
        </w:rPr>
        <w:t xml:space="preserve"> = 287,190 mm e K = 1,46670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lang w:val="pt-BR"/>
              </w:rPr>
              <w:t xml:space="preserve">e</w:t>
            </w:r>
            <w:r>
              <w:rPr>
                <w:b/>
                <w:vertAlign w:val="subscript"/>
                <w:lang w:val="pt-BR"/>
              </w:rPr>
              <w:t xml:space="preserve">c</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x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3,313</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3,291</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3,841</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3,773</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4,376</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4,242</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4,990</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4,761</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5,609</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5,268</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e</w:t>
      </w:r>
      <w:r>
        <w:rPr>
          <w:vertAlign w:val="subscript"/>
          <w:lang w:val="pt-BR"/>
        </w:rPr>
        <w:t xml:space="preserve">c</w:t>
      </w:r>
      <w:r>
        <w:rPr>
          <w:lang w:val="pt-BR"/>
        </w:rPr>
        <w:t xml:space="preserve"> se cruzam, o torque aumenta com e</w:t>
      </w:r>
      <w:r>
        <w:rPr>
          <w:vertAlign w:val="subscript"/>
          <w:lang w:val="pt-BR"/>
        </w:rPr>
        <w:t xml:space="preserve">c</w:t>
      </w:r>
      <w:r>
        <w:rPr>
          <w:lang w:val="pt-BR"/>
        </w:rPr>
        <w:t xml:space="preserve">; acima desse ângulo, diminui. Com o aumento de e</w:t>
      </w:r>
      <w:r>
        <w:rPr>
          <w:vertAlign w:val="subscript"/>
          <w:lang w:val="pt-BR"/>
        </w:rPr>
        <w:t xml:space="preserve">c</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lang w:val="pt-BR"/>
        </w:rPr>
        <w:t xml:space="preserve">g</w:t>
      </w:r>
      <w:r>
        <w:rPr>
          <w:lang w:val="pt-BR"/>
        </w:rPr>
        <w:t xml:space="preserve"> da família têm máximo entre 54,8° e 76,0°, que ocorre mais cedo quanto maior o trecho e</w:t>
      </w:r>
      <w:r>
        <w:rPr>
          <w:vertAlign w:val="subscript"/>
          <w:lang w:val="pt-BR"/>
        </w:rPr>
        <w:t xml:space="preserve">c</w:t>
      </w:r>
      <w:r>
        <w:rPr>
          <w:lang w:val="pt-BR"/>
        </w:rPr>
        <w:t xml:space="preserve">, e mínimo local entre 151,9° e 169,1°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10: Família de curvas em e</w:t>
      </w:r>
      <w:r>
        <w:rPr>
          <w:b/>
          <w:vertAlign w:val="subscript"/>
          <w:lang w:val="pt-BR"/>
        </w:rPr>
        <w:t xml:space="preserve">c</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5" name="Imagem 1005"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Cinco curvas para o trecho e de 25 a 45 mm em função da anteversão: à esquerda, torque por unidade de rigidez; à direita, razão entre o torque do elástico e o do pes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4B.9 Confronto com o torque gravitacional</w:t>
      </w:r>
    </w:p>
    <w:p>
      <w:pPr>
        <w:rPr>
          <w:lang w:val="pt-BR"/>
        </w:rPr>
      </w:pPr>
      <w:r>
        <w:rPr>
          <w:lang w:val="pt-BR"/>
        </w:rPr>
        <w:t xml:space="preserve">A forma do torque do elástico pode ser comparada à do peso sem depender de K, normalizando cada curva pelo próprio pico (Figura 11).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89,7° do peso, e as curvas normalizadas se cruzam em 11,24° (regime II), 45,59°, 83,60° e 177,05°. Abaixo de 11,24°, a forma do elástico fica acima da do peso, que tende a zero com o braço pendente; entre 11,24° e 45,59°, fica abaixo, com diferença de até −0,159 em 19,1°, perto da transição; entre 45,59° e 83,60°, fica ligeiramente acima, com no máximo +0,042 em 64,6°; entre 83,60° e 177,05°, volta a ficar abaixo, com diferença de até −0,270 em 139,3°; e acima de 177,05°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167,098 mm, o pico normalizado ficaria em 95,1°, e as curvas se cruzariam em 9,24° e 92,48°, com a forma do elástico abaixo da do peso entre 9,24° e 92,48°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11: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6" name="Imagem 1006"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Torque do elástico e torque do peso normalizados, de 0 a 180 graus, com a faixa correspondente aos valores de s0 obtidos nas faixas de ângulo testadas."/>
                    <pic:cNvPicPr/>
                  </pic:nvPicPr>
                  <pic:blipFill>
                    <a:blip r:embed="rIdExo2F6"/>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12 e a Tabela 24 descrevem um cenário de projeto, e não o dispositivo comercial. Nesse cenário, o torque do elástico atinge 4,376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0,34 em 30° a 0,43 em 60°, 0,40 em 90° e 0,21 em 150°, com 0,20 em 170°. A força e a extensão do elástico nesse cenário estão na seção 4B.7.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1,46670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q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s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74,109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148,02</w:t>
            </w:r>
          </w:p>
        </w:tc>
        <w:tc>
          <w:tcPr>
            <w:tcW w:w="940" w:type="dxa"/>
            <w:vAlign w:val="center"/>
          </w:tcPr>
          <w:p>
            <w:pPr>
              <w:keepNext/>
              <w:spacing w:before="20" w:after="20" w:line="240" w:lineRule="auto"/>
              <w:jc w:val="center"/>
              <w:rPr>
                <w:lang w:val="pt-BR"/>
              </w:rPr>
            </w:pPr>
            <w:r>
              <w:rPr>
                <w:lang w:val="pt-BR"/>
              </w:rPr>
              <w:t xml:space="preserve">0,892</w:t>
            </w:r>
          </w:p>
        </w:tc>
        <w:tc>
          <w:tcPr>
            <w:tcW w:w="1000" w:type="dxa"/>
            <w:vAlign w:val="center"/>
          </w:tcPr>
          <w:p>
            <w:pPr>
              <w:keepNext/>
              <w:spacing w:before="20" w:after="20" w:line="240" w:lineRule="auto"/>
              <w:jc w:val="center"/>
              <w:rPr>
                <w:lang w:val="pt-BR"/>
              </w:rPr>
            </w:pPr>
            <w:r>
              <w:rPr>
                <w:lang w:val="pt-BR"/>
              </w:rPr>
              <w:t xml:space="preserve">1,894</w:t>
            </w:r>
          </w:p>
        </w:tc>
        <w:tc>
          <w:tcPr>
            <w:tcW w:w="880" w:type="dxa"/>
            <w:vAlign w:val="center"/>
          </w:tcPr>
          <w:p>
            <w:pPr>
              <w:keepNext/>
              <w:spacing w:before="20" w:after="20" w:line="240" w:lineRule="auto"/>
              <w:jc w:val="center"/>
              <w:rPr>
                <w:lang w:val="pt-BR"/>
              </w:rPr>
            </w:pPr>
            <w:r>
              <w:rPr>
                <w:lang w:val="pt-BR"/>
              </w:rPr>
              <w:t xml:space="preserve">0,471</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94,109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144,21</w:t>
            </w:r>
          </w:p>
        </w:tc>
        <w:tc>
          <w:tcPr>
            <w:tcW w:w="940" w:type="dxa"/>
            <w:vAlign w:val="center"/>
          </w:tcPr>
          <w:p>
            <w:pPr>
              <w:keepNext/>
              <w:spacing w:before="20" w:after="20" w:line="240" w:lineRule="auto"/>
              <w:jc w:val="center"/>
              <w:rPr>
                <w:lang w:val="pt-BR"/>
              </w:rPr>
            </w:pPr>
            <w:r>
              <w:rPr>
                <w:lang w:val="pt-BR"/>
              </w:rPr>
              <w:t xml:space="preserve">1,834</w:t>
            </w:r>
          </w:p>
        </w:tc>
        <w:tc>
          <w:tcPr>
            <w:tcW w:w="1000" w:type="dxa"/>
            <w:vAlign w:val="center"/>
          </w:tcPr>
          <w:p>
            <w:pPr>
              <w:keepNext/>
              <w:spacing w:before="20" w:after="20" w:line="240" w:lineRule="auto"/>
              <w:jc w:val="center"/>
              <w:rPr>
                <w:lang w:val="pt-BR"/>
              </w:rPr>
            </w:pPr>
            <w:r>
              <w:rPr>
                <w:lang w:val="pt-BR"/>
              </w:rPr>
              <w:t xml:space="preserve">5,348</w:t>
            </w:r>
          </w:p>
        </w:tc>
        <w:tc>
          <w:tcPr>
            <w:tcW w:w="880" w:type="dxa"/>
            <w:vAlign w:val="center"/>
          </w:tcPr>
          <w:p>
            <w:pPr>
              <w:keepNext/>
              <w:spacing w:before="20" w:after="20" w:line="240" w:lineRule="auto"/>
              <w:jc w:val="center"/>
              <w:rPr>
                <w:lang w:val="pt-BR"/>
              </w:rPr>
            </w:pPr>
            <w:r>
              <w:rPr>
                <w:lang w:val="pt-BR"/>
              </w:rPr>
              <w:t xml:space="preserve">0,343</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124,109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127,04</w:t>
            </w:r>
          </w:p>
        </w:tc>
        <w:tc>
          <w:tcPr>
            <w:tcW w:w="940" w:type="dxa"/>
            <w:vAlign w:val="center"/>
          </w:tcPr>
          <w:p>
            <w:pPr>
              <w:keepNext/>
              <w:spacing w:before="20" w:after="20" w:line="240" w:lineRule="auto"/>
              <w:jc w:val="center"/>
              <w:rPr>
                <w:lang w:val="pt-BR"/>
              </w:rPr>
            </w:pPr>
            <w:r>
              <w:rPr>
                <w:lang w:val="pt-BR"/>
              </w:rPr>
              <w:t xml:space="preserve">3,973</w:t>
            </w:r>
          </w:p>
        </w:tc>
        <w:tc>
          <w:tcPr>
            <w:tcW w:w="1000" w:type="dxa"/>
            <w:vAlign w:val="center"/>
          </w:tcPr>
          <w:p>
            <w:pPr>
              <w:keepNext/>
              <w:spacing w:before="20" w:after="20" w:line="240" w:lineRule="auto"/>
              <w:jc w:val="center"/>
              <w:rPr>
                <w:lang w:val="pt-BR"/>
              </w:rPr>
            </w:pPr>
            <w:r>
              <w:rPr>
                <w:lang w:val="pt-BR"/>
              </w:rPr>
              <w:t xml:space="preserve">9,210</w:t>
            </w:r>
          </w:p>
        </w:tc>
        <w:tc>
          <w:tcPr>
            <w:tcW w:w="880" w:type="dxa"/>
            <w:vAlign w:val="center"/>
          </w:tcPr>
          <w:p>
            <w:pPr>
              <w:keepNext/>
              <w:spacing w:before="20" w:after="20" w:line="240" w:lineRule="auto"/>
              <w:jc w:val="center"/>
              <w:rPr>
                <w:lang w:val="pt-BR"/>
              </w:rPr>
            </w:pPr>
            <w:r>
              <w:rPr>
                <w:lang w:val="pt-BR"/>
              </w:rPr>
              <w:t xml:space="preserve">0,431</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154,109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97,84</w:t>
            </w:r>
          </w:p>
        </w:tc>
        <w:tc>
          <w:tcPr>
            <w:tcW w:w="940" w:type="dxa"/>
            <w:vAlign w:val="center"/>
          </w:tcPr>
          <w:p>
            <w:pPr>
              <w:keepNext/>
              <w:spacing w:before="20" w:after="20" w:line="240" w:lineRule="auto"/>
              <w:jc w:val="center"/>
              <w:rPr>
                <w:lang w:val="pt-BR"/>
              </w:rPr>
            </w:pPr>
            <w:r>
              <w:rPr>
                <w:lang w:val="pt-BR"/>
              </w:rPr>
              <w:t xml:space="preserve">4,242</w:t>
            </w:r>
          </w:p>
        </w:tc>
        <w:tc>
          <w:tcPr>
            <w:tcW w:w="1000" w:type="dxa"/>
            <w:vAlign w:val="center"/>
          </w:tcPr>
          <w:p>
            <w:pPr>
              <w:keepNext/>
              <w:spacing w:before="20" w:after="20" w:line="240" w:lineRule="auto"/>
              <w:jc w:val="center"/>
              <w:rPr>
                <w:lang w:val="pt-BR"/>
              </w:rPr>
            </w:pPr>
            <w:r>
              <w:rPr>
                <w:lang w:val="pt-BR"/>
              </w:rPr>
              <w:t xml:space="preserve">10,604</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184,109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63,11</w:t>
            </w:r>
          </w:p>
        </w:tc>
        <w:tc>
          <w:tcPr>
            <w:tcW w:w="940" w:type="dxa"/>
            <w:vAlign w:val="center"/>
          </w:tcPr>
          <w:p>
            <w:pPr>
              <w:keepNext/>
              <w:spacing w:before="20" w:after="20" w:line="240" w:lineRule="auto"/>
              <w:jc w:val="center"/>
              <w:rPr>
                <w:lang w:val="pt-BR"/>
              </w:rPr>
            </w:pPr>
            <w:r>
              <w:rPr>
                <w:lang w:val="pt-BR"/>
              </w:rPr>
              <w:t xml:space="preserve">2,845</w:t>
            </w:r>
          </w:p>
        </w:tc>
        <w:tc>
          <w:tcPr>
            <w:tcW w:w="1000" w:type="dxa"/>
            <w:vAlign w:val="center"/>
          </w:tcPr>
          <w:p>
            <w:pPr>
              <w:keepNext/>
              <w:spacing w:before="20" w:after="20" w:line="240" w:lineRule="auto"/>
              <w:jc w:val="center"/>
              <w:rPr>
                <w:lang w:val="pt-BR"/>
              </w:rPr>
            </w:pPr>
            <w:r>
              <w:rPr>
                <w:lang w:val="pt-BR"/>
              </w:rPr>
              <w:t xml:space="preserve">9,157</w:t>
            </w:r>
          </w:p>
        </w:tc>
        <w:tc>
          <w:tcPr>
            <w:tcW w:w="880" w:type="dxa"/>
            <w:vAlign w:val="center"/>
          </w:tcPr>
          <w:p>
            <w:pPr>
              <w:keepNext/>
              <w:spacing w:before="20" w:after="20" w:line="240" w:lineRule="auto"/>
              <w:jc w:val="center"/>
              <w:rPr>
                <w:lang w:val="pt-BR"/>
              </w:rPr>
            </w:pPr>
            <w:r>
              <w:rPr>
                <w:lang w:val="pt-BR"/>
              </w:rPr>
              <w:t xml:space="preserve">0,311</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214,109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31,97</w:t>
            </w:r>
          </w:p>
        </w:tc>
        <w:tc>
          <w:tcPr>
            <w:tcW w:w="940" w:type="dxa"/>
            <w:vAlign w:val="center"/>
          </w:tcPr>
          <w:p>
            <w:pPr>
              <w:keepNext/>
              <w:spacing w:before="20" w:after="20" w:line="240" w:lineRule="auto"/>
              <w:jc w:val="center"/>
              <w:rPr>
                <w:lang w:val="pt-BR"/>
              </w:rPr>
            </w:pPr>
            <w:r>
              <w:rPr>
                <w:lang w:val="pt-BR"/>
              </w:rPr>
              <w:t xml:space="preserve">1,080</w:t>
            </w:r>
          </w:p>
        </w:tc>
        <w:tc>
          <w:tcPr>
            <w:tcW w:w="1000" w:type="dxa"/>
            <w:vAlign w:val="center"/>
          </w:tcPr>
          <w:p>
            <w:pPr>
              <w:keepNext/>
              <w:spacing w:before="20" w:after="20" w:line="240" w:lineRule="auto"/>
              <w:jc w:val="center"/>
              <w:rPr>
                <w:lang w:val="pt-BR"/>
              </w:rPr>
            </w:pPr>
            <w:r>
              <w:rPr>
                <w:lang w:val="pt-BR"/>
              </w:rPr>
              <w:t xml:space="preserve">5,256</w:t>
            </w:r>
          </w:p>
        </w:tc>
        <w:tc>
          <w:tcPr>
            <w:tcW w:w="880" w:type="dxa"/>
            <w:vAlign w:val="center"/>
          </w:tcPr>
          <w:p>
            <w:pPr>
              <w:keepNext/>
              <w:spacing w:before="20" w:after="20" w:line="240" w:lineRule="auto"/>
              <w:jc w:val="center"/>
              <w:rPr>
                <w:lang w:val="pt-BR"/>
              </w:rPr>
            </w:pPr>
            <w:r>
              <w:rPr>
                <w:lang w:val="pt-BR"/>
              </w:rPr>
              <w:t xml:space="preserve">0,205</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234,109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18,16</w:t>
            </w:r>
          </w:p>
        </w:tc>
        <w:tc>
          <w:tcPr>
            <w:tcW w:w="940" w:type="dxa"/>
            <w:vAlign w:val="center"/>
          </w:tcPr>
          <w:p>
            <w:pPr>
              <w:keepNext/>
              <w:spacing w:before="20" w:after="20" w:line="240" w:lineRule="auto"/>
              <w:jc w:val="center"/>
              <w:rPr>
                <w:lang w:val="pt-BR"/>
              </w:rPr>
            </w:pPr>
            <w:r>
              <w:rPr>
                <w:lang w:val="pt-BR"/>
              </w:rPr>
              <w:t xml:space="preserve">0,352</w:t>
            </w:r>
          </w:p>
        </w:tc>
        <w:tc>
          <w:tcPr>
            <w:tcW w:w="1000" w:type="dxa"/>
            <w:vAlign w:val="center"/>
          </w:tcPr>
          <w:p>
            <w:pPr>
              <w:keepNext/>
              <w:spacing w:before="20" w:after="20" w:line="240" w:lineRule="auto"/>
              <w:jc w:val="center"/>
              <w:rPr>
                <w:lang w:val="pt-BR"/>
              </w:rPr>
            </w:pPr>
            <w:r>
              <w:rPr>
                <w:lang w:val="pt-BR"/>
              </w:rPr>
              <w:t xml:space="preserve">1,789</w:t>
            </w:r>
          </w:p>
        </w:tc>
        <w:tc>
          <w:tcPr>
            <w:tcW w:w="880" w:type="dxa"/>
            <w:vAlign w:val="center"/>
          </w:tcPr>
          <w:p>
            <w:pPr>
              <w:keepNext/>
              <w:spacing w:before="20" w:after="20" w:line="240" w:lineRule="auto"/>
              <w:jc w:val="center"/>
              <w:rPr>
                <w:lang w:val="pt-BR"/>
              </w:rPr>
            </w:pPr>
            <w:r>
              <w:rPr>
                <w:lang w:val="pt-BR"/>
              </w:rPr>
              <w:t xml:space="preserve">0,197</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3B.9); τ</w:t>
      </w:r>
      <w:r>
        <w:rPr>
          <w:sz w:val="20"/>
          <w:szCs w:val="20"/>
          <w:vertAlign w:val="subscript"/>
          <w:lang w:val="pt-BR"/>
        </w:rPr>
        <w:t xml:space="preserve">g</w:t>
      </w:r>
      <w:r>
        <w:rPr>
          <w:sz w:val="20"/>
          <w:szCs w:val="20"/>
          <w:lang w:val="pt-BR"/>
        </w:rPr>
        <w:t xml:space="preserve"> considera o membro humano e o braço do exoesqueleto.</w:t>
      </w:r>
    </w:p>
    <w:p>
      <w:pPr>
        <w:keepNext/>
        <w:spacing w:before="120" w:after="60"/>
        <w:rPr>
          <w:lang w:val="pt-BR"/>
        </w:rPr>
      </w:pPr>
      <w:r>
        <w:rPr>
          <w:b/>
          <w:lang w:val="pt-BR"/>
        </w:rPr>
        <w:t xml:space="preserve">Figura 12: Torque do elástico com K = K</w:t>
      </w:r>
      <w:r>
        <w:rPr>
          <w:b/>
          <w:vertAlign w:val="subscript"/>
          <w:lang w:val="pt-BR"/>
        </w:rPr>
        <w:t xml:space="preserve">40</w:t>
      </w:r>
      <w:r>
        <w:rPr>
          <w:b/>
          <w:lang w:val="pt-BR"/>
        </w:rPr>
        <w:t xml:space="preserve"> no cenário de projeto, torque do peso do membro e do braço do exoesqueleto e alvo de 40%</w:t>
      </w:r>
    </w:p>
    <w:p>
      <w:pPr>
        <w:keepNext/>
        <w:spacing w:after="60"/>
        <w:jc w:val="center"/>
        <w:rPr>
          <w:lang w:val="pt-BR"/>
        </w:rPr>
      </w:pPr>
      <w:r>
        <w:rPr>
          <w:noProof/>
          <w:lang w:val="pt-BR"/>
        </w:rPr>
        <w:drawing>
          <wp:inline distT="0" distB="0" distL="0" distR="0">
            <wp:extent cx="5486400" cy="2880360"/>
            <wp:effectExtent l="0" t="0" r="0" b="0"/>
            <wp:docPr id="1007" name="Imagem 1007"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Torque do elástico no cenário de projeto, torque do peso e 40 por cento do torque do peso em função da anteversão, com a razão entre eles indicada em 30, 60, 90, 120 e 150 graus."/>
                    <pic:cNvPicPr/>
                  </pic:nvPicPr>
                  <pic:blipFill>
                    <a:blip r:embed="rIdExo2F7"/>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0,892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1,44125 a 1,50164 N/mm, e o pico de τ, de 4,368 a 4,388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4A.8,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83,60° e 177,05°, de modo que, no modelo, a subcompensação recai sobre a faixa acima da horizontal, onde se concentra o risco documentado por van der Molen et al. (2017) e Seidler et al. (2020). Como essa forma depende da geometria do CAD, que não reproduz a Figura 16 da patente (seção 4B.5), a leitura vale para o modelo.</w:t>
      </w:r>
    </w:p>
    <w:p>
      <w:pPr>
        <w:pStyle w:val="Ttulo2"/>
        <w:rPr>
          <w:lang w:val="pt-BR"/>
        </w:rPr>
      </w:pPr>
      <w:r>
        <w:rPr>
          <w:lang w:val="pt-BR"/>
        </w:rPr>
        <w:t xml:space="preserve">4B.10 Limitações dos resultados</w:t>
      </w:r>
    </w:p>
    <w:p>
      <w:pPr>
        <w:rPr>
          <w:lang w:val="pt-BR"/>
        </w:rPr>
      </w:pPr>
      <w:r>
        <w:rPr>
          <w:lang w:val="pt-BR"/>
        </w:rPr>
        <w:t xml:space="preserve">Além das limitações de escopo da seção 3B.13,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4A.1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q</w:t>
            </w:r>
            <w:r>
              <w:rPr>
                <w:vertAlign w:val="subscript"/>
                <w:lang w:val="pt-BR"/>
              </w:rPr>
              <w:t xml:space="preserve">0</w:t>
            </w:r>
            <w:r>
              <w:rPr>
                <w:lang w:val="pt-BR"/>
              </w:rPr>
              <w:t xml:space="preserve">, o contato,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3B.3 e 4B.4)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3B.3)</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e</w:t>
            </w:r>
            <w:r>
              <w:rPr>
                <w:vertAlign w:val="subscript"/>
                <w:lang w:val="pt-BR"/>
              </w:rPr>
              <w:t xml:space="preserve">c</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e</w:t>
            </w:r>
            <w:r>
              <w:rPr>
                <w:vertAlign w:val="subscript"/>
                <w:lang w:val="pt-BR"/>
              </w:rPr>
              <w:t xml:space="preserve">c</w:t>
            </w:r>
          </w:p>
        </w:tc>
        <w:tc>
          <w:tcPr>
            <w:tcW w:w="3480" w:type="dxa"/>
            <w:vAlign w:val="center"/>
          </w:tcPr>
          <w:p>
            <w:pPr>
              <w:keepNext/>
              <w:spacing w:before="20" w:after="20" w:line="240" w:lineRule="auto"/>
              <w:rPr>
                <w:lang w:val="pt-BR"/>
              </w:rPr>
            </w:pPr>
            <w:r>
              <w:rPr>
                <w:lang w:val="pt-BR"/>
              </w:rPr>
              <w:t xml:space="preserve">Conferir e</w:t>
            </w:r>
            <w:r>
              <w:rPr>
                <w:vertAlign w:val="subscript"/>
                <w:lang w:val="pt-BR"/>
              </w:rPr>
              <w:t xml:space="preserve">c</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 = 0, preferido pela patente</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e</w:t>
            </w:r>
            <w:r>
              <w:rPr>
                <w:vertAlign w:val="subscript"/>
                <w:lang w:val="pt-BR"/>
              </w:rPr>
              <w:t xml:space="preserve">c</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4B.11 Comparação com o exoesqueleto 1</w:t>
      </w:r>
    </w:p>
    <w:p>
      <w:pPr>
        <w:rPr>
          <w:lang w:val="pt-BR"/>
        </w:rPr>
      </w:pPr>
      <w:r>
        <w:rPr>
          <w:lang w:val="pt-BR"/>
        </w:rPr>
        <w:t xml:space="preserve">A Tabela 26 compara os dois dispositivos com os números das seções 4A e 4B. Os ângulos são comparáveis porque as duas convenções medem o braço a partir da posição pendente: a elevação anatômica da seção 3A.3 e a anteversão da seção 3B.3.</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4A)</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4B)</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0,569 a 0,947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150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Membro humano e braço do exoesqueleto, pico de 10,604 N·m</w:t>
            </w:r>
          </w:p>
        </w:tc>
      </w:tr>
    </w:tbl>
    <w:p>
      <w:pPr>
        <w:spacing w:before="60" w:after="60"/>
        <w:rPr>
          <w:lang w:val="pt-BR"/>
        </w:rPr>
      </w:pPr>
      <w:r>
        <w:rPr>
          <w:sz w:val="20"/>
          <w:szCs w:val="20"/>
          <w:lang w:val="pt-BR"/>
        </w:rPr>
        <w:t xml:space="preserve">Fonte: elaborada pelo autor, com os resultados das seções 4A e 4B.</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lang w:val="pt-BR"/>
        </w:rPr>
        <w:t xml:space="preserve">0</w:t>
      </w:r>
      <w:r>
        <w:rPr>
          <w:lang w:val="pt-BR"/>
        </w:rPr>
        <w:t xml:space="preserve"> adotado, a forma normalizada do elástico na EP 3 504 033 B1 acompanha a do peso de 46° a 84° e fica abaixo dela entre 84° e 177°, com diferença normalizada de até −0,270 em 139,3°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5A trata do gerador de torque da US 9.889.554 B2, e a seção 5B, do dispositivo da EP 3 504 033 B1.</w:t>
      </w:r>
    </w:p>
    <w:p>
      <w:pPr>
        <w:pStyle w:val="Ttulo2"/>
        <w:rPr>
          <w:lang w:val="pt-BR"/>
        </w:rPr>
      </w:pPr>
      <w:r>
        <w:rPr>
          <w:lang w:val="pt-BR"/>
        </w:rPr>
        <w:t xml:space="preserve">5A EXOESQUELETO 1: US 9.889.554 B2</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5B.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3B, 4B e 5B.</w:t>
      </w:r>
    </w:p>
    <w:p>
      <w:pPr>
        <w:pStyle w:val="Ttulo2"/>
        <w:rPr>
          <w:lang w:val="pt-BR"/>
        </w:rPr>
      </w:pPr>
      <w:r>
        <w:rPr>
          <w:lang w:val="pt-BR"/>
        </w:rPr>
        <w:t xml:space="preserve">5B EXOESQUELETO 2: EP 3 504 033 B1</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e</w:t>
      </w:r>
      <w:r>
        <w:rPr>
          <w:vertAlign w:val="subscript"/>
          <w:lang w:val="pt-BR"/>
        </w:rPr>
        <w:t xml:space="preserve">c</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0,39 em 20° a 2,97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1,467 N/mm, e o elástico trabalha de 149,7 N com o braço pendente a 14,3 N com o braço elevado, com deformação máxima de 35,5% do comprimento de referência. O torque atinge 4,376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0,47 em 10°, 0,34 em 30°, 0,43 em 60°, 0,40 em 90° e 0,21 em 150°, com mínimo de 0,18 em 163,4°.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e</w:t>
      </w:r>
      <w:r>
        <w:rPr>
          <w:vertAlign w:val="subscript"/>
          <w:lang w:val="pt-BR"/>
        </w:rPr>
        <w:t xml:space="preserve">c</w:t>
      </w:r>
      <w:r>
        <w:rPr>
          <w:lang w:val="pt-BR"/>
        </w:rPr>
        <w:t xml:space="preserve"> mostrou que o elástico permanece tracionado em toda a faixa só para e</w:t>
      </w:r>
      <w:r>
        <w:rPr>
          <w:vertAlign w:val="subscript"/>
          <w:lang w:val="pt-BR"/>
        </w:rPr>
        <w:t xml:space="preserve">c</w:t>
      </w:r>
      <w:r>
        <w:rPr>
          <w:lang w:val="pt-BR"/>
        </w:rPr>
        <w:t xml:space="preserve"> ≤ 44,50 mm; o aumento de e</w:t>
      </w:r>
      <w:r>
        <w:rPr>
          <w:vertAlign w:val="subscript"/>
          <w:lang w:val="pt-BR"/>
        </w:rPr>
        <w:t xml:space="preserve">c</w:t>
      </w:r>
      <w:r>
        <w:rPr>
          <w:lang w:val="pt-BR"/>
        </w:rPr>
        <w:t xml:space="preserve"> antecipa a transição de regime, de 26,91° para 14,46°, e desloca o pico do torque de 84,7° para 74,8° entre e</w:t>
      </w:r>
      <w:r>
        <w:rPr>
          <w:vertAlign w:val="subscript"/>
          <w:lang w:val="pt-BR"/>
        </w:rPr>
        <w:t xml:space="preserve">c</w:t>
      </w:r>
      <w:r>
        <w:rPr>
          <w:lang w:val="pt-BR"/>
        </w:rPr>
        <w:t xml:space="preserve"> = 25 mm e e</w:t>
      </w:r>
      <w:r>
        <w:rPr>
          <w:vertAlign w:val="subscript"/>
          <w:lang w:val="pt-BR"/>
        </w:rPr>
        <w:t xml:space="preserve">c</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o membro humano e o braço do exoesqueleto, mas não a alavanca, o elemento 78 e a braçadeira, previstos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3B.12.</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89,7°),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e o valor de e</w:t>
      </w:r>
      <w:r>
        <w:rPr>
          <w:vertAlign w:val="subscript"/>
          <w:lang w:val="pt-BR"/>
        </w:rPr>
        <w:t xml:space="preserve">c</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r>
        <w:t xml:space="preserve">OKABE, E. P.; BRITTES, J. L. P.; BRITO, P. L. A. Modeling and simulation of an upper limb exoskeleton. </w:t>
      </w:r>
      <w:r>
        <w:rPr>
          <w:b/>
        </w:rPr>
        <w:t>Journal of Computational and Nonlinear Dynamics</w:t>
      </w:r>
      <w:r>
        <w:t xml:space="preserve">, [S.l.], v. 21, n. 7, art. 071006, jul. 2026.</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p>
      <w:r>
        <w:t xml:space="preserve">ZEIAEE, A. et al. Design and kinematic analysis of a novel upper limb exoskeleton for rehabilitation of stroke patients. In: INTERNATIONAL CONFERENCE ON REHABILITATION ROBOTICS (ICORR), 2017, Londres. </w:t>
      </w:r>
      <w:r>
        <w:rPr>
          <w:b/>
        </w:rPr>
        <w:t>Proceedings</w:t>
      </w:r>
      <w:r>
        <w:t xml:space="preserve"> [...]. [S.l.]: IEEE, 2017. p. 759-764. DOI: </w:t>
      </w:r>
      <w:hyperlink r:id="rIdExo2Doi2" w:history="1">
        <w:r>
          <w:rPr>
            <w:rStyle w:val="Hyperlink"/>
          </w:rPr>
          <w:t>10.1109/ICORR.2017.8009339</w:t>
        </w:r>
      </w:hyperlink>
      <w: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 Id="rIdExo2Doi2" Type="http://schemas.openxmlformats.org/officeDocument/2006/relationships/hyperlink" Target="https://doi.org/10.1109/ICORR.2017.800933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