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52B92" w14:textId="77777777" w:rsidR="00FD1B34" w:rsidRPr="00955B75" w:rsidRDefault="00000000">
      <w:pPr>
        <w:pStyle w:val="Ttulo1"/>
        <w:rPr>
          <w:lang w:val="pt-BR"/>
        </w:rPr>
      </w:pPr>
      <w:r>
        <w:rPr>
          <w:lang w:val="pt-BR"/>
        </w:rPr>
        <w:t>Modelagem e simulação de mecanismos passivos de apoio ao braço</w:t>
      </w:r>
    </w:p>
    <w:p w14:paraId="1D605F23" w14:textId="77777777" w:rsidR="00FD1B34" w:rsidRPr="00955B75" w:rsidRDefault="00000000">
      <w:pPr>
        <w:pStyle w:val="Ttulo2"/>
        <w:rPr>
          <w:lang w:val="pt-BR"/>
        </w:rPr>
      </w:pPr>
      <w:r>
        <w:rPr>
          <w:lang w:val="pt-BR"/>
        </w:rPr>
        <w:t>1 INTRODUÇÃO</w:t>
      </w:r>
    </w:p>
    <w:p w14:paraId="152E7EB6" w14:textId="77777777" w:rsidR="00FD1B34" w:rsidRPr="00955B75" w:rsidRDefault="00000000">
      <w:pPr>
        <w:rPr>
          <w:lang w:val="pt-BR"/>
        </w:rPr>
      </w:pPr>
      <w:r>
        <w:rPr>
          <w:lang w:val="pt-BR"/>
        </w:rPr>
        <w:t xml:space="preserve">Vários setores como: Montagem automotiva, construção civil, solda e manutenção industrial exigem do trabalhador a manutenção dos braços elevados, muitas vezes acima da linha dos ombros. A análise de van der Molen et al. (2017) associa a elevação dos braços ao dobro do risco de distúrbios na articulação ombro, e Seidler et al. (2020) estimam aumento de 21% no risco a cada mil horas de trabalho com as mãos acima dessa linha.</w:t>
      </w:r>
    </w:p>
    <w:p w14:paraId="33BFBA0D" w14:textId="77777777" w:rsidR="00FD1B34" w:rsidRPr="00955B75" w:rsidRDefault="00000000">
      <w:pPr>
        <w:rPr>
          <w:lang w:val="pt-BR"/>
        </w:rPr>
      </w:pPr>
      <w:r>
        <w:rPr>
          <w:lang w:val="pt-BR"/>
        </w:rPr>
        <w:t>Em 2025, no Brasil, foram concedidos 4,12 milhões afastamentos por incapacidade temporária, e as lesões do ombro (CID M75) ficaram entre as maiores causas, com 135.093 concessões (AGÊNCIA BRASIL, 2026). Na série de 2008 a 2018, os distúrbios osteomusculares relacionados ao trabalho responderam por 786.923 benefícios acidentários, e o CID M75 foi a razão de afastamento mais frequente entre as mulheres (MANOEL; CAVALCANTE, 2025).</w:t>
      </w:r>
    </w:p>
    <w:p w14:paraId="5D514576" w14:textId="77777777" w:rsidR="00FD1B34" w:rsidRPr="00955B75" w:rsidRDefault="00000000">
      <w:pPr>
        <w:rPr>
          <w:lang w:val="pt-BR"/>
        </w:rPr>
      </w:pPr>
      <w:r>
        <w:rPr>
          <w:lang w:val="pt-BR"/>
        </w:rPr>
        <w:t>Os exoesqueletos surgem, então, como uma das respostas a esse problema. Os modelos passivos, que devolvem ao usuário a energia armazenada em molas, são os modelos predominantes no meio industrial por serem leves, baratos e independentes de fonte externa de energia (DE LOOZE et al., 2016; REYES et al., 2023). Revisões de estudos experimentais sugerem redução consistente da atividade dos deltoides e do trapézio durante o trabalho acima da cabeça (BÄR et al., 2021; MOELLER et al., 2022).</w:t>
      </w:r>
    </w:p>
    <w:p w14:paraId="11E29750" w14:textId="77777777" w:rsidR="00FD1B34" w:rsidRPr="00955B75" w:rsidRDefault="00000000">
      <w:pPr>
        <w:rPr>
          <w:lang w:val="pt-BR"/>
        </w:rPr>
      </w:pPr>
      <w:r>
        <w:rPr>
          <w:lang w:val="pt-BR"/>
        </w:rPr>
        <w:t xml:space="preserve">Em um dispositivo passivo o auxílio é consequência da geometria do mecanismo e da mola. O torque entregue é uma função do ângulo de elevação, e projetar o dispositivo significa aproximar essa curva do torque gravitacional do braço. Quando as duas curvas se afastam, o exoesqueleto ajuda demais em uma faixa e de menos em outra, provocando uma compensação com a musculatura do usuário (NASR; FERGUSON; McPHEE, 2022).</w:t>
      </w:r>
    </w:p>
    <w:p w14:paraId="3CD38A91" w14:textId="77777777" w:rsidR="00FD1B34" w:rsidRPr="00955B75" w:rsidRDefault="00000000">
      <w:pPr>
        <w:rPr>
          <w:lang w:val="pt-BR"/>
        </w:rPr>
      </w:pPr>
      <w:r>
        <w:rPr>
          <w:lang w:val="pt-BR"/>
        </w:rPr>
        <w:t xml:space="preserve">Os modelos que chegaram ao mercado estão descritos em patentes, que detalham o mecanismo, mas não permitem quantificá-lo: apesar de conter as curvas de torque nos eixos, nenhuma delas informa massa, inércia ou rigidez. Avaliar um mecanismo desses exige reconstruir sua geometria e resolver o problema em duas etapas, o equilíbrio estático, que dimensiona a compensação de gravidade, e a dinâmica multicorpos, que expõe inércia, forças de Coriolis e atrito durante o movimento real.</w:t>
      </w:r>
    </w:p>
    <w:p w14:paraId="1A77A07D" w14:textId="77777777" w:rsidR="00FD1B34" w:rsidRPr="00955B75" w:rsidRDefault="00000000">
      <w:pPr>
        <w:rPr>
          <w:lang w:val="pt-BR"/>
        </w:rPr>
      </w:pPr>
      <w:r>
        <w:rPr>
          <w:lang w:val="pt-BR"/>
        </w:rPr>
        <w:t>Este trabalho trata dessa lacuna: modelar e simular, de forma integrada, o comportamento estático e dinâmico de mecanismos passivos de apoio ao braço reconstruídos a partir de suas patentes, usando formulações amplamente conhecidas como a formulação de Lagrange e parâmetros antropométricos de referência.</w:t>
      </w:r>
    </w:p>
    <w:p w14:paraId="7A549DA5" w14:textId="77777777" w:rsidR="00FD1B34" w:rsidRPr="00955B75" w:rsidRDefault="00000000">
      <w:pPr>
        <w:pStyle w:val="Ttulo2"/>
        <w:rPr>
          <w:lang w:val="pt-BR"/>
        </w:rPr>
      </w:pPr>
      <w:r>
        <w:rPr>
          <w:lang w:val="pt-BR"/>
        </w:rPr>
        <w:t>1.1 Objetivos</w:t>
      </w:r>
    </w:p>
    <w:p w14:paraId="1B30B2A9" w14:textId="77777777" w:rsidR="00FD1B34" w:rsidRPr="00955B75" w:rsidRDefault="00000000">
      <w:pPr>
        <w:pStyle w:val="Ttulo2"/>
        <w:rPr>
          <w:lang w:val="pt-BR"/>
        </w:rPr>
      </w:pPr>
      <w:r>
        <w:rPr>
          <w:lang w:val="pt-BR"/>
        </w:rPr>
        <w:t>1.1.1 Objetivo geral</w:t>
      </w:r>
    </w:p>
    <w:p w14:paraId="3642D0A4" w14:textId="77777777" w:rsidR="00FD1B34" w:rsidRPr="00955B75" w:rsidRDefault="00000000">
      <w:pPr>
        <w:rPr>
          <w:lang w:val="pt-BR"/>
        </w:rPr>
      </w:pPr>
      <w:r>
        <w:rPr>
          <w:lang w:val="pt-BR"/>
        </w:rPr>
        <w:t xml:space="preserve">Modelar e simular o comportamento estático e dinâmico de mecanismos passivos de apoio ao braço descritos em patentes, tomando como caso de referência o gerador de torque de mola da US 9.889.554 </w:t>
        <w:lastRenderedPageBreak/>
        <w:t>B2, US 9.737.374 B2 e da EP 3 504 033 B1 e comparar o torque entregue pelo mecanismo ao torque gravitacional do conjunto braço–exoesqueleto ao longo da faixa de elevação.</w:t>
      </w:r>
    </w:p>
    <w:p w14:paraId="3C4AF5DA" w14:textId="77777777" w:rsidR="00FD1B34" w:rsidRPr="00955B75" w:rsidRDefault="00000000">
      <w:pPr>
        <w:pStyle w:val="Ttulo2"/>
        <w:rPr>
          <w:lang w:val="pt-BR"/>
        </w:rPr>
      </w:pPr>
      <w:r>
        <w:rPr>
          <w:lang w:val="pt-BR"/>
        </w:rPr>
        <w:t>1.1.2 Objetivos específicos</w:t>
      </w:r>
    </w:p>
    <w:p w14:paraId="22C6709B" w14:textId="77777777" w:rsidR="00FD1B34" w:rsidRPr="00955B75" w:rsidRDefault="00000000">
      <w:pPr>
        <w:rPr>
          <w:lang w:val="pt-BR"/>
        </w:rPr>
      </w:pPr>
      <w:r>
        <w:rPr>
          <w:lang w:val="pt-BR"/>
        </w:rPr>
        <w:t>a) reconstruir em CAD a geometria do gerador de torque a partir dos desenhos da patente e extrair massa, centro de massa e momentos de inércia de cada peça;</w:t>
      </w:r>
    </w:p>
    <w:p w14:paraId="31DABDEE" w14:textId="77777777" w:rsidR="00FD1B34" w:rsidRPr="00955B75" w:rsidRDefault="00000000">
      <w:pPr>
        <w:rPr>
          <w:lang w:val="pt-BR"/>
        </w:rPr>
      </w:pPr>
      <w:r>
        <w:rPr>
          <w:lang w:val="pt-BR"/>
        </w:rPr>
        <w:t>b) estimar os parâmetros inerciais de braço, antebraço e mão segundo de Leva (1996) e transportá-los ao eixo da junta pelo teorema dos eixos paralelos;</w:t>
      </w:r>
    </w:p>
    <w:p w14:paraId="2FB52236" w14:textId="77777777" w:rsidR="00FD1B34" w:rsidRPr="00955B75" w:rsidRDefault="00000000">
      <w:pPr>
        <w:rPr>
          <w:lang w:val="pt-BR"/>
        </w:rPr>
      </w:pPr>
      <w:r>
        <w:rPr>
          <w:lang w:val="pt-BR"/>
        </w:rPr>
        <w:t>c) formular a cinemática de circuito fechado do mecanismo, obtendo o comprimento do cabo, a condição de tangência na polia, o braço de momento e o torque em função do ângulo;</w:t>
      </w:r>
    </w:p>
    <w:p w14:paraId="52EE47C9" w14:textId="77777777" w:rsidR="00FD1B34" w:rsidRPr="00955B75" w:rsidRDefault="00000000">
      <w:pPr>
        <w:rPr>
          <w:lang w:val="pt-BR"/>
        </w:rPr>
      </w:pPr>
      <w:r>
        <w:rPr>
          <w:lang w:val="pt-BR"/>
        </w:rPr>
        <w:t>d) identificar, por mínimos quadrados e sob restrições geométricas declaradas, os parâmetros que a patente não informa — posição da ancoragem, comprimento livre e rigidez da mola e calibração angular;</w:t>
      </w:r>
    </w:p>
    <w:p w14:paraId="1A44BF84" w14:textId="77777777" w:rsidR="00FD1B34" w:rsidRPr="00955B75" w:rsidRDefault="00000000">
      <w:pPr>
        <w:rPr>
          <w:lang w:val="pt-BR"/>
        </w:rPr>
      </w:pPr>
      <w:r>
        <w:rPr>
          <w:lang w:val="pt-BR"/>
        </w:rPr>
        <w:t>e) calcular, de forma independente da cadeia do cabo, o torque gravitacional do conjunto braço–exoesqueleto e confrontar as duas curvas ao longo da faixa de elevação;</w:t>
      </w:r>
    </w:p>
    <w:p w14:paraId="5A73E818" w14:textId="77777777" w:rsidR="00FD1B34" w:rsidRPr="00955B75" w:rsidRDefault="00000000">
      <w:pPr>
        <w:rPr>
          <w:lang w:val="pt-BR"/>
        </w:rPr>
      </w:pPr>
      <w:r>
        <w:rPr>
          <w:lang w:val="pt-BR"/>
        </w:rPr>
        <w:t>f) obter a equação de movimento pela formulação de Lagrange e integrá-la numericamente, avaliando a resposta sob velocidades e acelerações transitórias;</w:t>
      </w:r>
    </w:p>
    <w:p w14:paraId="2B9BC2F4" w14:textId="77777777" w:rsidR="00FD1B34" w:rsidRPr="00955B75" w:rsidRDefault="00000000">
      <w:pPr>
        <w:rPr>
          <w:lang w:val="pt-BR"/>
        </w:rPr>
      </w:pPr>
      <w:r>
        <w:rPr>
          <w:lang w:val="pt-BR"/>
        </w:rPr>
        <w:t xml:space="preserve">g) acoplar o modelo ao MBDyn por meio de força estrutural externa, com troca de dados via </w:t>
      </w:r>
      <w:r>
        <w:rPr>
          <w:i/>
          <w:lang w:val="pt-BR"/>
        </w:rPr>
        <w:t>socket</w:t>
      </w:r>
      <w:r>
        <w:rPr>
          <w:lang w:val="pt-BR"/>
        </w:rPr>
        <w:t xml:space="preserve">, para a simulação multicorpos do conjunto humano–exoesqueleto.</w:t>
      </w:r>
    </w:p>
    <w:p w14:paraId="1192C324" w14:textId="77777777" w:rsidR="00FD1B34" w:rsidRPr="00955B75" w:rsidRDefault="00000000">
      <w:pPr>
        <w:pStyle w:val="Ttulo2"/>
        <w:rPr>
          <w:lang w:val="pt-BR"/>
        </w:rPr>
      </w:pPr>
      <w:r>
        <w:rPr>
          <w:lang w:val="pt-BR"/>
        </w:rPr>
        <w:t>1.2 Justificativa</w:t>
      </w:r>
    </w:p>
    <w:p w14:paraId="4654EDE8" w14:textId="77777777" w:rsidR="00FD1B34" w:rsidRPr="00955B75" w:rsidRDefault="00000000">
      <w:pPr>
        <w:rPr>
          <w:lang w:val="pt-BR"/>
        </w:rPr>
      </w:pPr>
      <w:r>
        <w:rPr>
          <w:lang w:val="pt-BR"/>
        </w:rPr>
        <w:t xml:space="preserve">O auxílio de um exoesqueleto passivo depende apenas da geometria e da mola, parâmetros que são definidos durante o projeto e inalteráveis após a manufatura do modelo. Um modelo confiável permite estudar rigidez, pré-carga e posição dos suportes antes do protótipo físico, quando mudar ainda é barato, e permite comparar mecanismos concorrentes sobre a mesma base quantitativa — algo que as patentes, por si, não oferecem.</w:t>
      </w:r>
    </w:p>
    <w:p w14:paraId="4337AF1A" w14:textId="77777777" w:rsidR="00FD1B34" w:rsidRPr="00955B75" w:rsidRDefault="00000000">
      <w:pPr>
        <w:rPr>
          <w:lang w:val="pt-BR"/>
        </w:rPr>
      </w:pPr>
      <w:r>
        <w:rPr>
          <w:lang w:val="pt-BR"/>
        </w:rPr>
        <w:t xml:space="preserve">A escolha de ferramentas livres, Python e MBDyn, torna o modelo reprodutível por outros grupos e extensível a sistemas multicorpos mais completos. E o tema tem endereço local: as lesões de ombro continuam entre as principais causas de afastamento no país, em setores que concentram trabalho acima da cabeça.</w:t>
      </w:r>
    </w:p>
    <w:p w14:paraId="4A455FC5" w14:textId="77777777" w:rsidR="00FD1B34" w:rsidRPr="00955B75" w:rsidRDefault="00000000">
      <w:pPr>
        <w:pStyle w:val="Ttulo2"/>
        <w:rPr>
          <w:lang w:val="pt-BR"/>
        </w:rPr>
      </w:pPr>
      <w:r>
        <w:rPr>
          <w:lang w:val="pt-BR"/>
        </w:rPr>
        <w:t>2 FUNDAMENTAÇÃO TEÓRICA</w:t>
      </w:r>
    </w:p>
    <w:p w14:paraId="6277F4E9" w14:textId="77777777" w:rsidR="00FD1B34" w:rsidRPr="00955B75" w:rsidRDefault="00000000">
      <w:pPr>
        <w:pStyle w:val="Ttulo2"/>
        <w:rPr>
          <w:lang w:val="pt-BR"/>
        </w:rPr>
      </w:pPr>
      <w:r>
        <w:rPr>
          <w:lang w:val="pt-BR"/>
        </w:rPr>
        <w:t>2.1 Carga do ombro no trabalho acima da cabeça</w:t>
      </w:r>
    </w:p>
    <w:p w14:paraId="2EFB8183" w14:textId="77777777" w:rsidR="00FD1B34" w:rsidRPr="00955B75" w:rsidRDefault="00000000">
      <w:pPr>
        <w:rPr>
          <w:lang w:val="pt-BR"/>
        </w:rPr>
      </w:pPr>
      <w:r>
        <w:rPr>
          <w:lang w:val="pt-BR"/>
        </w:rPr>
        <w:t>Durante atividades que exigem a manutenção dos braços elevados, o sistema musculoesquelético é submetido a demandas intensas de torque articular (MOELLER et al., 2022; PERRY; ROSEN; BURNS, 2007). A contração dos músculos flexores e abdutores para vencer a gravidade induz à fadiga precoce e eleva o risco de Distúrbios Osteomusculares Relacionados ao Trabalho (DORT).</w:t>
      </w:r>
    </w:p>
    <w:p w14:paraId="01A44387" w14:textId="77777777" w:rsidR="00FD1B34" w:rsidRPr="00955B75" w:rsidRDefault="00000000">
      <w:pPr>
        <w:rPr>
          <w:lang w:val="pt-BR"/>
        </w:rPr>
      </w:pPr>
      <w:r>
        <w:rPr>
          <w:lang w:val="pt-BR"/>
        </w:rPr>
        <w:lastRenderedPageBreak/>
        <w:t xml:space="preserve">A evidência epidemiológica disponível indica relação dose-dependente entre a exposição postural e o desfecho clínico. A meta-análise de van der Molen et al. (2017) atribui à elevação de braços e mãos a duplicação do risco de distúrbios específicos do ombro, enquanto Seidler et al. (2020) quantificam acréscimo de 21% no risco a cada mil horas acumuladas de trabalho com as mãos acima da linha dos ombros — faixa angular na qual se intensifica a compressão subacromial sobre os tendões do manguito rotador.</w:t>
      </w:r>
    </w:p>
    <w:p w14:paraId="15BF49B8" w14:textId="77777777" w:rsidR="00FD1B34" w:rsidRPr="00955B75" w:rsidRDefault="00000000">
      <w:pPr>
        <w:rPr>
          <w:lang w:val="pt-BR"/>
        </w:rPr>
      </w:pPr>
      <w:r>
        <w:rPr>
          <w:lang w:val="pt-BR"/>
        </w:rPr>
        <w:t>O torque exigido do ombro depende do ângulo de elevação (</w:t>
      </w:r>
      <w:r>
        <w:t>θ</w:t>
      </w:r>
      <w:r>
        <w:rPr>
          <w:lang w:val="pt-BR"/>
        </w:rPr>
        <w:t xml:space="preserve">). Sob condições estáticas ou semiestáticas, o momento gravitacional sobre o conjunto braço–antebraço varia proporcionalmente ao seno do ângulo articular, com pico quando o segmento fica perpendicular ao vetor da gravidade, a 90° de elevação (GRAZI et al., 2020; PALAZZI et al., 2022). É esse perfil que qualquer dispositivo de apoio precisa acompanhar.</w:t>
      </w:r>
    </w:p>
    <w:p w14:paraId="667BC9BF" w14:textId="77777777" w:rsidR="00FD1B34" w:rsidRPr="00955B75" w:rsidRDefault="00000000">
      <w:pPr>
        <w:pStyle w:val="Ttulo2"/>
        <w:rPr>
          <w:lang w:val="pt-BR"/>
        </w:rPr>
      </w:pPr>
      <w:r>
        <w:rPr>
          <w:lang w:val="pt-BR"/>
        </w:rPr>
        <w:t>2.2 Exoesqueletos de membro superior</w:t>
      </w:r>
    </w:p>
    <w:p w14:paraId="35F788AE" w14:textId="77777777" w:rsidR="00FD1B34" w:rsidRPr="00955B75" w:rsidRDefault="00000000">
      <w:pPr>
        <w:rPr>
          <w:lang w:val="pt-BR"/>
        </w:rPr>
      </w:pPr>
      <w:r>
        <w:rPr>
          <w:lang w:val="pt-BR"/>
        </w:rPr>
        <w:t>Avanços na robótica e na biomecânica aceleraram o desenvolvimento de exoesqueletos que interagem com a estrutura musculoesquelética humana (GULL; BAI; BAK, 2020). Na reabilitação, apoiam pacientes com sequelas neurológicas, como as do Acidente Vascular Cerebral (BARSOTTI et al., 2015; BOUTERAA; BEN ABDALLAH, 2016; ZEIAEE et al., 2017); na indústria, reduzem a sobrecarga física de trabalhadores (MOELLER et al., 2022; SPADA et al., 2017).</w:t>
      </w:r>
    </w:p>
    <w:p w14:paraId="744346BC" w14:textId="77777777" w:rsidR="00FD1B34" w:rsidRDefault="00000000">
      <w:r>
        <w:rPr>
          <w:lang w:val="pt-BR"/>
        </w:rPr>
        <w:t xml:space="preserve">Quanto à fonte de energia empregada, tais dispositivos classificam-se em ativos, que incorporam atuadores, sensores e malhas de controle (PERRY; ROSEN; BURNS, 2007; RAHMAN et al., 2015); passivos, que armazenam e restituem energia por meio de elementos elásticos, sem qualquer fonte externa de potência; e semipassivos, que regulam mecanicamente o nível de assistência sem, contudo, injetar energia no movimento (GRAZI et al., 2020). No contexto ocupacional de apoio ao ombro, as arquiteturas passivas predominam, e o estado da arte, os desafios abertos e as direções futuras de pesquisa desse grupo encontram-se sistematizados por Reyes et al. </w:t>
      </w:r>
      <w:r>
        <w:t>(2023).</w:t>
      </w:r>
    </w:p>
    <w:p w14:paraId="53FD9E18" w14:textId="77777777" w:rsidR="00FD1B34" w:rsidRPr="00955B75" w:rsidRDefault="00000000">
      <w:pPr>
        <w:rPr>
          <w:lang w:val="pt-BR"/>
        </w:rPr>
      </w:pPr>
      <w:r>
        <w:rPr>
          <w:lang w:val="pt-BR"/>
        </w:rPr>
        <w:t xml:space="preserve">No caso dos dispositivos ativos, o desempenho é condicionado tanto pela arquitetura mecânica quanto pela instrumentação responsável por estimar a intenção de movimento do usuário. Atia et al. (2018) acompanham a cinemática do braço por unidades inerciais em protótipo de baixo custo, ao passo que Obukhov et al. (2025) recorrem à fusão de eletromiografia, unidades inerciais e rastreadores de realidade virtual para classificar a atividade motora que comanda o exoesqueleto. Tal aparato instrumental inexiste nos dispositivos passivos, nos quais a assistência fica integralmente determinada na etapa de projeto do mecanismo — circunstância que confere ao modelo preditivo um peso que ele não teria em um sistema controlado.</w:t>
      </w:r>
    </w:p>
    <w:p w14:paraId="43A6EC0A" w14:textId="77777777" w:rsidR="00FD1B34" w:rsidRPr="00955B75" w:rsidRDefault="00000000">
      <w:pPr>
        <w:rPr>
          <w:lang w:val="pt-BR"/>
        </w:rPr>
      </w:pPr>
      <w:r>
        <w:rPr>
          <w:lang w:val="pt-BR"/>
        </w:rPr>
        <w:t xml:space="preserve">Entre os passivos destinados ao levantamento de cargas, Ning et al. (2023) organizam a estrutura em módulos de braço, ombro e costas e dimensionam o conjunto a partir da tração da mola. Os efeitos documentados pela literatura experimental apresentam direção consistente, porém magnitude variável: a meta-análise de Bär et al. (2021) reúne as reduções de esforço físico agudo associadas ao uso de exoesqueletos ocupacionais, e Moeller et al. (2022) registram diminuição da atividade de deltoide e trapézio na maioria dos 35 estudos revisados, acompanhada, entretanto, de efeitos indesejados quando o ajuste do dispositivo não corresponde à tarefa executada.</w:t>
      </w:r>
    </w:p>
    <w:p w14:paraId="75BA15FE" w14:textId="77777777" w:rsidR="00FD1B34" w:rsidRPr="00955B75" w:rsidRDefault="00000000">
      <w:pPr>
        <w:pStyle w:val="Ttulo2"/>
        <w:rPr>
          <w:lang w:val="pt-BR"/>
        </w:rPr>
      </w:pPr>
      <w:r>
        <w:rPr>
          <w:lang w:val="pt-BR"/>
        </w:rPr>
        <w:lastRenderedPageBreak/>
        <w:t>2.3 Compensação de gravidade em mecanismos passivos</w:t>
      </w:r>
    </w:p>
    <w:p w14:paraId="7EEAB3B8" w14:textId="77777777" w:rsidR="00FD1B34" w:rsidRPr="00955B75" w:rsidRDefault="00000000">
      <w:pPr>
        <w:rPr>
          <w:lang w:val="pt-BR"/>
        </w:rPr>
      </w:pPr>
      <w:r>
        <w:rPr>
          <w:lang w:val="pt-BR"/>
        </w:rPr>
        <w:t xml:space="preserve">A compensação de gravidade constitui problema clássico da síntese de mecanismos. Arakelian (2016) sistematiza as soluções em três grupos, definidos pela natureza da força compensadora — contrapesos, molas ou força ativa proveniente de atuador auxiliar —, e Nguyen (2026) atualiza o panorama das alternativas estritamente passivas e de seus limites de aplicação. Em exoesqueletos vestíveis, a inviabilidade do contrapeso impõe o predomínio da solução elástica, quase sempre associada a cabos, polias ou cames encarregados de moldar a curva de torque; nessa linha, Ning et al. (2022) projetam o perfil da came a partir do módulo de armazenamento de energia da mola e validam o resultado por eletromiografia.</w:t>
      </w:r>
    </w:p>
    <w:p w14:paraId="0CFDA331" w14:textId="77777777" w:rsidR="00FD1B34" w:rsidRPr="00955B75" w:rsidRDefault="00000000">
      <w:pPr>
        <w:rPr>
          <w:lang w:val="pt-BR"/>
        </w:rPr>
      </w:pPr>
      <w:r>
        <w:rPr>
          <w:lang w:val="pt-BR"/>
        </w:rPr>
        <w:t>A patente US 9.889.554 B2 (VAN ENGELHOVEN; KAZEROONI, 2018) descreve arranjo dessa natureza: um elo proximal, solidário a uma base fixada ao tronco, articula-se com um elo distal que acompanha o braço, e um gerador de força de tração, constituído por mola e cabo tensionado sobre uma polia, produz o torque de apoio. Abaixo de um ângulo de transição (</w:t>
      </w:r>
      <w:r>
        <w:rPr>
          <w:i/>
          <w:lang w:val="pt-BR"/>
        </w:rPr>
        <w:t xml:space="preserve">toggle angle</w:t>
      </w:r>
      <w:r>
        <w:rPr>
          <w:lang w:val="pt-BR"/>
        </w:rPr>
        <w:t>), uma protuberância situada junto à junta restringe a mola, de modo que o torque decai a valor residual e o membro recupera liberdade de movimento. A patente EP 3 504 033 B1 (OTTOBOCK, 2023), por sua vez, endereça o mesmo problema por caminho construtivo distinto, transmitindo a força de um atuador passivo por meio de elemento rígido apoiado na pelve.</w:t>
      </w:r>
    </w:p>
    <w:p w14:paraId="796A4053" w14:textId="77777777" w:rsidR="00FD1B34" w:rsidRPr="00955B75" w:rsidRDefault="00000000">
      <w:pPr>
        <w:rPr>
          <w:lang w:val="pt-BR"/>
        </w:rPr>
      </w:pPr>
      <w:r>
        <w:rPr>
          <w:lang w:val="pt-BR"/>
        </w:rPr>
        <w:t>Em ambos os documentos, contudo, as figuras exibem apenas a forma dos perfis de torque, desprovidas de escala nos eixos, o que inviabiliza o aproveitamento direto dos dados publicados e motiva a reconstrução geométrica adotada neste trabalho.</w:t>
      </w:r>
    </w:p>
    <w:p w14:paraId="7C32B2D3" w14:textId="77777777" w:rsidR="00FD1B34" w:rsidRPr="00955B75" w:rsidRDefault="00000000">
      <w:pPr>
        <w:pStyle w:val="Ttulo2"/>
        <w:rPr>
          <w:lang w:val="pt-BR"/>
        </w:rPr>
      </w:pPr>
      <w:r>
        <w:rPr>
          <w:lang w:val="pt-BR"/>
        </w:rPr>
        <w:t>2.4 Curva torque × ângulo e ajuste ao perfil gravitacional</w:t>
      </w:r>
    </w:p>
    <w:p w14:paraId="40034077" w14:textId="77777777" w:rsidR="00FD1B34" w:rsidRPr="00955B75" w:rsidRDefault="00000000">
      <w:pPr>
        <w:rPr>
          <w:lang w:val="pt-BR"/>
        </w:rPr>
      </w:pPr>
      <w:r>
        <w:rPr>
          <w:lang w:val="pt-BR"/>
        </w:rPr>
        <w:t xml:space="preserve">O mapeamento da curva torque × ângulo gerada pelo mecanismo permite alinhar o perfil de suporte elástico à curva anatômica de carga do braço, otimizando a entrega de torque nas posições de maior exigência (NING et al., 2022; OKABE et al., 2025). Palazzi et al. (2022) mostram, em um exoesqueleto balanceado por gravidade, redução de 89% no torque de pico do ombro quando esse ajuste é bem resolvido.</w:t>
      </w:r>
    </w:p>
    <w:p w14:paraId="57CCD9CA" w14:textId="77777777" w:rsidR="00FD1B34" w:rsidRPr="00955B75" w:rsidRDefault="00000000">
      <w:pPr>
        <w:rPr>
          <w:lang w:val="pt-BR"/>
        </w:rPr>
      </w:pPr>
      <w:r>
        <w:rPr>
          <w:lang w:val="pt-BR"/>
        </w:rPr>
        <w:t xml:space="preserve">O ajuste, entretanto, encontra limite intrínseco à natureza passiva do dispositivo. Nasr, Ferguson e McPhee (2022) otimizam mecanismos passivos de ombro mediante simulação dinâmica inversa e equações algébrico-diferenciais e concluem que um mecanismo dessa classe entrega torque específico para cada ângulo de elevação, condição que o torna adequado a uma tarefa e inadequado às demais. Daí decorrem as soluções semipassivas de assistência regulável (GRAZI et al., 2020) e as configurações ativo-passivas (NASR; BELL; McPHEE, 2023); na primeira direção, Grazi et al. (2022) regulam o nível de assistência em tempo real a partir dos sinais cinemáticos captados pelos próprios sensores embarcados no dispositivo.</w:t>
      </w:r>
    </w:p>
    <w:p w14:paraId="68CBFBF0" w14:textId="77777777" w:rsidR="00FD1B34" w:rsidRPr="00955B75" w:rsidRDefault="00000000">
      <w:pPr>
        <w:pStyle w:val="Ttulo2"/>
        <w:rPr>
          <w:lang w:val="pt-BR"/>
        </w:rPr>
      </w:pPr>
      <w:r>
        <w:rPr>
          <w:lang w:val="pt-BR"/>
        </w:rPr>
        <w:t>2.5 Compatibilidade cinemática e forças de interface</w:t>
      </w:r>
    </w:p>
    <w:p w14:paraId="748D130E" w14:textId="77777777" w:rsidR="00FD1B34" w:rsidRPr="00955B75" w:rsidRDefault="00000000">
      <w:pPr>
        <w:rPr>
          <w:lang w:val="pt-BR"/>
        </w:rPr>
      </w:pPr>
      <w:r>
        <w:rPr>
          <w:lang w:val="pt-BR"/>
        </w:rPr>
        <w:t xml:space="preserve">O membro superior tem arquitetura anatômica complexa, com destaque para o complexo do ombro, modelável como junta de três graus de rotação cujo centro glenoumeral se desloca durante a elevação do braço (GOPURA; KIGUCHI, 2009; SHEN et al., 2020). Os desalinhamentos entre os eixos de rotação da estrutura e as articulações biológicas geram hiperestaticidade e, com ela, forças parasitas de </w:t>
        <w:lastRenderedPageBreak/>
        <w:t>cisalhamento e pressão excessiva nos apoios de fixação, comprometendo conforto e eficiência (ZEIAEE et al., 2017).</w:t>
      </w:r>
    </w:p>
    <w:p w14:paraId="6320FD5D" w14:textId="77777777" w:rsidR="00FD1B34" w:rsidRPr="00955B75" w:rsidRDefault="00000000">
      <w:pPr>
        <w:rPr>
          <w:lang w:val="pt-BR"/>
        </w:rPr>
      </w:pPr>
      <w:r>
        <w:rPr>
          <w:lang w:val="pt-BR"/>
        </w:rPr>
        <w:t xml:space="preserve">Näf et al. (2018) revisam nove categorias de estratégias de compensação de desalinhamento e as avaliam segundo o domínio de aplicação e os requisitos específicos de cada um, ao passo que Yoon et al. (2022) demonstram que a otimização da posição das juntas de um exoesqueleto de ombro reduz simultaneamente a força de interação e o volume ocupado pela estrutura. Tais forças de contato constituem, precisamente, uma das grandezas de saída que o modelo desenvolvido neste trabalho se propõe a estimar.</w:t>
      </w:r>
    </w:p>
    <w:p w14:paraId="03A4CD9A" w14:textId="77777777" w:rsidR="00FD1B34" w:rsidRPr="00955B75" w:rsidRDefault="00000000">
      <w:pPr>
        <w:pStyle w:val="Ttulo2"/>
        <w:rPr>
          <w:lang w:val="pt-BR"/>
        </w:rPr>
      </w:pPr>
      <w:r>
        <w:rPr>
          <w:lang w:val="pt-BR"/>
        </w:rPr>
        <w:t xml:space="preserve">2.6 Modelagem dinâmica multicorpos</w:t>
      </w:r>
    </w:p>
    <w:p w14:paraId="6470473D" w14:textId="77777777" w:rsidR="00FD1B34" w:rsidRPr="00955B75" w:rsidRDefault="00000000">
      <w:pPr>
        <w:rPr>
          <w:lang w:val="pt-BR"/>
        </w:rPr>
      </w:pPr>
      <w:r>
        <w:rPr>
          <w:lang w:val="pt-BR"/>
        </w:rPr>
        <w:t>A análise de equilíbrio estático dimensiona a compensação de gravidade (PALAZZI et al., 2022), mas durante o movimento real ela é sobreposta por componentes dinâmicas: matriz de inércia M(</w:t>
      </w:r>
      <w:r>
        <w:t>θ</w:t>
      </w:r>
      <w:r>
        <w:rPr>
          <w:lang w:val="pt-BR"/>
        </w:rPr>
        <w:t>), forças de Coriolis e centrífugas C(</w:t>
      </w:r>
      <w:r>
        <w:t>θ</w:t>
      </w:r>
      <w:r>
        <w:rPr>
          <w:lang w:val="pt-BR"/>
        </w:rPr>
        <w:t>,</w:t>
      </w:r>
      <w:r>
        <w:t>θ</w:t>
      </w:r>
      <w:r>
        <w:rPr>
          <w:lang w:val="pt-BR"/>
        </w:rPr>
        <w:t>'), atrito articular não linear com folga (</w:t>
      </w:r>
      <w:r>
        <w:rPr>
          <w:i/>
          <w:lang w:val="pt-BR"/>
        </w:rPr>
        <w:t>backlash</w:t>
      </w:r>
      <w:r>
        <w:rPr>
          <w:lang w:val="pt-BR"/>
        </w:rPr>
        <w:t xml:space="preserve">) e histerese nos mecanismos de transmissão (RAHMAN et al., 2015; WANG et al., 2022). Daí a necessidade de estender o modelo a uma análise multicorpos, pela formulação de Euler-Lagrange ou por equações algébrico-diferenciais, avaliando o comportamento sob velocidades e acelerações transitórias.</w:t>
      </w:r>
    </w:p>
    <w:p w14:paraId="4269D523" w14:textId="77777777" w:rsidR="00FD1B34" w:rsidRPr="00955B75" w:rsidRDefault="00000000">
      <w:pPr>
        <w:rPr>
          <w:lang w:val="pt-BR"/>
        </w:rPr>
      </w:pPr>
      <w:r>
        <w:rPr>
          <w:lang w:val="pt-BR"/>
        </w:rPr>
        <w:t xml:space="preserve">Os parâmetros inerciais dos segmentos corporais que alimentam essa formulação provêm de tabelas antropométricas: de Leva (1996) ajusta os valores de Zatsiorsky e Seluyanov aos centros articulares, procedimento que viabiliza o transporte de massa e momentos de inércia ao eixo da junta do exoesqueleto pelo teorema dos eixos paralelos.</w:t>
      </w:r>
    </w:p>
    <w:p w14:paraId="712281B8" w14:textId="77777777" w:rsidR="00FD1B34" w:rsidRPr="00955B75" w:rsidRDefault="00000000">
      <w:pPr>
        <w:rPr>
          <w:lang w:val="pt-BR"/>
        </w:rPr>
      </w:pPr>
      <w:r>
        <w:rPr>
          <w:lang w:val="pt-BR"/>
        </w:rPr>
        <w:t xml:space="preserve">O MBDyn, programa livre de dinâmica multicorpos desenvolvido no Politecnico di Milano, integra sistemas dessa natureza segundo a formulação apresentada por Masarati, Morandini e Mantegazza (2014) e admite forças externas trocadas por </w:t>
      </w:r>
      <w:r>
        <w:rPr>
          <w:i/>
          <w:lang w:val="pt-BR"/>
        </w:rPr>
        <w:t>socket</w:t>
      </w:r>
      <w:r>
        <w:rPr>
          <w:lang w:val="pt-BR"/>
        </w:rPr>
        <w:t xml:space="preserve">, o que viabiliza o acoplamento com um modelo implementado em Python. Trabalhos recentes percorrem esse caminho: Nasr, Ferguson e McPhee (2022) e Nasr, Bell e McPhee (2023) modelam o conjunto humano–exoesqueleto como cadeia cinemática fechada, enquanto Musso, Oliveira e Bai (2022) descrevem matematicamente um exoesqueleto passivo não rígido e o avaliam por simulação musculoesquelética.</w:t>
      </w:r>
    </w:p>
    <w:p w14:paraId="53D76029" w14:textId="77777777" w:rsidR="00FD1B34" w:rsidRPr="00955B75" w:rsidRDefault="00000000">
      <w:pPr>
        <w:pStyle w:val="Ttulo2"/>
        <w:rPr>
          <w:lang w:val="pt-BR"/>
        </w:rPr>
      </w:pPr>
      <w:r>
        <w:rPr>
          <w:lang w:val="pt-BR"/>
        </w:rPr>
        <w:t>2.7 Arquiteturas passivas de apoio ao ombro</w:t>
      </w:r>
    </w:p>
    <w:p w14:paraId="0890E987" w14:textId="77777777" w:rsidR="00FD1B34" w:rsidRPr="00955B75" w:rsidRDefault="00000000">
      <w:pPr>
        <w:rPr>
          <w:lang w:val="pt-BR"/>
        </w:rPr>
      </w:pPr>
      <w:r>
        <w:rPr>
          <w:lang w:val="pt-BR"/>
        </w:rPr>
        <w:t xml:space="preserve">Três arquiteturas comerciais consolidaram soluções distintas para esse mesmo problema. O shoulderX, desenvolvido na Universidade da Califórnia em Berkeley, gera o torque por conjunto mola–cabo–polia montado entre um elo proximal e um elo distal: a mola traciona um cabo que contorna a polia solidária ao elo distal, e uma protuberância junto à junta restringe o gerador de força além do ângulo de transição, instaurando a zona neutra em que o torque é praticamente nulo com o braço baixado (VAN ENGELHOVEN; KAZEROONI, 2018).</w:t>
      </w:r>
    </w:p>
    <w:p w14:paraId="3A5B9159" w14:textId="77777777" w:rsidR="00FD1B34" w:rsidRPr="00955B75" w:rsidRDefault="00000000">
      <w:pPr>
        <w:rPr>
          <w:lang w:val="pt-BR"/>
        </w:rPr>
      </w:pPr>
      <w:r>
        <w:rPr>
          <w:lang w:val="pt-BR"/>
        </w:rPr>
        <w:t xml:space="preserve">O Airframe, da Levitate Technologies, adota sistema adaptativo de apoio no qual o elemento elástico é progressivamente engajado à medida que o braço se eleva, transferindo-se a carga ao tronco e à cintura pélvica (DOYLE, 2017). Já o Paexo, da Ottobock, emprega elemento elástico atuando sobre braço de alavanca ajustável, de modo que o suporte é máximo com o braço próximo da horizontal e se anula com o braço junto ao corpo (OTTOBOCK, 2023). Apesar das diferenças construtivas, as três soluções perseguem idêntico objetivo funcional: sintetizar, por meio da geometria e de um único elemento </w:t>
        <w:lastRenderedPageBreak/>
        <w:t>elástico, perfil de torque que acompanhe o momento gravitacional do membro superior ao longo da elevação.</w:t>
      </w:r>
    </w:p>
    <w:p w14:paraId="65E3CABD" w14:textId="77777777" w:rsidR="00FD1B34" w:rsidRPr="00955B75" w:rsidRDefault="00000000">
      <w:pPr>
        <w:rPr>
          <w:lang w:val="pt-BR"/>
        </w:rPr>
      </w:pPr>
      <w:r>
        <w:rPr>
          <w:lang w:val="pt-BR"/>
        </w:rPr>
        <w:t xml:space="preserve">A avaliação experimental desses dispositivos evidencia, contudo, que o ganho não é automático. Kim et al. (2018a) relatam redução de até 45% no pico de atividade muscular do ombro em tarefas simuladas de furar e montar acima da cabeça, acompanhada de queda no tempo de execução e de aumento no número de erros; em trabalho complementar, os mesmos autores documentam efeitos não previstos sobre a cinemática do ombro, o equilíbrio postural e a carga na coluna (KIM et al., 2018b). A leitura de projeto que daí decorre é direta: o benefício depende menos da magnitude do torque fornecido do que de sua distribuição angular, o que converte o requisito de projeto em uma curva </w:t>
      </w:r>
      <w:r>
        <w:t>τ</w:t>
      </w:r>
      <w:r>
        <w:rPr>
          <w:lang w:val="pt-BR"/>
        </w:rPr>
        <w:t>(</w:t>
      </w:r>
      <w:r>
        <w:t>θ</w:t>
      </w:r>
      <w:r>
        <w:rPr>
          <w:lang w:val="pt-BR"/>
        </w:rPr>
        <w:t>), e não em valor isolado de torque máximo.</w:t>
      </w:r>
    </w:p>
    <w:p w14:paraId="6EE59278" w14:textId="77777777" w:rsidR="00FD1B34" w:rsidRPr="00955B75" w:rsidRDefault="00000000">
      <w:pPr>
        <w:pStyle w:val="Ttulo2"/>
        <w:rPr>
          <w:lang w:val="pt-BR"/>
        </w:rPr>
      </w:pPr>
      <w:r>
        <w:rPr>
          <w:lang w:val="pt-BR"/>
        </w:rPr>
        <w:t>2.8 Balanceamento estático por molas</w:t>
      </w:r>
    </w:p>
    <w:p w14:paraId="7830EF51" w14:textId="77777777" w:rsidR="00FD1B34" w:rsidRPr="00955B75" w:rsidRDefault="00000000">
      <w:pPr>
        <w:rPr>
          <w:lang w:val="pt-BR"/>
        </w:rPr>
      </w:pPr>
      <w:r>
        <w:rPr>
          <w:lang w:val="pt-BR"/>
        </w:rPr>
        <w:t xml:space="preserve">A síntese de um perfil de torque por meio de molas dispõe de base teórica consolidada. Herder (2001) formaliza os sistemas de energia nula, nos quais a soma das energias potenciais gravitacional e elástica permanece constante em toda a faixa de movimento, e demonstra que o balanceamento perfeito exige molas de comprimento livre nulo, obtidas na prática por arranjos de cabo e polia.</w:t>
      </w:r>
    </w:p>
    <w:p w14:paraId="0859DBA8" w14:textId="77777777" w:rsidR="00FD1B34" w:rsidRPr="00955B75" w:rsidRDefault="00000000">
      <w:pPr>
        <w:rPr>
          <w:lang w:val="pt-BR"/>
        </w:rPr>
      </w:pPr>
      <w:r>
        <w:rPr>
          <w:lang w:val="pt-BR"/>
        </w:rPr>
        <w:t>Wu, Wang e Du (2016) aplicam o princípio a um exoesqueleto de membro superior e relatam redução de 34,6% no consumo de potência em relação à configuração não balanceada. Em exoesqueletos vestíveis, porém, o balanceamento perfeito não constitui o alvo: as restrições de empacotamento, o curso admissível da mola e a exigência de anular o suporte com o braço baixado convertem o problema em exercício de projeto restrito, no qual se busca a melhor aproximação de um perfil desejado dentro de limites construtivos, e não a compensação integral do peso. Por essa razão, o torque de um mecanismo passivo resulta do produto entre a força elástica, função da extensão da mola, e o braço de momento do cabo, ambos dependentes da configuração de forma não linear.</w:t>
      </w:r>
    </w:p>
    <w:p w14:paraId="7A4C7ECA" w14:textId="77777777" w:rsidR="00FD1B34" w:rsidRPr="00955B75" w:rsidRDefault="00000000">
      <w:pPr>
        <w:pStyle w:val="Ttulo2"/>
        <w:rPr>
          <w:lang w:val="pt-BR"/>
        </w:rPr>
      </w:pPr>
      <w:r>
        <w:rPr>
          <w:lang w:val="pt-BR"/>
        </w:rPr>
        <w:t>2.9 Parâmetros inerciais do membro superior e transporte de eixos</w:t>
      </w:r>
    </w:p>
    <w:p w14:paraId="63A90584" w14:textId="77777777" w:rsidR="00FD1B34" w:rsidRPr="00955B75" w:rsidRDefault="00000000">
      <w:pPr>
        <w:rPr>
          <w:lang w:val="pt-BR"/>
        </w:rPr>
      </w:pPr>
      <w:r>
        <w:rPr>
          <w:lang w:val="pt-BR"/>
        </w:rPr>
        <w:t xml:space="preserve">O cálculo do torque gravitacional e das equações de movimento pressupõe o conhecimento da massa, da posição do centro de massa e dos momentos de inércia de braço, antebraço e mão. De Leva (1996) ajusta os dados de Zatsiorsky e Seluyanov, obtidos por varredura de raios gama, de modo que as posições de centro de massa e os raios de giração fiquem referenciados aos centros articulares usualmente adotados em biomecânica, e não aos marcos ósseos originais. Os valores são expressos como frações da massa corporal total e do comprimento do segmento, o que permite escalar o modelo para o indivíduo de referência adotado.</w:t>
      </w:r>
    </w:p>
    <w:p w14:paraId="664575CA" w14:textId="77777777" w:rsidR="00FD1B34" w:rsidRPr="00955B75" w:rsidRDefault="00000000">
      <w:pPr>
        <w:rPr>
          <w:lang w:val="pt-BR"/>
        </w:rPr>
      </w:pPr>
      <w:r>
        <w:rPr>
          <w:lang w:val="pt-BR"/>
        </w:rPr>
        <w:t>Como tais parâmetros são fornecidos no centro de massa de cada segmento, sua transposição ao eixo da junta do exoesqueleto demanda o teorema dos eixos paralelos, segundo o qual o momento de inércia em eixo paralelo corresponde à soma do momento no centro de massa com o produto da massa pelo quadrado da distância entre os eixos. Cabe distinguir, nesse ponto, as duas grandezas que o procedimento alimenta: o momento estático do peso, dependente apenas da massa e do braço horizontal do centro de gravidade, e o momento de inércia, que descreve a resistência à aceleração angular e comparece exclusivamente na análise dinâmica.</w:t>
      </w:r>
    </w:p>
    <w:p w14:paraId="11C4A23F" w14:textId="77777777" w:rsidR="00FD1B34" w:rsidRPr="00955B75" w:rsidRDefault="00000000">
      <w:pPr>
        <w:pStyle w:val="Ttulo2"/>
        <w:rPr>
          <w:lang w:val="pt-BR"/>
        </w:rPr>
      </w:pPr>
      <w:r>
        <w:rPr>
          <w:lang w:val="pt-BR"/>
        </w:rPr>
        <w:lastRenderedPageBreak/>
        <w:t>2.10 Identificação de parâmetros a partir de curvas publicadas</w:t>
      </w:r>
    </w:p>
    <w:p w14:paraId="3F9118E3" w14:textId="77777777" w:rsidR="00FD1B34" w:rsidRPr="00955B75" w:rsidRDefault="00000000">
      <w:pPr>
        <w:rPr>
          <w:lang w:val="pt-BR"/>
        </w:rPr>
      </w:pPr>
      <w:r>
        <w:rPr>
          <w:lang w:val="pt-BR"/>
        </w:rPr>
        <w:t xml:space="preserve">Quando os parâmetros construtivos não são divulgados pelo fabricante, resta identificá-los a partir daquilo que a patente efetivamente publica. As curvas de torque dessas fontes são, em geral, qualitativas: a ordenada aparece rotulada apenas como torque, sem unidade declarada, circunstância que permite ajustar a forma do perfil, mas não convertê-lo em newton-metro sem dado adicional documentado.</w:t>
      </w:r>
    </w:p>
    <w:p w14:paraId="3C7499AD" w14:textId="77777777" w:rsidR="00FD1B34" w:rsidRPr="00955B75" w:rsidRDefault="00000000">
      <w:pPr>
        <w:rPr>
          <w:lang w:val="pt-BR"/>
        </w:rPr>
      </w:pPr>
      <w:r>
        <w:rPr>
          <w:lang w:val="pt-BR"/>
        </w:rPr>
        <w:t>O procedimento usual consiste no ajuste por mínimos quadrados dos parâmetros desconhecidos contra os pontos extraídos da curva, sob restrições geométricas e de projeto explicitadas, avaliado por indicadores como a raiz do erro quadrático médio e o coeficiente de determinação. Dois cuidados distinguem um ajuste defensável de um exercício circular: a separação entre a etapa de identificação e a etapa de uso, com o congelamento dos parâmetros antes da avaliação do modelo, e a classificação de cada grandeza quanto à origem — medida, de literatura, identificada, derivada ou assumida — de modo que nenhum parâmetro ajustado seja apresentado como medida.</w:t>
      </w:r>
    </w:p>
    <w:p w14:paraId="60385A30" w14:textId="77777777" w:rsidR="00FD1B34" w:rsidRPr="00955B75" w:rsidRDefault="00000000">
      <w:pPr>
        <w:pStyle w:val="Ttulo2"/>
        <w:rPr>
          <w:lang w:val="pt-BR"/>
        </w:rPr>
      </w:pPr>
      <w:r>
        <w:rPr>
          <w:lang w:val="pt-BR"/>
        </w:rPr>
        <w:t>2.11 Lacuna</w:t>
      </w:r>
    </w:p>
    <w:p w14:paraId="6CE8C332" w14:textId="77777777" w:rsidR="00FD1B34" w:rsidRPr="00955B75" w:rsidRDefault="00000000">
      <w:pPr>
        <w:rPr>
          <w:lang w:val="pt-BR"/>
        </w:rPr>
      </w:pPr>
      <w:r>
        <w:rPr>
          <w:lang w:val="pt-BR"/>
        </w:rPr>
        <w:t xml:space="preserve">A literatura revisada avalia, predominantemente, dispositivos já construídos, por meio de eletromiografia e questionários, ou otimiza mecanismos concebidos pelos próprios autores. Configura-se, assim, a ausência de uma comparação quantitativa entre os mecanismos passivos que efetivamente alcançaram o mercado, construída a partir da documentação pública de patente e conduzida do equilíbrio estático até a dinâmica multicorpos. É essa a contribuição pretendida pelo presente trabalho.</w:t>
      </w:r>
    </w:p>
    <w:p>
      <w:pPr>
        <w:pStyle w:val="Ttulo2"/>
        <w:rPr>
          <w:lang w:val="pt-BR"/>
        </w:rPr>
      </w:pPr>
      <w:r>
        <w:rPr>
          <w:lang w:val="pt-BR"/>
        </w:rPr>
        <w:t xml:space="preserve">3 MATERIAIS E MÉTODOS</w:t>
      </w:r>
    </w:p>
    <w:p>
      <w:pPr>
        <w:rPr>
          <w:lang w:val="pt-BR"/>
        </w:rPr>
      </w:pPr>
      <w:r>
        <w:rPr>
          <w:lang w:val="pt-BR"/>
        </w:rPr>
        <w:t xml:space="preserve">O trabalho é teórico-computacional. O procedimento parte da reconstrução geométrica do mecanismo e chega ao torque estático que ele entrega em função do ângulo, passando pela identificação dos parâmetros que a patente não publica. Ele foi concebido para os geradores de torque da US 9.889.554 B2, da US 9.737.374 B2 e da EP 3 504 033 B1, mas, nesta etapa do trabalho, foi executado apenas para o gerador de torque da US 9.889.554 B2, ao qual se referem todas as equações deste capítulo e todos os resultados do capítulo 4.</w:t>
      </w:r>
    </w:p>
    <w:p>
      <w:pPr>
        <w:rPr>
          <w:lang w:val="pt-BR"/>
        </w:rPr>
      </w:pPr>
      <w:r>
        <w:rPr>
          <w:lang w:val="pt-BR"/>
        </w:rPr>
        <w:t xml:space="preserve">Cada grandeza empregada é classificada quanto à origem: medida no modelo em CAD, obtida da literatura, documental (lida em desenho ou documento, sem verificação independente), identificada por ajuste à curva da patente, derivada pelo modelo ou assumida como hipótese. A classificação impede que um parâmetro ajustado seja apresentado como medida e que uma hipótese de projeto seja apresentada como lei física.</w:t>
      </w:r>
    </w:p>
    <w:p>
      <w:pPr>
        <w:rPr>
          <w:lang w:val="pt-BR"/>
        </w:rPr>
      </w:pPr>
      <w:r>
        <w:rPr>
          <w:lang w:val="pt-BR"/>
        </w:rPr>
        <w:t xml:space="preserve">A cadeia de cálculo descrita nas seções 3.3 a 3.8 está implementada no arquivo torque_model.py, que contém os parâmetros congelados e não executa ajuste algum. Os números e as figuras do capítulo 4 são produzidos pelo script tcc_resultados.py, que importa esse modelo e chama suas funções com a posição da ancoragem sempre explícita, sem alterar nenhum parâmetro.</w:t>
      </w:r>
    </w:p>
    <w:p>
      <w:pPr>
        <w:pStyle w:val="Ttulo2"/>
        <w:rPr>
          <w:lang w:val="pt-BR"/>
        </w:rPr>
      </w:pPr>
      <w:r>
        <w:rPr>
          <w:lang w:val="pt-BR"/>
        </w:rPr>
        <w:t xml:space="preserve">3.1 Reconstrução geométrica em CAD</w:t>
      </w:r>
    </w:p>
    <w:p>
      <w:pPr>
        <w:rPr>
          <w:lang w:val="pt-BR"/>
        </w:rPr>
      </w:pPr>
      <w:r>
        <w:rPr>
          <w:lang w:val="pt-BR"/>
        </w:rPr>
        <w:t xml:space="preserve">A geometria do mecanismo foi reconstruída no Autodesk Fusion sobre os desenhos da patente, em especial a vista em corte do gerador de torque e o esquema simplificado que define o ângulo entre os elos e as distâncias características. Como as figuras de patente não são cotadas, o modelo foi escalado por um fator único, fixado pela razão entre o comprimento do elo distal reconstruído e o comprimento de segmento do indivíduo de referência.</w:t>
      </w:r>
    </w:p>
    <w:p>
      <w:pPr>
        <w:rPr>
          <w:lang w:val="pt-BR"/>
        </w:rPr>
      </w:pPr>
      <w:r>
        <w:rPr>
          <w:lang w:val="pt-BR"/>
        </w:rPr>
        <w:t xml:space="preserve">Da reconstrução saem as grandezas geométricas do mecanismo — distância do pivô ao centro do tambor, raio do tambor, componentes do vetor que liga o pivô à ancoragem do cabo e defasagem angular do desenho —, a pose de referência, com o respectivo comprimento da mola, e o comprimento útil do alojamento da mola. O mesmo modelo fornece massa, posição do centro de massa e momento de inércia de cada peça do exoesqueleto. Por dependerem do fator de escala e da interpretação de desenhos não cotados, essas grandezas são classificadas como medidas em CAD, e não como dimensões do dispositivo comercial.</w:t>
      </w:r>
    </w:p>
    <w:p>
      <w:pPr>
        <w:pStyle w:val="Ttulo2"/>
        <w:rPr>
          <w:lang w:val="pt-BR"/>
        </w:rPr>
      </w:pPr>
      <w:r>
        <w:rPr>
          <w:lang w:val="pt-BR"/>
        </w:rPr>
        <w:t xml:space="preserve">3.2 Parâmetros inerciais do membro e transporte ao eixo da junta</w:t>
      </w:r>
    </w:p>
    <w:p>
      <w:pPr>
        <w:rPr>
          <w:lang w:val="pt-BR"/>
        </w:rPr>
      </w:pPr>
      <w:r>
        <w:rPr>
          <w:lang w:val="pt-BR"/>
        </w:rPr>
        <w:t xml:space="preserve">Massa, posição do centro de massa e raios de giração de braço, antebraço e mão foram obtidos das tabelas de de Leva (1996) para o indivíduo masculino de referência, com o cotovelo estendido. Os momentos de inércia de cada corpo, do membro e das peças do exoesqueleto, foram transportados ao eixo da junta pelo teorema dos eixos paralelos:</w:t>
      </w:r>
    </w:p>
    <w:tbl>
      <w:tblPr>
        <w:tblW w:w="936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1" w:noVBand="1"/>
      </w:tblPr>
      <w:tblGrid>
        <w:gridCol w:w="8460"/>
        <w:gridCol w:w="900"/>
      </w:tblGrid>
      <w:tr>
        <w:trPr>
          <w:cantSplit/>
        </w:trPr>
        <w:tc>
          <w:tcPr>
            <w:tcW w:w="8460" w:type="dxa"/>
            <w:vAlign w:val="center"/>
          </w:tcPr>
          <w:p>
            <w:pPr>
              <w:spacing w:before="60" w:after="60"/>
              <w:jc w:val="center"/>
              <w:rPr>
                <w:lang w:val="pt-BR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  <w:lang w:val="pt-BR"/>
                      </w:rPr>
                      <m:t xml:space="preserve"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 xml:space="preserve">O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 xml:space="preserve">=</m:t>
                </m:r>
                <m:sSub>
                  <m:e>
                    <m:r>
                      <w:rPr>
                        <w:rFonts w:ascii="Cambria Math" w:hAnsi="Cambria Math"/>
                        <w:lang w:val="pt-BR"/>
                      </w:rPr>
                      <m:t xml:space="preserve"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 xml:space="preserve">cm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 xml:space="preserve">+</m:t>
                </m:r>
                <m:r>
                  <w:rPr>
                    <w:rFonts w:ascii="Cambria Math" w:hAnsi="Cambria Math"/>
                    <w:lang w:val="pt-BR"/>
                  </w:rPr>
                  <m:t xml:space="preserve">M</m:t>
                </m:r>
                <m:sSup>
                  <m:e>
                    <m:r>
                      <w:rPr>
                        <w:rFonts w:ascii="Cambria Math" w:hAnsi="Cambria Math"/>
                        <w:lang w:val="pt-BR"/>
                      </w:rPr>
                      <m:t xml:space="preserve">d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 xml:space="preserve">2</m:t>
                    </m:r>
                  </m:sup>
                </m:sSup>
              </m:oMath>
            </m:oMathPara>
          </w:p>
        </w:tc>
        <w:tc>
          <w:tcPr>
            <w:tcW w:w="900" w:type="dxa"/>
            <w:vAlign w:val="center"/>
          </w:tcPr>
          <w:p>
            <w:pPr>
              <w:spacing w:before="60" w:after="60"/>
              <w:jc w:val="right"/>
              <w:rPr>
                <w:lang w:val="pt-BR"/>
              </w:rPr>
            </w:pPr>
            <w:r>
              <w:rPr>
                <w:lang w:val="pt-BR"/>
              </w:rPr>
              <w:t xml:space="preserve">(1)</w:t>
            </w:r>
          </w:p>
        </w:tc>
      </w:tr>
    </w:tbl>
    <w:p>
      <w:pPr>
        <w:rPr>
          <w:lang w:val="pt-BR"/>
        </w:rPr>
      </w:pPr>
      <w:r>
        <w:rPr>
          <w:lang w:val="pt-BR"/>
        </w:rPr>
        <w:t xml:space="preserve">em que I</w:t>
      </w:r>
      <w:r>
        <w:rPr>
          <w:vertAlign w:val="subscript"/>
          <w:lang w:val="pt-BR"/>
        </w:rPr>
        <w:t xml:space="preserve">O</w:t>
      </w:r>
      <w:r>
        <w:rPr>
          <w:lang w:val="pt-BR"/>
        </w:rPr>
        <w:t xml:space="preserve"> é o momento de inércia em relação ao eixo da junta, I</w:t>
      </w:r>
      <w:r>
        <w:rPr>
          <w:vertAlign w:val="subscript"/>
          <w:lang w:val="pt-BR"/>
        </w:rPr>
        <w:t xml:space="preserve">cm</w:t>
      </w:r>
      <w:r>
        <w:rPr>
          <w:lang w:val="pt-BR"/>
        </w:rPr>
        <w:t xml:space="preserve"> o momento de inércia em relação ao eixo paralelo que passa pelo centro de massa, M a massa e d a distância entre os dois eixos. A composição foi feita em planilha, construída para recalcular o conjunto quando qualquer entrada muda. Conforme a seção 2.9, o momento de inércia não participa do torque estático do peso, que depende apenas da massa e da posição do centro de massa (seção 3.8); ele se destina à etapa dinâmica prevista na seção 3.12.</w:t>
      </w:r>
    </w:p>
    <w:p>
      <w:pPr>
        <w:pStyle w:val="Ttulo2"/>
        <w:rPr>
          <w:lang w:val="pt-BR"/>
        </w:rPr>
      </w:pPr>
      <w:r>
        <w:rPr>
          <w:lang w:val="pt-BR"/>
        </w:rPr>
        <w:t xml:space="preserve">3.3 Referenciais e convenções angulares e de sinal</w:t>
      </w:r>
    </w:p>
    <w:p>
      <w:pPr>
        <w:rPr>
          <w:lang w:val="pt-BR"/>
        </w:rPr>
      </w:pPr>
      <w:r>
        <w:rPr>
          <w:lang w:val="pt-BR"/>
        </w:rPr>
        <w:t xml:space="preserve">O mecanismo é tratado como plano, com origem O no eixo da junta (pivô). Comprimentos são expressos em milímetros e ângulos em graus na entrada, com uma única conversão para radianos dentro das contas. Quatro ângulos aparecem no cálculo e são mantidos separados, por serem fonte recorrente de erro (Tabela 1). O ângulo interno θ* entre os elos é a variável independente do modelo, e q é sua versão referida ao desenho:</w:t>
      </w:r>
    </w:p>
    <w:tbl>
      <w:tblPr>
        <w:tblW w:w="936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1" w:noVBand="1"/>
      </w:tblPr>
      <w:tblGrid>
        <w:gridCol w:w="8460"/>
        <w:gridCol w:w="900"/>
      </w:tblGrid>
      <w:tr>
        <w:trPr>
          <w:cantSplit/>
        </w:trPr>
        <w:tc>
          <w:tcPr>
            <w:tcW w:w="8460" w:type="dxa"/>
            <w:vAlign w:val="center"/>
          </w:tcPr>
          <w:p>
            <w:pPr>
              <w:spacing w:before="60" w:after="60"/>
              <w:jc w:val="center"/>
              <w:rPr>
                <w:lang w:val="pt-BR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lang w:val="pt-BR"/>
                  </w:rPr>
                  <m:t xml:space="preserve">q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 xml:space="preserve">=</m:t>
                </m:r>
                <m:sSup>
                  <m:e>
                    <m:r>
                      <w:rPr>
                        <w:rFonts w:ascii="Cambria Math" w:hAnsi="Cambria Math"/>
                        <w:lang w:val="pt-BR"/>
                      </w:rPr>
                      <m:t xml:space="preserve">θ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 xml:space="preserve">∗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 xml:space="preserve">−</m:t>
                </m:r>
                <m:f>
                  <m:num>
                    <m:r>
                      <w:rPr>
                        <w:rFonts w:ascii="Cambria Math" w:hAnsi="Cambria Math"/>
                        <w:lang w:val="pt-BR"/>
                      </w:rPr>
                      <m:t xml:space="preserve">π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 xml:space="preserve"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 xml:space="preserve">−</m:t>
                </m:r>
                <m:r>
                  <w:rPr>
                    <w:rFonts w:ascii="Cambria Math" w:hAnsi="Cambria Math"/>
                    <w:lang w:val="pt-BR"/>
                  </w:rPr>
                  <m:t xml:space="preserve">α</m:t>
                </m:r>
              </m:oMath>
            </m:oMathPara>
          </w:p>
        </w:tc>
        <w:tc>
          <w:tcPr>
            <w:tcW w:w="900" w:type="dxa"/>
            <w:vAlign w:val="center"/>
          </w:tcPr>
          <w:p>
            <w:pPr>
              <w:spacing w:before="60" w:after="60"/>
              <w:jc w:val="right"/>
              <w:rPr>
                <w:lang w:val="pt-BR"/>
              </w:rPr>
            </w:pPr>
            <w:r>
              <w:rPr>
                <w:lang w:val="pt-BR"/>
              </w:rPr>
              <w:t xml:space="preserve">(2)</w:t>
            </w:r>
          </w:p>
        </w:tc>
      </w:tr>
    </w:tbl>
    <w:p>
      <w:pPr>
        <w:rPr>
          <w:lang w:val="pt-BR"/>
        </w:rPr>
      </w:pPr>
      <w:r>
        <w:rPr>
          <w:lang w:val="pt-BR"/>
        </w:rPr>
        <w:t xml:space="preserve">com θ* e a defasagem angular α do desenho convertidos para radianos. O ângulo φ</w:t>
      </w:r>
      <w:r>
        <w:rPr>
          <w:vertAlign w:val="subscript"/>
          <w:lang w:val="pt-BR"/>
        </w:rPr>
        <w:t xml:space="preserve">pat</w:t>
      </w:r>
      <w:r>
        <w:rPr>
          <w:lang w:val="pt-BR"/>
        </w:rPr>
        <w:t xml:space="preserve"> da curva publicada na patente, medido a partir da horizontal, e a elevação anatômica do braço, θ</w:t>
      </w:r>
      <w:r>
        <w:rPr>
          <w:vertAlign w:val="subscript"/>
          <w:lang w:val="pt-BR"/>
        </w:rPr>
        <w:t xml:space="preserve">el</w:t>
      </w:r>
      <w:r>
        <w:rPr>
          <w:lang w:val="pt-BR"/>
        </w:rPr>
        <w:t xml:space="preserve"> (denotada θ na seção 2.1), relacionam-se com θ* por</w:t>
      </w:r>
    </w:p>
    <w:tbl>
      <w:tblPr>
        <w:tblW w:w="936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1" w:noVBand="1"/>
      </w:tblPr>
      <w:tblGrid>
        <w:gridCol w:w="8460"/>
        <w:gridCol w:w="900"/>
      </w:tblGrid>
      <w:tr>
        <w:trPr>
          <w:cantSplit/>
        </w:trPr>
        <w:tc>
          <w:tcPr>
            <w:tcW w:w="8460" w:type="dxa"/>
            <w:vAlign w:val="center"/>
          </w:tcPr>
          <w:p>
            <w:pPr>
              <w:spacing w:before="60" w:after="60"/>
              <w:jc w:val="center"/>
              <w:rPr>
                <w:lang w:val="pt-BR"/>
              </w:rPr>
            </w:pPr>
            <m:oMathPara>
              <m:oMathParaPr>
                <m:jc m:val="center"/>
              </m:oMathParaPr>
              <m:oMath>
                <m:sSup>
                  <m:e>
                    <m:r>
                      <w:rPr>
                        <w:rFonts w:ascii="Cambria Math" w:hAnsi="Cambria Math"/>
                        <w:lang w:val="pt-BR"/>
                      </w:rPr>
                      <m:t xml:space="preserve">θ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 xml:space="preserve">∗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 xml:space="preserve">=</m:t>
                </m:r>
                <m:sSub>
                  <m:e>
                    <m:r>
                      <w:rPr>
                        <w:rFonts w:ascii="Cambria Math" w:hAnsi="Cambria Math"/>
                        <w:lang w:val="pt-BR"/>
                      </w:rPr>
                      <m:t xml:space="preserve">θ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 xml:space="preserve">off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 xml:space="preserve">−</m:t>
                </m:r>
                <m:sSub>
                  <m:e>
                    <m:r>
                      <w:rPr>
                        <w:rFonts w:ascii="Cambria Math" w:hAnsi="Cambria Math"/>
                        <w:lang w:val="pt-BR"/>
                      </w:rPr>
                      <m:t xml:space="preserve">φ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 xml:space="preserve">pat</m:t>
                    </m:r>
                  </m:sub>
                </m:sSub>
              </m:oMath>
            </m:oMathPara>
          </w:p>
        </w:tc>
        <w:tc>
          <w:tcPr>
            <w:tcW w:w="900" w:type="dxa"/>
            <w:vAlign w:val="center"/>
          </w:tcPr>
          <w:p>
            <w:pPr>
              <w:spacing w:before="60" w:after="60"/>
              <w:jc w:val="right"/>
              <w:rPr>
                <w:lang w:val="pt-BR"/>
              </w:rPr>
            </w:pPr>
            <w:r>
              <w:rPr>
                <w:lang w:val="pt-BR"/>
              </w:rPr>
              <w:t xml:space="preserve">(3)</w:t>
            </w:r>
          </w:p>
        </w:tc>
      </w:tr>
      <w:tr>
        <w:trPr>
          <w:cantSplit/>
        </w:trPr>
        <w:tc>
          <w:tcPr>
            <w:tcW w:w="8460" w:type="dxa"/>
            <w:vAlign w:val="center"/>
          </w:tcPr>
          <w:p>
            <w:pPr>
              <w:spacing w:before="60" w:after="60"/>
              <w:jc w:val="center"/>
              <w:rPr>
                <w:lang w:val="pt-BR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  <w:lang w:val="pt-BR"/>
                      </w:rPr>
                      <m:t xml:space="preserve">θ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 xml:space="preserve">el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 xml:space="preserve">=</m:t>
                </m:r>
                <m:sSub>
                  <m:e>
                    <m:r>
                      <w:rPr>
                        <w:rFonts w:ascii="Cambria Math" w:hAnsi="Cambria Math"/>
                        <w:lang w:val="pt-BR"/>
                      </w:rPr>
                      <m:t xml:space="preserve">φ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 xml:space="preserve">pat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 xml:space="preserve">+90°=223,017°−</m:t>
                </m:r>
                <m:sSup>
                  <m:e>
                    <m:r>
                      <w:rPr>
                        <w:rFonts w:ascii="Cambria Math" w:hAnsi="Cambria Math"/>
                        <w:lang w:val="pt-BR"/>
                      </w:rPr>
                      <m:t xml:space="preserve">θ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 xml:space="preserve">∗</m:t>
                    </m:r>
                  </m:sup>
                </m:sSup>
              </m:oMath>
            </m:oMathPara>
          </w:p>
        </w:tc>
        <w:tc>
          <w:tcPr>
            <w:tcW w:w="900" w:type="dxa"/>
            <w:vAlign w:val="center"/>
          </w:tcPr>
          <w:p>
            <w:pPr>
              <w:spacing w:before="60" w:after="60"/>
              <w:jc w:val="right"/>
              <w:rPr>
                <w:lang w:val="pt-BR"/>
              </w:rPr>
            </w:pPr>
            <w:r>
              <w:rPr>
                <w:lang w:val="pt-BR"/>
              </w:rPr>
              <w:t xml:space="preserve">(4)</w:t>
            </w:r>
          </w:p>
        </w:tc>
      </w:tr>
    </w:tbl>
    <w:p>
      <w:pPr>
        <w:rPr>
          <w:lang w:val="pt-BR"/>
        </w:rPr>
      </w:pPr>
      <w:r>
        <w:rPr>
          <w:lang w:val="pt-BR"/>
        </w:rPr>
        <w:t xml:space="preserve">em que θ</w:t>
      </w:r>
      <w:r>
        <w:rPr>
          <w:vertAlign w:val="subscript"/>
          <w:lang w:val="pt-BR"/>
        </w:rPr>
        <w:t xml:space="preserve">off</w:t>
      </w:r>
      <w:r>
        <w:rPr>
          <w:lang w:val="pt-BR"/>
        </w:rPr>
        <w:t xml:space="preserve"> = 133,017° é a calibração angular identificada (seção 3.9). A faixa da patente, φ</w:t>
      </w:r>
      <w:r>
        <w:rPr>
          <w:vertAlign w:val="subscript"/>
          <w:lang w:val="pt-BR"/>
        </w:rPr>
        <w:t xml:space="preserve">pat</w:t>
      </w:r>
      <w:r>
        <w:rPr>
          <w:lang w:val="pt-BR"/>
        </w:rPr>
        <w:t xml:space="preserve"> de −60° a +90,1°, corresponde a θ* de 42,917° a 193,017° e a elevação de 30° a 180,1°; a elevação cresce quando θ* decresce. O ângulo φ</w:t>
      </w:r>
      <w:r>
        <w:rPr>
          <w:vertAlign w:val="subscript"/>
          <w:lang w:val="pt-BR"/>
        </w:rPr>
        <w:t xml:space="preserve">pat</w:t>
      </w:r>
      <w:r>
        <w:rPr>
          <w:lang w:val="pt-BR"/>
        </w:rPr>
        <w:t xml:space="preserve"> não deve ser confundido com φ, direção da linha do cabo calculada pelo modelo (seção 3.4).</w:t>
      </w:r>
    </w:p>
    <w:p>
      <w:pPr>
        <w:rPr>
          <w:lang w:val="pt-BR"/>
        </w:rPr>
      </w:pPr>
      <w:r>
        <w:rPr>
          <w:lang w:val="pt-BR"/>
        </w:rPr>
        <w:t xml:space="preserve">O torque τ do modelo é positivo no sentido anti-horário, isto é, no sentido de θ* crescente. A patente apresenta o torque do cabo positivo no sentido oposto, em que ele tende a elevar o braço; por isso, a curva calculada comparada à da patente é −τ.</w:t>
      </w:r>
    </w:p>
    <w:p>
      <w:pPr>
        <w:keepNext/>
        <w:spacing w:before="120" w:after="60"/>
        <w:rPr>
          <w:lang w:val="pt-BR"/>
        </w:rPr>
      </w:pPr>
      <w:r>
        <w:rPr>
          <w:b/>
          <w:lang w:val="pt-BR"/>
        </w:rPr>
        <w:t xml:space="preserve">Tabela 1 — Convenções angulares e de sinal</w:t>
      </w:r>
    </w:p>
    <w:tbl>
      <w:tblPr>
        <w:tblStyle w:val="Tabelacomgrade"/>
        <w:tblW w:w="9360" w:type="dxa"/>
        <w:jc w:val="center"/>
        <w:tblLayout w:type="fixed"/>
        <w:tblLook w:val="0420" w:firstRow="1" w:lastRow="0" w:firstColumn="0" w:lastColumn="0" w:noHBand="0" w:noVBand="1"/>
      </w:tblPr>
      <w:tblGrid>
        <w:gridCol w:w="1300"/>
        <w:gridCol w:w="3200"/>
        <w:gridCol w:w="2760"/>
        <w:gridCol w:w="2100"/>
      </w:tblGrid>
      <w:tr>
        <w:trPr>
          <w:cantSplit/>
          <w:tblHeader/>
        </w:trPr>
        <w:tc>
          <w:tcPr>
            <w:tcW w:w="1300" w:type="dxa"/>
            <w:shd w:val="clear" w:color="auto" w:fill="F2F2F2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b/>
                <w:lang w:val="pt-BR"/>
              </w:rPr>
              <w:t xml:space="preserve">Símbolo</w:t>
            </w:r>
          </w:p>
        </w:tc>
        <w:tc>
          <w:tcPr>
            <w:tcW w:w="3200" w:type="dxa"/>
            <w:shd w:val="clear" w:color="auto" w:fill="F2F2F2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b/>
                <w:lang w:val="pt-BR"/>
              </w:rPr>
              <w:t xml:space="preserve">Definição</w:t>
            </w:r>
          </w:p>
        </w:tc>
        <w:tc>
          <w:tcPr>
            <w:tcW w:w="2760" w:type="dxa"/>
            <w:shd w:val="clear" w:color="auto" w:fill="F2F2F2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b/>
                <w:lang w:val="pt-BR"/>
              </w:rPr>
              <w:t xml:space="preserve">Relação</w:t>
            </w:r>
          </w:p>
        </w:tc>
        <w:tc>
          <w:tcPr>
            <w:tcW w:w="2100" w:type="dxa"/>
            <w:shd w:val="clear" w:color="auto" w:fill="F2F2F2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b/>
                <w:lang w:val="pt-BR"/>
              </w:rPr>
              <w:t xml:space="preserve">Uso</w:t>
            </w:r>
          </w:p>
        </w:tc>
      </w:tr>
      <w:tr>
        <w:trPr>
          <w:cantSplit/>
        </w:trPr>
        <w:tc>
          <w:tcPr>
            <w:tcW w:w="13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 xml:space="preserve">θ*</w:t>
            </w:r>
          </w:p>
        </w:tc>
        <w:tc>
          <w:tcPr>
            <w:tcW w:w="3200" w:type="dxa"/>
            <w:vAlign w:val="center"/>
          </w:tcPr>
          <w:p>
            <w:pPr>
              <w:keepNext/>
              <w:spacing w:before="20" w:after="20" w:line="240" w:lineRule="auto"/>
              <w:jc w:val="left"/>
              <w:rPr>
                <w:lang w:val="pt-BR"/>
              </w:rPr>
            </w:pPr>
            <w:r>
              <w:rPr>
                <w:lang w:val="pt-BR"/>
              </w:rPr>
              <w:t xml:space="preserve">Ângulo interno do mecanismo, entre os elos</w:t>
            </w:r>
          </w:p>
        </w:tc>
        <w:tc>
          <w:tcPr>
            <w:tcW w:w="2760" w:type="dxa"/>
            <w:vAlign w:val="center"/>
          </w:tcPr>
          <w:p>
            <w:pPr>
              <w:keepNext/>
              <w:spacing w:before="20" w:after="20" w:line="240" w:lineRule="auto"/>
              <w:jc w:val="left"/>
              <w:rPr>
                <w:lang w:val="pt-BR"/>
              </w:rPr>
            </w:pPr>
            <w:r>
              <w:rPr>
                <w:lang w:val="pt-BR"/>
              </w:rPr>
              <w:t xml:space="preserve">Variável independente, em graus</w:t>
            </w:r>
          </w:p>
        </w:tc>
        <w:tc>
          <w:tcPr>
            <w:tcW w:w="2100" w:type="dxa"/>
            <w:vAlign w:val="center"/>
          </w:tcPr>
          <w:p>
            <w:pPr>
              <w:keepNext/>
              <w:spacing w:before="20" w:after="20" w:line="240" w:lineRule="auto"/>
              <w:jc w:val="left"/>
              <w:rPr>
                <w:lang w:val="pt-BR"/>
              </w:rPr>
            </w:pPr>
            <w:r>
              <w:rPr>
                <w:lang w:val="pt-BR"/>
              </w:rPr>
              <w:t xml:space="preserve">Toda a cadeia de cálculo</w:t>
            </w:r>
          </w:p>
        </w:tc>
      </w:tr>
      <w:tr>
        <w:trPr>
          <w:cantSplit/>
        </w:trPr>
        <w:tc>
          <w:tcPr>
            <w:tcW w:w="13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 xml:space="preserve">q</w:t>
            </w:r>
          </w:p>
        </w:tc>
        <w:tc>
          <w:tcPr>
            <w:tcW w:w="3200" w:type="dxa"/>
            <w:vAlign w:val="center"/>
          </w:tcPr>
          <w:p>
            <w:pPr>
              <w:keepNext/>
              <w:spacing w:before="20" w:after="20" w:line="240" w:lineRule="auto"/>
              <w:jc w:val="left"/>
              <w:rPr>
                <w:lang w:val="pt-BR"/>
              </w:rPr>
            </w:pPr>
            <w:r>
              <w:rPr>
                <w:lang w:val="pt-BR"/>
              </w:rPr>
              <w:t xml:space="preserve">θ* referido ao desenho, em radianos</w:t>
            </w:r>
          </w:p>
        </w:tc>
        <w:tc>
          <w:tcPr>
            <w:tcW w:w="2760" w:type="dxa"/>
            <w:vAlign w:val="center"/>
          </w:tcPr>
          <w:p>
            <w:pPr>
              <w:keepNext/>
              <w:spacing w:before="20" w:after="20" w:line="240" w:lineRule="auto"/>
              <w:jc w:val="left"/>
              <w:rPr>
                <w:lang w:val="pt-BR"/>
              </w:rPr>
            </w:pPr>
            <w:r>
              <w:rPr>
                <w:lang w:val="pt-BR"/>
              </w:rPr>
              <w:t xml:space="preserve">Equação (2)</w:t>
            </w:r>
          </w:p>
        </w:tc>
        <w:tc>
          <w:tcPr>
            <w:tcW w:w="2100" w:type="dxa"/>
            <w:vAlign w:val="center"/>
          </w:tcPr>
          <w:p>
            <w:pPr>
              <w:keepNext/>
              <w:spacing w:before="20" w:after="20" w:line="240" w:lineRule="auto"/>
              <w:jc w:val="left"/>
              <w:rPr>
                <w:lang w:val="pt-BR"/>
              </w:rPr>
            </w:pPr>
            <w:r>
              <w:rPr>
                <w:lang w:val="pt-BR"/>
              </w:rPr>
              <w:t xml:space="preserve">Fechamento do circuito</w:t>
            </w:r>
          </w:p>
        </w:tc>
      </w:tr>
      <w:tr>
        <w:trPr>
          <w:cantSplit/>
        </w:trPr>
        <w:tc>
          <w:tcPr>
            <w:tcW w:w="13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 xml:space="preserve">φ</w:t>
            </w:r>
          </w:p>
        </w:tc>
        <w:tc>
          <w:tcPr>
            <w:tcW w:w="3200" w:type="dxa"/>
            <w:vAlign w:val="center"/>
          </w:tcPr>
          <w:p>
            <w:pPr>
              <w:keepNext/>
              <w:spacing w:before="20" w:after="20" w:line="240" w:lineRule="auto"/>
              <w:jc w:val="left"/>
              <w:rPr>
                <w:lang w:val="pt-BR"/>
              </w:rPr>
            </w:pPr>
            <w:r>
              <w:rPr>
                <w:lang w:val="pt-BR"/>
              </w:rPr>
              <w:t xml:space="preserve">Direção da linha de ação do cabo</w:t>
            </w:r>
          </w:p>
        </w:tc>
        <w:tc>
          <w:tcPr>
            <w:tcW w:w="2760" w:type="dxa"/>
            <w:vAlign w:val="center"/>
          </w:tcPr>
          <w:p>
            <w:pPr>
              <w:keepNext/>
              <w:spacing w:before="20" w:after="20" w:line="240" w:lineRule="auto"/>
              <w:jc w:val="left"/>
              <w:rPr>
                <w:lang w:val="pt-BR"/>
              </w:rPr>
            </w:pPr>
            <w:r>
              <w:rPr>
                <w:lang w:val="pt-BR"/>
              </w:rPr>
              <w:t xml:space="preserve">Equação (8)</w:t>
            </w:r>
          </w:p>
        </w:tc>
        <w:tc>
          <w:tcPr>
            <w:tcW w:w="2100" w:type="dxa"/>
            <w:vAlign w:val="center"/>
          </w:tcPr>
          <w:p>
            <w:pPr>
              <w:keepNext/>
              <w:spacing w:before="20" w:after="20" w:line="240" w:lineRule="auto"/>
              <w:jc w:val="left"/>
              <w:rPr>
                <w:lang w:val="pt-BR"/>
              </w:rPr>
            </w:pPr>
            <w:r>
              <w:rPr>
                <w:lang w:val="pt-BR"/>
              </w:rPr>
              <w:t xml:space="preserve">Tangência, braço e força</w:t>
            </w:r>
          </w:p>
        </w:tc>
      </w:tr>
      <w:tr>
        <w:trPr>
          <w:cantSplit/>
        </w:trPr>
        <w:tc>
          <w:tcPr>
            <w:tcW w:w="13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 xml:space="preserve">φ</w:t>
            </w:r>
            <w:r>
              <w:rPr>
                <w:vertAlign w:val="subscript"/>
                <w:lang w:val="pt-BR"/>
              </w:rPr>
              <w:t xml:space="preserve">pat</w:t>
            </w:r>
          </w:p>
        </w:tc>
        <w:tc>
          <w:tcPr>
            <w:tcW w:w="3200" w:type="dxa"/>
            <w:vAlign w:val="center"/>
          </w:tcPr>
          <w:p>
            <w:pPr>
              <w:keepNext/>
              <w:spacing w:before="20" w:after="20" w:line="240" w:lineRule="auto"/>
              <w:jc w:val="left"/>
              <w:rPr>
                <w:lang w:val="pt-BR"/>
              </w:rPr>
            </w:pPr>
            <w:r>
              <w:rPr>
                <w:lang w:val="pt-BR"/>
              </w:rPr>
              <w:t xml:space="preserve">Ângulo da curva publicada, a partir da horizontal</w:t>
            </w:r>
          </w:p>
        </w:tc>
        <w:tc>
          <w:tcPr>
            <w:tcW w:w="2760" w:type="dxa"/>
            <w:vAlign w:val="center"/>
          </w:tcPr>
          <w:p>
            <w:pPr>
              <w:keepNext/>
              <w:spacing w:before="20" w:after="20" w:line="240" w:lineRule="auto"/>
              <w:jc w:val="left"/>
              <w:rPr>
                <w:lang w:val="pt-BR"/>
              </w:rPr>
            </w:pPr>
            <w:r>
              <w:rPr>
                <w:lang w:val="pt-BR"/>
              </w:rPr>
              <w:t xml:space="preserve">θ* = θ</w:t>
            </w:r>
            <w:r>
              <w:rPr>
                <w:vertAlign w:val="subscript"/>
                <w:lang w:val="pt-BR"/>
              </w:rPr>
              <w:t xml:space="preserve">off</w:t>
            </w:r>
            <w:r>
              <w:rPr>
                <w:lang w:val="pt-BR"/>
              </w:rPr>
              <w:t xml:space="preserve"> − φ</w:t>
            </w:r>
            <w:r>
              <w:rPr>
                <w:vertAlign w:val="subscript"/>
                <w:lang w:val="pt-BR"/>
              </w:rPr>
              <w:t xml:space="preserve">pat</w:t>
            </w:r>
          </w:p>
        </w:tc>
        <w:tc>
          <w:tcPr>
            <w:tcW w:w="2100" w:type="dxa"/>
            <w:vAlign w:val="center"/>
          </w:tcPr>
          <w:p>
            <w:pPr>
              <w:keepNext/>
              <w:spacing w:before="20" w:after="20" w:line="240" w:lineRule="auto"/>
              <w:jc w:val="left"/>
              <w:rPr>
                <w:lang w:val="pt-BR"/>
              </w:rPr>
            </w:pPr>
            <w:r>
              <w:rPr>
                <w:lang w:val="pt-BR"/>
              </w:rPr>
              <w:t xml:space="preserve">Leitura da patente</w:t>
            </w:r>
          </w:p>
        </w:tc>
      </w:tr>
      <w:tr>
        <w:trPr>
          <w:cantSplit/>
        </w:trPr>
        <w:tc>
          <w:tcPr>
            <w:tcW w:w="13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 xml:space="preserve">θ</w:t>
            </w:r>
            <w:r>
              <w:rPr>
                <w:vertAlign w:val="subscript"/>
                <w:lang w:val="pt-BR"/>
              </w:rPr>
              <w:t xml:space="preserve">el</w:t>
            </w:r>
          </w:p>
        </w:tc>
        <w:tc>
          <w:tcPr>
            <w:tcW w:w="3200" w:type="dxa"/>
            <w:vAlign w:val="center"/>
          </w:tcPr>
          <w:p>
            <w:pPr>
              <w:keepNext/>
              <w:spacing w:before="20" w:after="20" w:line="240" w:lineRule="auto"/>
              <w:jc w:val="left"/>
              <w:rPr>
                <w:lang w:val="pt-BR"/>
              </w:rPr>
            </w:pPr>
            <w:r>
              <w:rPr>
                <w:lang w:val="pt-BR"/>
              </w:rPr>
              <w:t xml:space="preserve">Elevação anatômica do braço</w:t>
            </w:r>
          </w:p>
        </w:tc>
        <w:tc>
          <w:tcPr>
            <w:tcW w:w="2760" w:type="dxa"/>
            <w:vAlign w:val="center"/>
          </w:tcPr>
          <w:p>
            <w:pPr>
              <w:keepNext/>
              <w:spacing w:before="20" w:after="20" w:line="240" w:lineRule="auto"/>
              <w:jc w:val="left"/>
              <w:rPr>
                <w:lang w:val="pt-BR"/>
              </w:rPr>
            </w:pPr>
            <w:r>
              <w:rPr>
                <w:lang w:val="pt-BR"/>
              </w:rPr>
              <w:t xml:space="preserve">θ</w:t>
            </w:r>
            <w:r>
              <w:rPr>
                <w:vertAlign w:val="subscript"/>
                <w:lang w:val="pt-BR"/>
              </w:rPr>
              <w:t xml:space="preserve">el</w:t>
            </w:r>
            <w:r>
              <w:rPr>
                <w:lang w:val="pt-BR"/>
              </w:rPr>
              <w:t xml:space="preserve"> = φ</w:t>
            </w:r>
            <w:r>
              <w:rPr>
                <w:vertAlign w:val="subscript"/>
                <w:lang w:val="pt-BR"/>
              </w:rPr>
              <w:t xml:space="preserve">pat</w:t>
            </w:r>
            <w:r>
              <w:rPr>
                <w:lang w:val="pt-BR"/>
              </w:rPr>
              <w:t xml:space="preserve"> + 90°</w:t>
            </w:r>
          </w:p>
        </w:tc>
        <w:tc>
          <w:tcPr>
            <w:tcW w:w="2100" w:type="dxa"/>
            <w:vAlign w:val="center"/>
          </w:tcPr>
          <w:p>
            <w:pPr>
              <w:keepNext/>
              <w:spacing w:before="20" w:after="20" w:line="240" w:lineRule="auto"/>
              <w:jc w:val="left"/>
              <w:rPr>
                <w:lang w:val="pt-BR"/>
              </w:rPr>
            </w:pPr>
            <w:r>
              <w:rPr>
                <w:lang w:val="pt-BR"/>
              </w:rPr>
              <w:t xml:space="preserve">Comparação com o peso</w:t>
            </w:r>
          </w:p>
        </w:tc>
      </w:tr>
      <w:tr>
        <w:trPr>
          <w:cantSplit/>
        </w:trPr>
        <w:tc>
          <w:tcPr>
            <w:tcW w:w="13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 xml:space="preserve">ψ</w:t>
            </w:r>
          </w:p>
        </w:tc>
        <w:tc>
          <w:tcPr>
            <w:tcW w:w="3200" w:type="dxa"/>
            <w:vAlign w:val="center"/>
          </w:tcPr>
          <w:p>
            <w:pPr>
              <w:keepNext/>
              <w:spacing w:before="20" w:after="20" w:line="240" w:lineRule="auto"/>
              <w:jc w:val="left"/>
              <w:rPr>
                <w:lang w:val="pt-BR"/>
              </w:rPr>
            </w:pPr>
            <w:r>
              <w:rPr>
                <w:lang w:val="pt-BR"/>
              </w:rPr>
              <w:t xml:space="preserve">Ângulo entre o cabo e o elo pivô–tambor</w:t>
            </w:r>
          </w:p>
        </w:tc>
        <w:tc>
          <w:tcPr>
            <w:tcW w:w="2760" w:type="dxa"/>
            <w:vAlign w:val="center"/>
          </w:tcPr>
          <w:p>
            <w:pPr>
              <w:keepNext/>
              <w:spacing w:before="20" w:after="20" w:line="240" w:lineRule="auto"/>
              <w:jc w:val="left"/>
              <w:rPr>
                <w:lang w:val="pt-BR"/>
              </w:rPr>
            </w:pPr>
            <w:r>
              <w:rPr>
                <w:lang w:val="pt-BR"/>
              </w:rPr>
              <w:t xml:space="preserve">Equação (15)</w:t>
            </w:r>
          </w:p>
        </w:tc>
        <w:tc>
          <w:tcPr>
            <w:tcW w:w="2100" w:type="dxa"/>
            <w:vAlign w:val="center"/>
          </w:tcPr>
          <w:p>
            <w:pPr>
              <w:keepNext/>
              <w:spacing w:before="20" w:after="20" w:line="240" w:lineRule="auto"/>
              <w:jc w:val="left"/>
              <w:rPr>
                <w:lang w:val="pt-BR"/>
              </w:rPr>
            </w:pPr>
            <w:r>
              <w:rPr>
                <w:lang w:val="pt-BR"/>
              </w:rPr>
              <w:t xml:space="preserve">Arco enrolado no tambor</w:t>
            </w:r>
          </w:p>
        </w:tc>
      </w:tr>
      <w:tr>
        <w:trPr>
          <w:cantSplit/>
        </w:trPr>
        <w:tc>
          <w:tcPr>
            <w:tcW w:w="13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 xml:space="preserve">τ</w:t>
            </w:r>
          </w:p>
        </w:tc>
        <w:tc>
          <w:tcPr>
            <w:tcW w:w="3200" w:type="dxa"/>
            <w:vAlign w:val="center"/>
          </w:tcPr>
          <w:p>
            <w:pPr>
              <w:keepNext/>
              <w:spacing w:before="20" w:after="20" w:line="240" w:lineRule="auto"/>
              <w:jc w:val="left"/>
              <w:rPr>
                <w:lang w:val="pt-BR"/>
              </w:rPr>
            </w:pPr>
            <w:r>
              <w:rPr>
                <w:lang w:val="pt-BR"/>
              </w:rPr>
              <w:t xml:space="preserve">Torque do cabo no modelo</w:t>
            </w:r>
          </w:p>
        </w:tc>
        <w:tc>
          <w:tcPr>
            <w:tcW w:w="2760" w:type="dxa"/>
            <w:vAlign w:val="center"/>
          </w:tcPr>
          <w:p>
            <w:pPr>
              <w:keepNext/>
              <w:spacing w:before="20" w:after="20" w:line="240" w:lineRule="auto"/>
              <w:jc w:val="left"/>
              <w:rPr>
                <w:lang w:val="pt-BR"/>
              </w:rPr>
            </w:pPr>
            <w:r>
              <w:rPr>
                <w:lang w:val="pt-BR"/>
              </w:rPr>
              <w:t xml:space="preserve">Positivo no sentido de θ* crescente</w:t>
            </w:r>
          </w:p>
        </w:tc>
        <w:tc>
          <w:tcPr>
            <w:tcW w:w="2100" w:type="dxa"/>
            <w:vAlign w:val="center"/>
          </w:tcPr>
          <w:p>
            <w:pPr>
              <w:keepNext/>
              <w:spacing w:before="20" w:after="20" w:line="240" w:lineRule="auto"/>
              <w:jc w:val="left"/>
              <w:rPr>
                <w:lang w:val="pt-BR"/>
              </w:rPr>
            </w:pPr>
            <w:r>
              <w:rPr>
                <w:lang w:val="pt-BR"/>
              </w:rPr>
              <w:t xml:space="preserve">Cadeia de cálculo</w:t>
            </w:r>
          </w:p>
        </w:tc>
      </w:tr>
      <w:tr>
        <w:trPr>
          <w:cantSplit/>
        </w:trPr>
        <w:tc>
          <w:tcPr>
            <w:tcW w:w="13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 xml:space="preserve">−τ</w:t>
            </w:r>
          </w:p>
        </w:tc>
        <w:tc>
          <w:tcPr>
            <w:tcW w:w="3200" w:type="dxa"/>
            <w:vAlign w:val="center"/>
          </w:tcPr>
          <w:p>
            <w:pPr>
              <w:keepNext/>
              <w:spacing w:before="20" w:after="20" w:line="240" w:lineRule="auto"/>
              <w:jc w:val="left"/>
              <w:rPr>
                <w:lang w:val="pt-BR"/>
              </w:rPr>
            </w:pPr>
            <w:r>
              <w:rPr>
                <w:lang w:val="pt-BR"/>
              </w:rPr>
              <w:t xml:space="preserve">Torque do cabo na convenção da patente</w:t>
            </w:r>
          </w:p>
        </w:tc>
        <w:tc>
          <w:tcPr>
            <w:tcW w:w="2760" w:type="dxa"/>
            <w:vAlign w:val="center"/>
          </w:tcPr>
          <w:p>
            <w:pPr>
              <w:keepNext/>
              <w:spacing w:before="20" w:after="20" w:line="240" w:lineRule="auto"/>
              <w:jc w:val="left"/>
              <w:rPr>
                <w:lang w:val="pt-BR"/>
              </w:rPr>
            </w:pPr>
            <w:r>
              <w:rPr>
                <w:lang w:val="pt-BR"/>
              </w:rPr>
              <w:t xml:space="preserve">Positivo quando tende a elevar o braço</w:t>
            </w:r>
          </w:p>
        </w:tc>
        <w:tc>
          <w:tcPr>
            <w:tcW w:w="2100" w:type="dxa"/>
            <w:vAlign w:val="center"/>
          </w:tcPr>
          <w:p>
            <w:pPr>
              <w:keepNext/>
              <w:spacing w:before="20" w:after="20" w:line="240" w:lineRule="auto"/>
              <w:jc w:val="left"/>
              <w:rPr>
                <w:lang w:val="pt-BR"/>
              </w:rPr>
            </w:pPr>
            <w:r>
              <w:rPr>
                <w:lang w:val="pt-BR"/>
              </w:rPr>
              <w:t xml:space="preserve">Comparação com a patente</w:t>
            </w:r>
          </w:p>
        </w:tc>
      </w:tr>
    </w:tbl>
    <w:p>
      <w:pPr>
        <w:spacing w:before="60" w:after="60"/>
        <w:rPr>
          <w:lang w:val="pt-BR"/>
        </w:rPr>
      </w:pPr>
      <w:r>
        <w:rPr>
          <w:sz w:val="20"/>
          <w:szCs w:val="20"/>
          <w:lang w:val="pt-BR"/>
        </w:rPr>
        <w:t xml:space="preserve">Fonte: elaborada pelo autor.</w:t>
      </w:r>
    </w:p>
    <w:p>
      <w:pPr>
        <w:pStyle w:val="Ttulo2"/>
        <w:rPr>
          <w:lang w:val="pt-BR"/>
        </w:rPr>
      </w:pPr>
      <w:r>
        <w:rPr>
          <w:lang w:val="pt-BR"/>
        </w:rPr>
        <w:t xml:space="preserve">3.4 Equação de fechamento do circuito vetorial</w:t>
      </w:r>
    </w:p>
    <w:p>
      <w:pPr>
        <w:rPr>
          <w:lang w:val="pt-BR"/>
        </w:rPr>
      </w:pPr>
      <w:r>
        <w:rPr>
          <w:lang w:val="pt-BR"/>
        </w:rPr>
        <w:t xml:space="preserve">A cinemática do gerador de torque é descrita por um circuito vetorial fechado (Figura 1), percorrido do pivô O até a ancoragem A do cabo, de A até o ponto de tangência T ao longo do vão livre do cabo, de T até o centro D do tambor e de D de volta a O ao longo do elo. O vetor fixo do pivô à ancoragem, no referencial do desenho, é</w:t>
      </w:r>
    </w:p>
    <w:tbl>
      <w:tblPr>
        <w:tblW w:w="936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1" w:noVBand="1"/>
      </w:tblPr>
      <w:tblGrid>
        <w:gridCol w:w="8460"/>
        <w:gridCol w:w="900"/>
      </w:tblGrid>
      <w:tr>
        <w:trPr>
          <w:cantSplit/>
        </w:trPr>
        <w:tc>
          <w:tcPr>
            <w:tcW w:w="8460" w:type="dxa"/>
            <w:vAlign w:val="center"/>
          </w:tcPr>
          <w:p>
            <w:pPr>
              <w:spacing w:before="60" w:after="60"/>
              <w:jc w:val="center"/>
              <w:rPr>
                <w:lang w:val="pt-BR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b"/>
                  </m:rPr>
                  <w:rPr>
                    <w:rFonts w:ascii="Cambria Math" w:hAnsi="Cambria Math"/>
                    <w:lang w:val="pt-BR"/>
                  </w:rPr>
                  <m:t xml:space="preserve">B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 xml:space="preserve">=</m:t>
                </m:r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  <w:lang w:val="pt-BR"/>
                      </w:rPr>
                      <m:t xml:space="preserve">h</m:t>
                    </m:r>
                    <m:func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pt-BR"/>
                          </w:rPr>
                          <m:t xml:space="preserve">sen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lang w:val="pt-BR"/>
                          </w:rPr>
                          <m:t xml:space="preserve">α</m:t>
                        </m:r>
                      </m:e>
                    </m:func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 xml:space="preserve">−</m:t>
                    </m:r>
                    <m:r>
                      <w:rPr>
                        <w:rFonts w:ascii="Cambria Math" w:hAnsi="Cambria Math"/>
                        <w:lang w:val="pt-BR"/>
                      </w:rPr>
                      <m:t xml:space="preserve">p</m:t>
                    </m:r>
                    <m:func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pt-BR"/>
                          </w:rPr>
                          <m:t xml:space="preserve">cos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lang w:val="pt-BR"/>
                          </w:rPr>
                          <m:t xml:space="preserve">α</m:t>
                        </m:r>
                      </m:e>
                    </m:func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 xml:space="preserve">,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 xml:space="preserve"> </m:t>
                    </m:r>
                    <m:r>
                      <w:rPr>
                        <w:rFonts w:ascii="Cambria Math" w:hAnsi="Cambria Math"/>
                        <w:lang w:val="pt-BR"/>
                      </w:rPr>
                      <m:t xml:space="preserve">h</m:t>
                    </m:r>
                    <m:func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pt-BR"/>
                          </w:rPr>
                          <m:t xml:space="preserve">cos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lang w:val="pt-BR"/>
                          </w:rPr>
                          <m:t xml:space="preserve">α</m:t>
                        </m:r>
                      </m:e>
                    </m:func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 xml:space="preserve">+</m:t>
                    </m:r>
                    <m:r>
                      <w:rPr>
                        <w:rFonts w:ascii="Cambria Math" w:hAnsi="Cambria Math"/>
                        <w:lang w:val="pt-BR"/>
                      </w:rPr>
                      <m:t xml:space="preserve">p</m:t>
                    </m:r>
                    <m:func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pt-BR"/>
                          </w:rPr>
                          <m:t xml:space="preserve">sen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lang w:val="pt-BR"/>
                          </w:rPr>
                          <m:t xml:space="preserve">α</m:t>
                        </m:r>
                      </m:e>
                    </m:func>
                  </m:e>
                </m:d>
              </m:oMath>
            </m:oMathPara>
          </w:p>
        </w:tc>
        <w:tc>
          <w:tcPr>
            <w:tcW w:w="900" w:type="dxa"/>
            <w:vAlign w:val="center"/>
          </w:tcPr>
          <w:p>
            <w:pPr>
              <w:spacing w:before="60" w:after="60"/>
              <w:jc w:val="right"/>
              <w:rPr>
                <w:lang w:val="pt-BR"/>
              </w:rPr>
            </w:pPr>
            <w:r>
              <w:rPr>
                <w:lang w:val="pt-BR"/>
              </w:rPr>
              <w:t xml:space="preserve">(5)</w:t>
            </w:r>
          </w:p>
        </w:tc>
      </w:tr>
    </w:tbl>
    <w:p>
      <w:pPr>
        <w:rPr>
          <w:lang w:val="pt-BR"/>
        </w:rPr>
      </w:pPr>
      <w:r>
        <w:rPr>
          <w:lang w:val="pt-BR"/>
        </w:rPr>
        <w:t xml:space="preserve">em que h e p são as componentes desse vetor no referencial do elo proximal. A posição da ancoragem h é o parâmetro geométrico mais incerto do mecanismo e permanece explícita em todas as equações; a cota lida no CAD, H</w:t>
      </w:r>
      <w:r>
        <w:rPr>
          <w:vertAlign w:val="subscript"/>
          <w:lang w:val="pt-BR"/>
        </w:rPr>
        <w:t xml:space="preserve">CAD</w:t>
      </w:r>
      <w:r>
        <w:rPr>
          <w:lang w:val="pt-BR"/>
        </w:rPr>
        <w:t xml:space="preserve"> = 34,785 mm, é tratada como valor documental, e o valor adotado no modelo é H</w:t>
      </w:r>
      <w:r>
        <w:rPr>
          <w:vertAlign w:val="subscript"/>
          <w:lang w:val="pt-BR"/>
        </w:rPr>
        <w:t xml:space="preserve">CAL</w:t>
      </w:r>
      <w:r>
        <w:rPr>
          <w:lang w:val="pt-BR"/>
        </w:rPr>
        <w:t xml:space="preserve"> = 22,701 mm (seção 3.9). Com u(x) = (cos x, sen x) e u</w:t>
      </w:r>
      <w:r>
        <w:rPr>
          <w:vertAlign w:val="subscript"/>
          <w:lang w:val="pt-BR"/>
        </w:rPr>
        <w:t xml:space="preserve">⊥</w:t>
      </w:r>
      <w:r>
        <w:rPr>
          <w:lang w:val="pt-BR"/>
        </w:rPr>
        <w:t xml:space="preserve">(x) = (−sen x, cos x), o fechamento do circuito se escreve</w:t>
      </w:r>
    </w:p>
    <w:tbl>
      <w:tblPr>
        <w:tblW w:w="936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1" w:noVBand="1"/>
      </w:tblPr>
      <w:tblGrid>
        <w:gridCol w:w="8460"/>
        <w:gridCol w:w="900"/>
      </w:tblGrid>
      <w:tr>
        <w:trPr>
          <w:cantSplit/>
        </w:trPr>
        <w:tc>
          <w:tcPr>
            <w:tcW w:w="8460" w:type="dxa"/>
            <w:vAlign w:val="center"/>
          </w:tcPr>
          <w:p>
            <w:pPr>
              <w:spacing w:before="60" w:after="60"/>
              <w:jc w:val="center"/>
              <w:rPr>
                <w:lang w:val="pt-BR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b"/>
                  </m:rPr>
                  <w:rPr>
                    <w:rFonts w:ascii="Cambria Math" w:hAnsi="Cambria Math"/>
                    <w:lang w:val="pt-BR"/>
                  </w:rPr>
                  <m:t xml:space="preserve">B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 xml:space="preserve">+</m:t>
                </m:r>
                <m:r>
                  <w:rPr>
                    <w:rFonts w:ascii="Cambria Math" w:hAnsi="Cambria Math"/>
                    <w:lang w:val="pt-BR"/>
                  </w:rPr>
                  <m:t xml:space="preserve">s</m:t>
                </m:r>
                <m:r>
                  <m:rPr>
                    <m:sty m:val="b"/>
                  </m:rPr>
                  <w:rPr>
                    <w:rFonts w:ascii="Cambria Math" w:hAnsi="Cambria Math"/>
                    <w:lang w:val="pt-BR"/>
                  </w:rPr>
                  <m:t xml:space="preserve">u</m:t>
                </m:r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  <w:lang w:val="pt-BR"/>
                      </w:rPr>
                      <m:t xml:space="preserve">φ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 xml:space="preserve">+</m:t>
                </m:r>
                <m:r>
                  <w:rPr>
                    <w:rFonts w:ascii="Cambria Math" w:hAnsi="Cambria Math"/>
                    <w:lang w:val="pt-BR"/>
                  </w:rPr>
                  <m:t xml:space="preserve">R</m:t>
                </m:r>
                <m:sSup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lang w:val="pt-BR"/>
                      </w:rPr>
                      <m:t xml:space="preserve">u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 xml:space="preserve">⊥</m:t>
                    </m:r>
                  </m:sup>
                </m:sSup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  <w:lang w:val="pt-BR"/>
                      </w:rPr>
                      <m:t xml:space="preserve">φ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 xml:space="preserve">+</m:t>
                </m:r>
                <m:r>
                  <w:rPr>
                    <w:rFonts w:ascii="Cambria Math" w:hAnsi="Cambria Math"/>
                    <w:lang w:val="pt-BR"/>
                  </w:rPr>
                  <m:t xml:space="preserve">C</m:t>
                </m:r>
                <m:r>
                  <m:rPr>
                    <m:sty m:val="b"/>
                  </m:rPr>
                  <w:rPr>
                    <w:rFonts w:ascii="Cambria Math" w:hAnsi="Cambria Math"/>
                    <w:lang w:val="pt-BR"/>
                  </w:rPr>
                  <m:t xml:space="preserve">u</m:t>
                </m:r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  <w:lang w:val="pt-BR"/>
                      </w:rPr>
                      <m:t xml:space="preserve">q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 xml:space="preserve">=</m:t>
                </m:r>
                <m:r>
                  <m:rPr>
                    <m:sty m:val="b"/>
                  </m:rPr>
                  <w:rPr>
                    <w:rFonts w:ascii="Cambria Math" w:hAnsi="Cambria Math"/>
                    <w:lang w:val="pt-BR"/>
                  </w:rPr>
                  <m:t xml:space="preserve">0</m:t>
                </m:r>
              </m:oMath>
            </m:oMathPara>
          </w:p>
        </w:tc>
        <w:tc>
          <w:tcPr>
            <w:tcW w:w="900" w:type="dxa"/>
            <w:vAlign w:val="center"/>
          </w:tcPr>
          <w:p>
            <w:pPr>
              <w:spacing w:before="60" w:after="60"/>
              <w:jc w:val="right"/>
              <w:rPr>
                <w:lang w:val="pt-BR"/>
              </w:rPr>
            </w:pPr>
            <w:r>
              <w:rPr>
                <w:lang w:val="pt-BR"/>
              </w:rPr>
              <w:t xml:space="preserve">(6)</w:t>
            </w:r>
          </w:p>
        </w:tc>
      </w:tr>
    </w:tbl>
    <w:p>
      <w:pPr>
        <w:rPr>
          <w:lang w:val="pt-BR"/>
        </w:rPr>
      </w:pPr>
      <w:r>
        <w:rPr>
          <w:lang w:val="pt-BR"/>
        </w:rPr>
        <w:t xml:space="preserve">em que s é o comprimento do vão livre do cabo, de A a T, R o raio do tambor e C a distância do pivô ao centro do tambor. As duas componentes da Equação (6) são as equações escalares de fechamento f</w:t>
      </w:r>
      <w:r>
        <w:rPr>
          <w:vertAlign w:val="subscript"/>
          <w:lang w:val="pt-BR"/>
        </w:rPr>
        <w:t xml:space="preserve">1</w:t>
      </w:r>
      <w:r>
        <w:rPr>
          <w:lang w:val="pt-BR"/>
        </w:rPr>
        <w:t xml:space="preserve"> = 0 e f</w:t>
      </w:r>
      <w:r>
        <w:rPr>
          <w:vertAlign w:val="subscript"/>
          <w:lang w:val="pt-BR"/>
        </w:rPr>
        <w:t xml:space="preserve">2</w:t>
      </w:r>
      <w:r>
        <w:rPr>
          <w:lang w:val="pt-BR"/>
        </w:rPr>
        <w:t xml:space="preserve"> = 0. Isolando-se os termos em φ, o lado esquerdo torna-se o vetor (s, R) girado de φ, o que permite resolver o sistema em forma fechada, sem procedimento iterativo:</w:t>
      </w:r>
    </w:p>
    <w:tbl>
      <w:tblPr>
        <w:tblW w:w="936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1" w:noVBand="1"/>
      </w:tblPr>
      <w:tblGrid>
        <w:gridCol w:w="8460"/>
        <w:gridCol w:w="900"/>
      </w:tblGrid>
      <w:tr>
        <w:trPr>
          <w:cantSplit/>
        </w:trPr>
        <w:tc>
          <w:tcPr>
            <w:tcW w:w="8460" w:type="dxa"/>
            <w:vAlign w:val="center"/>
          </w:tcPr>
          <w:p>
            <w:pPr>
              <w:spacing w:before="60" w:after="60"/>
              <w:jc w:val="center"/>
              <w:rPr>
                <w:lang w:val="pt-BR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b"/>
                  </m:rPr>
                  <w:rPr>
                    <w:rFonts w:ascii="Cambria Math" w:hAnsi="Cambria Math"/>
                    <w:lang w:val="pt-BR"/>
                  </w:rPr>
                  <m:t xml:space="preserve">W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 xml:space="preserve">=−</m:t>
                </m:r>
                <m:d>
                  <m:dPr>
                    <m:begChr m:val="("/>
                    <m:endChr m:val=")"/>
                  </m:d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lang w:val="pt-BR"/>
                      </w:rPr>
                      <m:t xml:space="preserve">B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 xml:space="preserve">+</m:t>
                    </m:r>
                    <m:r>
                      <w:rPr>
                        <w:rFonts w:ascii="Cambria Math" w:hAnsi="Cambria Math"/>
                        <w:lang w:val="pt-BR"/>
                      </w:rPr>
                      <m:t xml:space="preserve">C</m:t>
                    </m:r>
                    <m:r>
                      <m:rPr>
                        <m:sty m:val="b"/>
                      </m:rPr>
                      <w:rPr>
                        <w:rFonts w:ascii="Cambria Math" w:hAnsi="Cambria Math"/>
                        <w:lang w:val="pt-BR"/>
                      </w:rPr>
                      <m:t xml:space="preserve">u</m:t>
                    </m:r>
                    <m:d>
                      <m:dPr>
                        <m:begChr m:val="("/>
                        <m:endChr m:val=")"/>
                      </m:dPr>
                      <m:e>
                        <m:r>
                          <w:rPr>
                            <w:rFonts w:ascii="Cambria Math" w:hAnsi="Cambria Math"/>
                            <w:lang w:val="pt-BR"/>
                          </w:rPr>
                          <m:t xml:space="preserve">q</m:t>
                        </m:r>
                      </m:e>
                    </m:d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 xml:space="preserve">,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 xml:space="preserve"> </m:t>
                </m:r>
                <m:r>
                  <w:rPr>
                    <w:rFonts w:ascii="Cambria Math" w:hAnsi="Cambria Math"/>
                    <w:lang w:val="pt-BR"/>
                  </w:rPr>
                  <m:t xml:space="preserve">ρ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 xml:space="preserve">=</m:t>
                </m:r>
                <m:d>
                  <m:dPr>
                    <m:begChr m:val="|"/>
                    <m:endChr m:val="|"/>
                  </m:d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lang w:val="pt-BR"/>
                      </w:rPr>
                      <m:t xml:space="preserve">W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 xml:space="preserve">,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 xml:space="preserve"> </m:t>
                </m:r>
                <m:r>
                  <w:rPr>
                    <w:rFonts w:ascii="Cambria Math" w:hAnsi="Cambria Math"/>
                    <w:lang w:val="pt-BR"/>
                  </w:rPr>
                  <m:t xml:space="preserve">s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 xml:space="preserve">=</m:t>
                </m:r>
                <m:rad>
                  <m:radPr>
                    <m:degHide m:val="1"/>
                  </m:radPr>
                  <m:deg/>
                  <m:e>
                    <m:sSup>
                      <m:e>
                        <m:r>
                          <w:rPr>
                            <w:rFonts w:ascii="Cambria Math" w:hAnsi="Cambria Math"/>
                            <w:lang w:val="pt-BR"/>
                          </w:rPr>
                          <m:t xml:space="preserve">ρ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pt-BR"/>
                          </w:rPr>
                          <m:t xml:space="preserve"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 xml:space="preserve">−</m:t>
                    </m:r>
                    <m:sSup>
                      <m:e>
                        <m:r>
                          <w:rPr>
                            <w:rFonts w:ascii="Cambria Math" w:hAnsi="Cambria Math"/>
                            <w:lang w:val="pt-BR"/>
                          </w:rPr>
                          <m:t xml:space="preserve">R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pt-BR"/>
                          </w:rPr>
                          <m:t xml:space="preserve">2</m:t>
                        </m:r>
                      </m:sup>
                    </m:sSup>
                  </m:e>
                </m:rad>
              </m:oMath>
            </m:oMathPara>
          </w:p>
        </w:tc>
        <w:tc>
          <w:tcPr>
            <w:tcW w:w="900" w:type="dxa"/>
            <w:vAlign w:val="center"/>
          </w:tcPr>
          <w:p>
            <w:pPr>
              <w:spacing w:before="60" w:after="60"/>
              <w:jc w:val="right"/>
              <w:rPr>
                <w:lang w:val="pt-BR"/>
              </w:rPr>
            </w:pPr>
            <w:r>
              <w:rPr>
                <w:lang w:val="pt-BR"/>
              </w:rPr>
              <w:t xml:space="preserve">(7)</w:t>
            </w:r>
          </w:p>
        </w:tc>
      </w:tr>
      <w:tr>
        <w:trPr>
          <w:cantSplit/>
        </w:trPr>
        <w:tc>
          <w:tcPr>
            <w:tcW w:w="8460" w:type="dxa"/>
            <w:vAlign w:val="center"/>
          </w:tcPr>
          <w:p>
            <w:pPr>
              <w:spacing w:before="60" w:after="60"/>
              <w:jc w:val="center"/>
              <w:rPr>
                <w:lang w:val="pt-BR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lang w:val="pt-BR"/>
                  </w:rPr>
                  <m:t xml:space="preserve">φ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 xml:space="preserve">=</m:t>
                </m:r>
                <m:func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 xml:space="preserve">atan2</m:t>
                    </m:r>
                  </m:fName>
                  <m:e>
                    <m:d>
                      <m:dPr>
                        <m:begChr m:val="("/>
                        <m:endChr m:val=")"/>
                      </m:dPr>
                      <m:e>
                        <m:sSub>
                          <m:e>
                            <m:r>
                              <w:rPr>
                                <w:rFonts w:ascii="Cambria Math" w:hAnsi="Cambria Math"/>
                                <w:lang w:val="pt-BR"/>
                              </w:rPr>
                              <m:t xml:space="preserve"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pt-BR"/>
                              </w:rPr>
                              <m:t xml:space="preserve"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pt-BR"/>
                          </w:rPr>
                          <m:t xml:space="preserve">,</m:t>
                        </m:r>
                        <m:sSub>
                          <m:e>
                            <m:r>
                              <w:rPr>
                                <w:rFonts w:ascii="Cambria Math" w:hAnsi="Cambria Math"/>
                                <w:lang w:val="pt-BR"/>
                              </w:rPr>
                              <m:t xml:space="preserve"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pt-BR"/>
                              </w:rPr>
                              <m:t xml:space="preserve">x</m:t>
                            </m:r>
                          </m:sub>
                        </m:sSub>
                      </m:e>
                    </m:d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 xml:space="preserve">−</m:t>
                </m:r>
                <m:func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 xml:space="preserve">atan2</m:t>
                    </m:r>
                  </m:fName>
                  <m:e>
                    <m:d>
                      <m:dPr>
                        <m:begChr m:val="("/>
                        <m:endChr m:val=")"/>
                      </m:dPr>
                      <m:e>
                        <m:r>
                          <w:rPr>
                            <w:rFonts w:ascii="Cambria Math" w:hAnsi="Cambria Math"/>
                            <w:lang w:val="pt-BR"/>
                          </w:rPr>
                          <m:t xml:space="preserve">R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pt-BR"/>
                          </w:rPr>
                          <m:t xml:space="preserve">,</m:t>
                        </m:r>
                        <m:r>
                          <w:rPr>
                            <w:rFonts w:ascii="Cambria Math" w:hAnsi="Cambria Math"/>
                            <w:lang w:val="pt-BR"/>
                          </w:rPr>
                          <m:t xml:space="preserve">s</m:t>
                        </m:r>
                      </m:e>
                    </m:d>
                  </m:e>
                </m:func>
              </m:oMath>
            </m:oMathPara>
          </w:p>
        </w:tc>
        <w:tc>
          <w:tcPr>
            <w:tcW w:w="900" w:type="dxa"/>
            <w:vAlign w:val="center"/>
          </w:tcPr>
          <w:p>
            <w:pPr>
              <w:spacing w:before="60" w:after="60"/>
              <w:jc w:val="right"/>
              <w:rPr>
                <w:lang w:val="pt-BR"/>
              </w:rPr>
            </w:pPr>
            <w:r>
              <w:rPr>
                <w:lang w:val="pt-BR"/>
              </w:rPr>
              <w:t xml:space="preserve">(8)</w:t>
            </w:r>
          </w:p>
        </w:tc>
      </w:tr>
    </w:tbl>
    <w:p>
      <w:pPr>
        <w:rPr>
          <w:lang w:val="pt-BR"/>
        </w:rPr>
      </w:pPr>
      <w:r>
        <w:rPr>
          <w:lang w:val="pt-BR"/>
        </w:rPr>
        <w:t xml:space="preserve">A grandeza ρ é a distância da ancoragem ao centro do tambor, e a tangente existe somente se ρ &gt; R, condição verificada em cada ponto calculado. A formulação original do autor para essa distância, obtida pela lei dos cossenos,</w:t>
      </w:r>
    </w:p>
    <w:tbl>
      <w:tblPr>
        <w:tblW w:w="936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1" w:noVBand="1"/>
      </w:tblPr>
      <w:tblGrid>
        <w:gridCol w:w="8460"/>
        <w:gridCol w:w="900"/>
      </w:tblGrid>
      <w:tr>
        <w:trPr>
          <w:cantSplit/>
        </w:trPr>
        <w:tc>
          <w:tcPr>
            <w:tcW w:w="8460" w:type="dxa"/>
            <w:vAlign w:val="center"/>
          </w:tcPr>
          <w:p>
            <w:pPr>
              <w:spacing w:before="60" w:after="60"/>
              <w:jc w:val="center"/>
              <w:rPr>
                <w:lang w:val="pt-BR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  <w:lang w:val="pt-BR"/>
                      </w:rPr>
                      <m:t xml:space="preserve">ρ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 xml:space="preserve">orig</m:t>
                    </m:r>
                  </m:sub>
                </m:sSub>
                <m:d>
                  <m:dPr>
                    <m:begChr m:val="("/>
                    <m:endChr m:val=")"/>
                  </m:dPr>
                  <m:e>
                    <m:sSup>
                      <m:e>
                        <m:r>
                          <w:rPr>
                            <w:rFonts w:ascii="Cambria Math" w:hAnsi="Cambria Math"/>
                            <w:lang w:val="pt-BR"/>
                          </w:rPr>
                          <m:t xml:space="preserve">θ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pt-BR"/>
                          </w:rPr>
                          <m:t xml:space="preserve">∗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 xml:space="preserve">=</m:t>
                </m:r>
                <m:rad>
                  <m:radPr>
                    <m:degHide m:val="1"/>
                  </m:radPr>
                  <m:deg/>
                  <m:e>
                    <m:sSup>
                      <m:e>
                        <m:r>
                          <w:rPr>
                            <w:rFonts w:ascii="Cambria Math" w:hAnsi="Cambria Math"/>
                            <w:lang w:val="pt-BR"/>
                          </w:rPr>
                          <m:t xml:space="preserve">h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pt-BR"/>
                          </w:rPr>
                          <m:t xml:space="preserve"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 xml:space="preserve">+</m:t>
                    </m:r>
                    <m:sSup>
                      <m:e>
                        <m:r>
                          <w:rPr>
                            <w:rFonts w:ascii="Cambria Math" w:hAnsi="Cambria Math"/>
                            <w:lang w:val="pt-BR"/>
                          </w:rPr>
                          <m:t xml:space="preserve">p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pt-BR"/>
                          </w:rPr>
                          <m:t xml:space="preserve"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 xml:space="preserve">+</m:t>
                    </m:r>
                    <m:sSup>
                      <m:e>
                        <m:r>
                          <w:rPr>
                            <w:rFonts w:ascii="Cambria Math" w:hAnsi="Cambria Math"/>
                            <w:lang w:val="pt-BR"/>
                          </w:rPr>
                          <m:t xml:space="preserve">C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pt-BR"/>
                          </w:rPr>
                          <m:t xml:space="preserve"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 xml:space="preserve">+2</m:t>
                    </m:r>
                    <m:r>
                      <w:rPr>
                        <w:rFonts w:ascii="Cambria Math" w:hAnsi="Cambria Math"/>
                        <w:lang w:val="pt-BR"/>
                      </w:rPr>
                      <m:t xml:space="preserve">C</m:t>
                    </m:r>
                    <m:d>
                      <m:dPr>
                        <m:begChr m:val="("/>
                        <m:endChr m:val=")"/>
                      </m:dPr>
                      <m:e>
                        <m:r>
                          <w:rPr>
                            <w:rFonts w:ascii="Cambria Math" w:hAnsi="Cambria Math"/>
                            <w:lang w:val="pt-BR"/>
                          </w:rPr>
                          <m:t xml:space="preserve">h</m:t>
                        </m:r>
                        <m:func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pt-BR"/>
                              </w:rPr>
                              <m:t xml:space="preserve">cos</m:t>
                            </m:r>
                          </m:fName>
                          <m:e>
                            <m:sSup>
                              <m:e>
                                <m:r>
                                  <w:rPr>
                                    <w:rFonts w:ascii="Cambria Math" w:hAnsi="Cambria Math"/>
                                    <w:lang w:val="pt-BR"/>
                                  </w:rPr>
                                  <m:t xml:space="preserve">θ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lang w:val="pt-BR"/>
                                  </w:rPr>
                                  <m:t xml:space="preserve">∗</m:t>
                                </m:r>
                              </m:sup>
                            </m:sSup>
                          </m:e>
                        </m:func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pt-BR"/>
                          </w:rPr>
                          <m:t xml:space="preserve">+</m:t>
                        </m:r>
                        <m:r>
                          <w:rPr>
                            <w:rFonts w:ascii="Cambria Math" w:hAnsi="Cambria Math"/>
                            <w:lang w:val="pt-BR"/>
                          </w:rPr>
                          <m:t xml:space="preserve">p</m:t>
                        </m:r>
                        <m:func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pt-BR"/>
                              </w:rPr>
                              <m:t xml:space="preserve">sen</m:t>
                            </m:r>
                          </m:fName>
                          <m:e>
                            <m:sSup>
                              <m:e>
                                <m:r>
                                  <w:rPr>
                                    <w:rFonts w:ascii="Cambria Math" w:hAnsi="Cambria Math"/>
                                    <w:lang w:val="pt-BR"/>
                                  </w:rPr>
                                  <m:t xml:space="preserve">θ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lang w:val="pt-BR"/>
                                  </w:rPr>
                                  <m:t xml:space="preserve">∗</m:t>
                                </m:r>
                              </m:sup>
                            </m:sSup>
                          </m:e>
                        </m:func>
                      </m:e>
                    </m:d>
                  </m:e>
                </m:rad>
              </m:oMath>
            </m:oMathPara>
          </w:p>
        </w:tc>
        <w:tc>
          <w:tcPr>
            <w:tcW w:w="900" w:type="dxa"/>
            <w:vAlign w:val="center"/>
          </w:tcPr>
          <w:p>
            <w:pPr>
              <w:spacing w:before="60" w:after="60"/>
              <w:jc w:val="right"/>
              <w:rPr>
                <w:lang w:val="pt-BR"/>
              </w:rPr>
            </w:pPr>
            <w:r>
              <w:rPr>
                <w:lang w:val="pt-BR"/>
              </w:rPr>
              <w:t xml:space="preserve">(9)</w:t>
            </w:r>
          </w:p>
        </w:tc>
      </w:tr>
    </w:tbl>
    <w:p>
      <w:pPr>
        <w:rPr>
          <w:lang w:val="pt-BR"/>
        </w:rPr>
      </w:pPr>
      <w:r>
        <w:rPr>
          <w:lang w:val="pt-BR"/>
        </w:rPr>
        <w:t xml:space="preserve">foi preservada no código como referência. Ela difere da Equação (7) pelo sinal do termo 2C(·) e equivale a ρ avaliado em θ* + 180°, com diferença numérica de 5,7 × 10</w:t>
      </w:r>
      <w:r>
        <w:rPr>
          <w:vertAlign w:val="superscript"/>
          <w:lang w:val="pt-BR"/>
        </w:rPr>
        <w:t xml:space="preserve">−14</w:t>
      </w:r>
      <w:r>
        <w:rPr>
          <w:lang w:val="pt-BR"/>
        </w:rPr>
        <w:t xml:space="preserve"> mm; por esse motivo, a cadeia de cálculo usa a Equação (7), deduzida diretamente do fechamento.</w:t>
      </w:r>
    </w:p>
    <w:p>
      <w:pPr>
        <w:keepNext/>
        <w:spacing w:before="120" w:after="60"/>
        <w:rPr>
          <w:lang w:val="pt-BR"/>
        </w:rPr>
      </w:pPr>
      <w:r>
        <w:rPr>
          <w:b/>
          <w:lang w:val="pt-BR"/>
        </w:rPr>
        <w:t xml:space="preserve">Figura 1 — Circuito vetorial do gerador de torque na pose de referência (θ* = 115,017°, h = 22,701 mm)</w:t>
      </w:r>
    </w:p>
    <w:p xmlns:a="http://schemas.openxmlformats.org/drawingml/2006/main" xmlns:pic="http://schemas.openxmlformats.org/drawingml/2006/picture">
      <w:pPr>
        <w:keepNext/>
        <w:spacing w:after="60"/>
        <w:jc w:val="center"/>
        <w:rPr>
          <w:lang w:val="pt-BR"/>
        </w:rPr>
      </w:pPr>
      <w:r>
        <w:rPr>
          <w:noProof/>
          <w:lang w:val="pt-BR"/>
        </w:rPr>
        <w:drawing>
          <wp:inline distT="0" distB="0" distL="0" distR="0">
            <wp:extent cx="5943600" cy="2318004"/>
            <wp:effectExtent l="0" t="0" r="0" b="0"/>
            <wp:docPr id="901" name="Figura 1" descr="Circuito vetorial na pose de referência: pivô O, ancoragem A, centro do tambor D, ponto de tangência T, vão livre s, braço perpendicular m e distância b; à direita, ampliação da região do pivô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1" name="Figura 1" descr="Circuito vetorial na pose de referência: pivô O, ancoragem A, centro do tambor D, ponto de tangência T, vão livre s, braço perpendicular m e distância b; à direita, ampliação da região do pivô."/>
                    <pic:cNvPicPr/>
                  </pic:nvPicPr>
                  <pic:blipFill>
                    <a:blip r:embed="rIdTccFig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8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60"/>
        <w:rPr>
          <w:lang w:val="pt-BR"/>
        </w:rPr>
      </w:pPr>
      <w:r>
        <w:rPr>
          <w:sz w:val="20"/>
          <w:szCs w:val="20"/>
          <w:lang w:val="pt-BR"/>
        </w:rPr>
        <w:t xml:space="preserve">Fonte: elaborada pelo autor.</w:t>
      </w:r>
    </w:p>
    <w:p>
      <w:pPr>
        <w:spacing w:after="160"/>
        <w:rPr>
          <w:lang w:val="pt-BR"/>
        </w:rPr>
      </w:pPr>
      <w:r>
        <w:rPr>
          <w:sz w:val="20"/>
          <w:szCs w:val="20"/>
          <w:lang w:val="pt-BR"/>
        </w:rPr>
        <w:t xml:space="preserve">Nota: O é o pivô, A a ancoragem do cabo, D o centro do tambor e T o ponto de tangência. O painel da direita amplia a região do pivô, onde se distinguem o vetor B e o braço m.</w:t>
      </w:r>
    </w:p>
    <w:p>
      <w:pPr>
        <w:pStyle w:val="Ttulo2"/>
        <w:rPr>
          <w:lang w:val="pt-BR"/>
        </w:rPr>
      </w:pPr>
      <w:r>
        <w:rPr>
          <w:lang w:val="pt-BR"/>
        </w:rPr>
        <w:t xml:space="preserve">3.5 Ponto de tangência, distância b, ângulo β e braço de momento</w:t>
      </w:r>
    </w:p>
    <w:p>
      <w:pPr>
        <w:rPr>
          <w:lang w:val="pt-BR"/>
        </w:rPr>
      </w:pPr>
      <w:r>
        <w:rPr>
          <w:lang w:val="pt-BR"/>
        </w:rPr>
        <w:t xml:space="preserve">O ponto em que o cabo deixa o tambor é</w:t>
      </w:r>
    </w:p>
    <w:tbl>
      <w:tblPr>
        <w:tblW w:w="936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1" w:noVBand="1"/>
      </w:tblPr>
      <w:tblGrid>
        <w:gridCol w:w="8460"/>
        <w:gridCol w:w="900"/>
      </w:tblGrid>
      <w:tr>
        <w:trPr>
          <w:cantSplit/>
        </w:trPr>
        <w:tc>
          <w:tcPr>
            <w:tcW w:w="8460" w:type="dxa"/>
            <w:vAlign w:val="center"/>
          </w:tcPr>
          <w:p>
            <w:pPr>
              <w:spacing w:before="60" w:after="60"/>
              <w:jc w:val="center"/>
              <w:rPr>
                <w:lang w:val="pt-BR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b"/>
                  </m:rPr>
                  <w:rPr>
                    <w:rFonts w:ascii="Cambria Math" w:hAnsi="Cambria Math"/>
                    <w:lang w:val="pt-BR"/>
                  </w:rPr>
                  <m:t xml:space="preserve">T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 xml:space="preserve">=</m:t>
                </m:r>
                <m:r>
                  <m:rPr>
                    <m:sty m:val="b"/>
                  </m:rPr>
                  <w:rPr>
                    <w:rFonts w:ascii="Cambria Math" w:hAnsi="Cambria Math"/>
                    <w:lang w:val="pt-BR"/>
                  </w:rPr>
                  <m:t xml:space="preserve">D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 xml:space="preserve">+</m:t>
                </m:r>
                <m:r>
                  <w:rPr>
                    <w:rFonts w:ascii="Cambria Math" w:hAnsi="Cambria Math"/>
                    <w:lang w:val="pt-BR"/>
                  </w:rPr>
                  <m:t xml:space="preserve">R</m:t>
                </m:r>
                <m:d>
                  <m:dPr>
                    <m:begChr m:val="("/>
                    <m:endChr m:val=")"/>
                  </m:dPr>
                  <m:e>
                    <m:func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pt-BR"/>
                          </w:rPr>
                          <m:t xml:space="preserve">sen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lang w:val="pt-BR"/>
                          </w:rPr>
                          <m:t xml:space="preserve">φ</m:t>
                        </m:r>
                      </m:e>
                    </m:func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 xml:space="preserve">,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 xml:space="preserve"> 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 xml:space="preserve">−</m:t>
                    </m:r>
                    <m:func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pt-BR"/>
                          </w:rPr>
                          <m:t xml:space="preserve">cos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lang w:val="pt-BR"/>
                          </w:rPr>
                          <m:t xml:space="preserve">φ</m:t>
                        </m:r>
                      </m:e>
                    </m:func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 xml:space="preserve">,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 xml:space="preserve"> </m:t>
                </m:r>
                <m:r>
                  <m:rPr>
                    <m:sty m:val="b"/>
                  </m:rPr>
                  <w:rPr>
                    <w:rFonts w:ascii="Cambria Math" w:hAnsi="Cambria Math"/>
                    <w:lang w:val="pt-BR"/>
                  </w:rPr>
                  <m:t xml:space="preserve">D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 xml:space="preserve">=−</m:t>
                </m:r>
                <m:r>
                  <w:rPr>
                    <w:rFonts w:ascii="Cambria Math" w:hAnsi="Cambria Math"/>
                    <w:lang w:val="pt-BR"/>
                  </w:rPr>
                  <m:t xml:space="preserve">C</m:t>
                </m:r>
                <m:r>
                  <m:rPr>
                    <m:sty m:val="b"/>
                  </m:rPr>
                  <w:rPr>
                    <w:rFonts w:ascii="Cambria Math" w:hAnsi="Cambria Math"/>
                    <w:lang w:val="pt-BR"/>
                  </w:rPr>
                  <m:t xml:space="preserve">u</m:t>
                </m:r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  <w:lang w:val="pt-BR"/>
                      </w:rPr>
                      <m:t xml:space="preserve">q</m:t>
                    </m:r>
                  </m:e>
                </m:d>
              </m:oMath>
            </m:oMathPara>
          </w:p>
        </w:tc>
        <w:tc>
          <w:tcPr>
            <w:tcW w:w="900" w:type="dxa"/>
            <w:vAlign w:val="center"/>
          </w:tcPr>
          <w:p>
            <w:pPr>
              <w:spacing w:before="60" w:after="60"/>
              <w:jc w:val="right"/>
              <w:rPr>
                <w:lang w:val="pt-BR"/>
              </w:rPr>
            </w:pPr>
            <w:r>
              <w:rPr>
                <w:lang w:val="pt-BR"/>
              </w:rPr>
              <w:t xml:space="preserve">(10)</w:t>
            </w:r>
          </w:p>
        </w:tc>
      </w:tr>
    </w:tbl>
    <w:p>
      <w:pPr>
        <w:rPr>
          <w:lang w:val="pt-BR"/>
        </w:rPr>
      </w:pPr>
      <w:r>
        <w:rPr>
          <w:lang w:val="pt-BR"/>
        </w:rPr>
        <w:t xml:space="preserve">Na formulação original do autor, o mesmo ponto é obtido a partir da distância b = |OT| e do ângulo β entre a linha do elo (de O a D) e o segmento OT, calculados pela lei dos cossenos nos triângulos pivô–ancoragem–tangência e pivô–tambor–tangência:</w:t>
      </w:r>
    </w:p>
    <w:tbl>
      <w:tblPr>
        <w:tblW w:w="936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1" w:noVBand="1"/>
      </w:tblPr>
      <w:tblGrid>
        <w:gridCol w:w="8460"/>
        <w:gridCol w:w="900"/>
      </w:tblGrid>
      <w:tr>
        <w:trPr>
          <w:cantSplit/>
        </w:trPr>
        <w:tc>
          <w:tcPr>
            <w:tcW w:w="8460" w:type="dxa"/>
            <w:vAlign w:val="center"/>
          </w:tcPr>
          <w:p>
            <w:pPr>
              <w:spacing w:before="60" w:after="60"/>
              <w:jc w:val="center"/>
              <w:rPr>
                <w:lang w:val="pt-BR"/>
              </w:rPr>
            </w:pPr>
            <m:oMathPara>
              <m:oMathParaPr>
                <m:jc m:val="center"/>
              </m:oMathParaPr>
              <m:oMath>
                <m:sSup>
                  <m:e>
                    <m:r>
                      <w:rPr>
                        <w:rFonts w:ascii="Cambria Math" w:hAnsi="Cambria Math"/>
                        <w:lang w:val="pt-BR"/>
                      </w:rPr>
                      <m:t xml:space="preserve">b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 xml:space="preserve"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 xml:space="preserve">=</m:t>
                </m:r>
                <m:sSup>
                  <m:e>
                    <m:r>
                      <w:rPr>
                        <w:rFonts w:ascii="Cambria Math" w:hAnsi="Cambria Math"/>
                        <w:lang w:val="pt-BR"/>
                      </w:rPr>
                      <m:t xml:space="preserve">s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 xml:space="preserve"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 xml:space="preserve">+</m:t>
                </m:r>
                <m:sSup>
                  <m:e>
                    <m:d>
                      <m:dPr>
                        <m:begChr m:val="|"/>
                        <m:endChr m:val="|"/>
                      </m:d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lang w:val="pt-BR"/>
                          </w:rPr>
                          <m:t xml:space="preserve">B</m:t>
                        </m:r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 xml:space="preserve"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 xml:space="preserve">+2</m:t>
                </m:r>
                <m:r>
                  <w:rPr>
                    <w:rFonts w:ascii="Cambria Math" w:hAnsi="Cambria Math"/>
                    <w:lang w:val="pt-BR"/>
                  </w:rPr>
                  <m:t xml:space="preserve">s</m:t>
                </m:r>
                <m:d>
                  <m:dPr>
                    <m:begChr m:val="|"/>
                    <m:endChr m:val="|"/>
                  </m:d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lang w:val="pt-BR"/>
                      </w:rPr>
                      <m:t xml:space="preserve">B</m:t>
                    </m:r>
                  </m:e>
                </m:d>
                <m:func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 xml:space="preserve">cos</m:t>
                    </m:r>
                  </m:fName>
                  <m:e>
                    <m:d>
                      <m:dPr>
                        <m:begChr m:val="("/>
                        <m:endChr m:val=")"/>
                      </m:dPr>
                      <m:e>
                        <m:r>
                          <w:rPr>
                            <w:rFonts w:ascii="Cambria Math" w:hAnsi="Cambria Math"/>
                            <w:lang w:val="pt-BR"/>
                          </w:rPr>
                          <m:t xml:space="preserve">φ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pt-BR"/>
                          </w:rPr>
                          <m:t xml:space="preserve">−</m:t>
                        </m:r>
                        <m:sSub>
                          <m:e>
                            <m:r>
                              <w:rPr>
                                <w:rFonts w:ascii="Cambria Math" w:hAnsi="Cambria Math"/>
                                <w:lang w:val="pt-BR"/>
                              </w:rPr>
                              <m:t xml:space="preserve">φ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pt-BR"/>
                              </w:rPr>
                              <m:t xml:space="preserve">B</m:t>
                            </m:r>
                          </m:sub>
                        </m:sSub>
                      </m:e>
                    </m:d>
                  </m:e>
                </m:func>
              </m:oMath>
            </m:oMathPara>
          </w:p>
        </w:tc>
        <w:tc>
          <w:tcPr>
            <w:tcW w:w="900" w:type="dxa"/>
            <w:vAlign w:val="center"/>
          </w:tcPr>
          <w:p>
            <w:pPr>
              <w:spacing w:before="60" w:after="60"/>
              <w:jc w:val="right"/>
              <w:rPr>
                <w:lang w:val="pt-BR"/>
              </w:rPr>
            </w:pPr>
            <w:r>
              <w:rPr>
                <w:lang w:val="pt-BR"/>
              </w:rPr>
              <w:t xml:space="preserve">(11)</w:t>
            </w:r>
          </w:p>
        </w:tc>
      </w:tr>
      <w:tr>
        <w:trPr>
          <w:cantSplit/>
        </w:trPr>
        <w:tc>
          <w:tcPr>
            <w:tcW w:w="8460" w:type="dxa"/>
            <w:vAlign w:val="center"/>
          </w:tcPr>
          <w:p>
            <w:pPr>
              <w:spacing w:before="60" w:after="60"/>
              <w:jc w:val="center"/>
              <w:rPr>
                <w:lang w:val="pt-BR"/>
              </w:rPr>
            </w:pPr>
            <m:oMathPara>
              <m:oMathParaPr>
                <m:jc m:val="center"/>
              </m:oMathParaPr>
              <m:oMath>
                <m:func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 xml:space="preserve">cos</m:t>
                    </m:r>
                  </m:fName>
                  <m:e>
                    <m:r>
                      <w:rPr>
                        <w:rFonts w:ascii="Cambria Math" w:hAnsi="Cambria Math"/>
                        <w:lang w:val="pt-BR"/>
                      </w:rPr>
                      <m:t xml:space="preserve">β</m:t>
                    </m:r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 xml:space="preserve">=</m:t>
                </m:r>
                <m:f>
                  <m:num>
                    <m:sSup>
                      <m:e>
                        <m:r>
                          <w:rPr>
                            <w:rFonts w:ascii="Cambria Math" w:hAnsi="Cambria Math"/>
                            <w:lang w:val="pt-BR"/>
                          </w:rPr>
                          <m:t xml:space="preserve">b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pt-BR"/>
                          </w:rPr>
                          <m:t xml:space="preserve"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 xml:space="preserve">+</m:t>
                    </m:r>
                    <m:sSup>
                      <m:e>
                        <m:r>
                          <w:rPr>
                            <w:rFonts w:ascii="Cambria Math" w:hAnsi="Cambria Math"/>
                            <w:lang w:val="pt-BR"/>
                          </w:rPr>
                          <m:t xml:space="preserve">C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pt-BR"/>
                          </w:rPr>
                          <m:t xml:space="preserve"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 xml:space="preserve">−</m:t>
                    </m:r>
                    <m:sSup>
                      <m:e>
                        <m:r>
                          <w:rPr>
                            <w:rFonts w:ascii="Cambria Math" w:hAnsi="Cambria Math"/>
                            <w:lang w:val="pt-BR"/>
                          </w:rPr>
                          <m:t xml:space="preserve">R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pt-BR"/>
                          </w:rPr>
                          <m:t xml:space="preserve">2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 xml:space="preserve">2</m:t>
                    </m:r>
                    <m:r>
                      <w:rPr>
                        <w:rFonts w:ascii="Cambria Math" w:hAnsi="Cambria Math"/>
                        <w:lang w:val="pt-BR"/>
                      </w:rPr>
                      <m:t xml:space="preserve">b</m:t>
                    </m:r>
                    <m:r>
                      <w:rPr>
                        <w:rFonts w:ascii="Cambria Math" w:hAnsi="Cambria Math"/>
                        <w:lang w:val="pt-BR"/>
                      </w:rPr>
                      <m:t xml:space="preserve">C</m:t>
                    </m:r>
                  </m:den>
                </m:f>
              </m:oMath>
            </m:oMathPara>
          </w:p>
        </w:tc>
        <w:tc>
          <w:tcPr>
            <w:tcW w:w="900" w:type="dxa"/>
            <w:vAlign w:val="center"/>
          </w:tcPr>
          <w:p>
            <w:pPr>
              <w:spacing w:before="60" w:after="60"/>
              <w:jc w:val="right"/>
              <w:rPr>
                <w:lang w:val="pt-BR"/>
              </w:rPr>
            </w:pPr>
            <w:r>
              <w:rPr>
                <w:lang w:val="pt-BR"/>
              </w:rPr>
              <w:t xml:space="preserve">(12)</w:t>
            </w:r>
          </w:p>
        </w:tc>
      </w:tr>
      <w:tr>
        <w:trPr>
          <w:cantSplit/>
        </w:trPr>
        <w:tc>
          <w:tcPr>
            <w:tcW w:w="8460" w:type="dxa"/>
            <w:vAlign w:val="center"/>
          </w:tcPr>
          <w:p>
            <w:pPr>
              <w:spacing w:before="60" w:after="60"/>
              <w:jc w:val="center"/>
              <w:rPr>
                <w:lang w:val="pt-BR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b"/>
                  </m:rPr>
                  <w:rPr>
                    <w:rFonts w:ascii="Cambria Math" w:hAnsi="Cambria Math"/>
                    <w:lang w:val="pt-BR"/>
                  </w:rPr>
                  <m:t xml:space="preserve">T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 xml:space="preserve">=</m:t>
                </m:r>
                <m:r>
                  <w:rPr>
                    <w:rFonts w:ascii="Cambria Math" w:hAnsi="Cambria Math"/>
                    <w:lang w:val="pt-BR"/>
                  </w:rPr>
                  <m:t xml:space="preserve">b</m:t>
                </m:r>
                <m:d>
                  <m:dPr>
                    <m:begChr m:val="("/>
                    <m:endChr m:val=")"/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 xml:space="preserve">−</m:t>
                    </m:r>
                    <m:func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pt-BR"/>
                          </w:rPr>
                          <m:t xml:space="preserve">cos</m:t>
                        </m:r>
                      </m:fName>
                      <m:e>
                        <m:d>
                          <m:dPr>
                            <m:begChr m:val="("/>
                            <m:endChr m:val=")"/>
                          </m:dPr>
                          <m:e>
                            <m:r>
                              <w:rPr>
                                <w:rFonts w:ascii="Cambria Math" w:hAnsi="Cambria Math"/>
                                <w:lang w:val="pt-BR"/>
                              </w:rPr>
                              <m:t xml:space="preserve">β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pt-BR"/>
                              </w:rPr>
                              <m:t xml:space="preserve">−</m:t>
                            </m:r>
                            <m:r>
                              <w:rPr>
                                <w:rFonts w:ascii="Cambria Math" w:hAnsi="Cambria Math"/>
                                <w:lang w:val="pt-BR"/>
                              </w:rPr>
                              <m:t xml:space="preserve">q</m:t>
                            </m:r>
                          </m:e>
                        </m:d>
                      </m:e>
                    </m:func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 xml:space="preserve">,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 xml:space="preserve"> </m:t>
                    </m:r>
                    <m:func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pt-BR"/>
                          </w:rPr>
                          <m:t xml:space="preserve">sen</m:t>
                        </m:r>
                      </m:fName>
                      <m:e>
                        <m:d>
                          <m:dPr>
                            <m:begChr m:val="("/>
                            <m:endChr m:val=")"/>
                          </m:dPr>
                          <m:e>
                            <m:r>
                              <w:rPr>
                                <w:rFonts w:ascii="Cambria Math" w:hAnsi="Cambria Math"/>
                                <w:lang w:val="pt-BR"/>
                              </w:rPr>
                              <m:t xml:space="preserve">β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pt-BR"/>
                              </w:rPr>
                              <m:t xml:space="preserve">−</m:t>
                            </m:r>
                            <m:r>
                              <w:rPr>
                                <w:rFonts w:ascii="Cambria Math" w:hAnsi="Cambria Math"/>
                                <w:lang w:val="pt-BR"/>
                              </w:rPr>
                              <m:t xml:space="preserve">q</m:t>
                            </m:r>
                          </m:e>
                        </m:d>
                      </m:e>
                    </m:func>
                  </m:e>
                </m:d>
              </m:oMath>
            </m:oMathPara>
          </w:p>
        </w:tc>
        <w:tc>
          <w:tcPr>
            <w:tcW w:w="900" w:type="dxa"/>
            <w:vAlign w:val="center"/>
          </w:tcPr>
          <w:p>
            <w:pPr>
              <w:spacing w:before="60" w:after="60"/>
              <w:jc w:val="right"/>
              <w:rPr>
                <w:lang w:val="pt-BR"/>
              </w:rPr>
            </w:pPr>
            <w:r>
              <w:rPr>
                <w:lang w:val="pt-BR"/>
              </w:rPr>
              <w:t xml:space="preserve">(13)</w:t>
            </w:r>
          </w:p>
        </w:tc>
      </w:tr>
    </w:tbl>
    <w:p>
      <w:pPr>
        <w:rPr>
          <w:lang w:val="pt-BR"/>
        </w:rPr>
      </w:pPr>
      <w:r>
        <w:rPr>
          <w:lang w:val="pt-BR"/>
        </w:rPr>
        <w:t xml:space="preserve">em que φ</w:t>
      </w:r>
      <w:r>
        <w:rPr>
          <w:vertAlign w:val="subscript"/>
          <w:lang w:val="pt-BR"/>
        </w:rPr>
        <w:t xml:space="preserve">B</w:t>
      </w:r>
      <w:r>
        <w:rPr>
          <w:lang w:val="pt-BR"/>
        </w:rPr>
        <w:t xml:space="preserve"> = atan2(B</w:t>
      </w:r>
      <w:r>
        <w:rPr>
          <w:vertAlign w:val="subscript"/>
          <w:lang w:val="pt-BR"/>
        </w:rPr>
        <w:t xml:space="preserve">y</w:t>
      </w:r>
      <w:r>
        <w:rPr>
          <w:lang w:val="pt-BR"/>
        </w:rPr>
        <w:t xml:space="preserve">, B</w:t>
      </w:r>
      <w:r>
        <w:rPr>
          <w:vertAlign w:val="subscript"/>
          <w:lang w:val="pt-BR"/>
        </w:rPr>
        <w:t xml:space="preserve">x</w:t>
      </w:r>
      <w:r>
        <w:rPr>
          <w:lang w:val="pt-BR"/>
        </w:rPr>
        <w:t xml:space="preserve">) é a direção do vetor B. As duas vias são comparadas numericamente (seção 3.11), e a Equação (10) é a usada na cadeia por não depender do sinal de β. A distância b, entretanto, não é o braço de momento do cabo: como T pertence a uma circunferência de raio R centrada a C do pivô, b fica necessariamente entre C − R e C + R. O braço de momento é a distância perpendicular do pivô à linha de ação do cabo, que passa por A com direção u(φ):</w:t>
      </w:r>
    </w:p>
    <w:tbl>
      <w:tblPr>
        <w:tblW w:w="936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1" w:noVBand="1"/>
      </w:tblPr>
      <w:tblGrid>
        <w:gridCol w:w="8460"/>
        <w:gridCol w:w="900"/>
      </w:tblGrid>
      <w:tr>
        <w:trPr>
          <w:cantSplit/>
        </w:trPr>
        <w:tc>
          <w:tcPr>
            <w:tcW w:w="8460" w:type="dxa"/>
            <w:vAlign w:val="center"/>
          </w:tcPr>
          <w:p>
            <w:pPr>
              <w:spacing w:before="60" w:after="60"/>
              <w:jc w:val="center"/>
              <w:rPr>
                <w:lang w:val="pt-BR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lang w:val="pt-BR"/>
                  </w:rPr>
                  <m:t xml:space="preserve">m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 xml:space="preserve">=</m:t>
                </m:r>
                <m:sSub>
                  <m:e>
                    <m:r>
                      <w:rPr>
                        <w:rFonts w:ascii="Cambria Math" w:hAnsi="Cambria Math"/>
                        <w:lang w:val="pt-BR"/>
                      </w:rPr>
                      <m:t xml:space="preserve">B</m:t>
                    </m:r>
                  </m:e>
                  <m:sub>
                    <m:r>
                      <w:rPr>
                        <w:rFonts w:ascii="Cambria Math" w:hAnsi="Cambria Math"/>
                        <w:lang w:val="pt-BR"/>
                      </w:rPr>
                      <m:t xml:space="preserve">x</m:t>
                    </m:r>
                  </m:sub>
                </m:sSub>
                <m:func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 xml:space="preserve">sen</m:t>
                    </m:r>
                  </m:fName>
                  <m:e>
                    <m:r>
                      <w:rPr>
                        <w:rFonts w:ascii="Cambria Math" w:hAnsi="Cambria Math"/>
                        <w:lang w:val="pt-BR"/>
                      </w:rPr>
                      <m:t xml:space="preserve">φ</m:t>
                    </m:r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 xml:space="preserve">−</m:t>
                </m:r>
                <m:sSub>
                  <m:e>
                    <m:r>
                      <w:rPr>
                        <w:rFonts w:ascii="Cambria Math" w:hAnsi="Cambria Math"/>
                        <w:lang w:val="pt-BR"/>
                      </w:rPr>
                      <m:t xml:space="preserve">B</m:t>
                    </m:r>
                  </m:e>
                  <m:sub>
                    <m:r>
                      <w:rPr>
                        <w:rFonts w:ascii="Cambria Math" w:hAnsi="Cambria Math"/>
                        <w:lang w:val="pt-BR"/>
                      </w:rPr>
                      <m:t xml:space="preserve">y</m:t>
                    </m:r>
                  </m:sub>
                </m:sSub>
                <m:func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 xml:space="preserve">cos</m:t>
                    </m:r>
                  </m:fName>
                  <m:e>
                    <m:r>
                      <w:rPr>
                        <w:rFonts w:ascii="Cambria Math" w:hAnsi="Cambria Math"/>
                        <w:lang w:val="pt-BR"/>
                      </w:rPr>
                      <m:t xml:space="preserve">φ</m:t>
                    </m:r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 xml:space="preserve">,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 xml:space="preserve"> </m:t>
                </m:r>
                <m:d>
                  <m:dPr>
                    <m:begChr m:val="|"/>
                    <m:endChr m:val="|"/>
                  </m:dPr>
                  <m:e>
                    <m:r>
                      <w:rPr>
                        <w:rFonts w:ascii="Cambria Math" w:hAnsi="Cambria Math"/>
                        <w:lang w:val="pt-BR"/>
                      </w:rPr>
                      <m:t xml:space="preserve">m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 xml:space="preserve">≤</m:t>
                </m:r>
                <m:d>
                  <m:dPr>
                    <m:begChr m:val="|"/>
                    <m:endChr m:val="|"/>
                  </m:d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lang w:val="pt-BR"/>
                      </w:rPr>
                      <m:t xml:space="preserve">B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 xml:space="preserve">=</m:t>
                </m:r>
                <m:rad>
                  <m:radPr>
                    <m:degHide m:val="1"/>
                  </m:radPr>
                  <m:deg/>
                  <m:e>
                    <m:sSup>
                      <m:e>
                        <m:r>
                          <w:rPr>
                            <w:rFonts w:ascii="Cambria Math" w:hAnsi="Cambria Math"/>
                            <w:lang w:val="pt-BR"/>
                          </w:rPr>
                          <m:t xml:space="preserve">h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pt-BR"/>
                          </w:rPr>
                          <m:t xml:space="preserve"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 xml:space="preserve">+</m:t>
                    </m:r>
                    <m:sSup>
                      <m:e>
                        <m:r>
                          <w:rPr>
                            <w:rFonts w:ascii="Cambria Math" w:hAnsi="Cambria Math"/>
                            <w:lang w:val="pt-BR"/>
                          </w:rPr>
                          <m:t xml:space="preserve">p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pt-BR"/>
                          </w:rPr>
                          <m:t xml:space="preserve">2</m:t>
                        </m:r>
                      </m:sup>
                    </m:sSup>
                  </m:e>
                </m:rad>
              </m:oMath>
            </m:oMathPara>
          </w:p>
        </w:tc>
        <w:tc>
          <w:tcPr>
            <w:tcW w:w="900" w:type="dxa"/>
            <w:vAlign w:val="center"/>
          </w:tcPr>
          <w:p>
            <w:pPr>
              <w:spacing w:before="60" w:after="60"/>
              <w:jc w:val="right"/>
              <w:rPr>
                <w:lang w:val="pt-BR"/>
              </w:rPr>
            </w:pPr>
            <w:r>
              <w:rPr>
                <w:lang w:val="pt-BR"/>
              </w:rPr>
              <w:t xml:space="preserve">(14)</w:t>
            </w:r>
          </w:p>
        </w:tc>
      </w:tr>
    </w:tbl>
    <w:p>
      <w:pPr>
        <w:rPr>
          <w:lang w:val="pt-BR"/>
        </w:rPr>
      </w:pPr>
      <w:r>
        <w:rPr>
          <w:lang w:val="pt-BR"/>
        </w:rPr>
        <w:t xml:space="preserve">O braço m tem sinal, anula-se quando a linha do cabo passa pelo pivô (ponto morto, seção 3.7) e é limitado pelo comprimento |B| = |OA|, teto que decorre do traçado do cabo, e não do ajuste.</w:t>
      </w:r>
    </w:p>
    <w:p>
      <w:pPr>
        <w:pStyle w:val="Ttulo2"/>
        <w:rPr>
          <w:lang w:val="pt-BR"/>
        </w:rPr>
      </w:pPr>
      <w:r>
        <w:rPr>
          <w:lang w:val="pt-BR"/>
        </w:rPr>
        <w:t xml:space="preserve">3.6 Caminho do cabo, lei da mola e torque</w:t>
      </w:r>
    </w:p>
    <w:p>
      <w:pPr>
        <w:rPr>
          <w:lang w:val="pt-BR"/>
        </w:rPr>
      </w:pPr>
      <w:r>
        <w:rPr>
          <w:lang w:val="pt-BR"/>
        </w:rPr>
        <w:t xml:space="preserve">A mola é tracionada pelo cabo, que vai da ancoragem até o tambor, onde se enrola. Admitido cabo inextensível, a extensão da mola acompanha a variação do caminho total do cabo, composto pelo vão livre s e pelo arco enrolado no tambor, cujo comprimento varia com o ângulo porque o vão livre gira em relação ao elo distal. Sendo ψ o ângulo entre a direção do cabo e a direção do elo, reduzido ao intervalo (−π, π],</w:t>
      </w:r>
    </w:p>
    <w:tbl>
      <w:tblPr>
        <w:tblW w:w="936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1" w:noVBand="1"/>
      </w:tblPr>
      <w:tblGrid>
        <w:gridCol w:w="8460"/>
        <w:gridCol w:w="900"/>
      </w:tblGrid>
      <w:tr>
        <w:trPr>
          <w:cantSplit/>
        </w:trPr>
        <w:tc>
          <w:tcPr>
            <w:tcW w:w="8460" w:type="dxa"/>
            <w:vAlign w:val="center"/>
          </w:tcPr>
          <w:p>
            <w:pPr>
              <w:spacing w:before="60" w:after="60"/>
              <w:jc w:val="center"/>
              <w:rPr>
                <w:lang w:val="pt-BR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lang w:val="pt-BR"/>
                  </w:rPr>
                  <m:t xml:space="preserve">ψ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 xml:space="preserve">=</m:t>
                </m:r>
                <m:r>
                  <w:rPr>
                    <w:rFonts w:ascii="Cambria Math" w:hAnsi="Cambria Math"/>
                    <w:lang w:val="pt-BR"/>
                  </w:rPr>
                  <m:t xml:space="preserve">φ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 xml:space="preserve">−</m:t>
                </m:r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  <w:lang w:val="pt-BR"/>
                      </w:rPr>
                      <m:t xml:space="preserve">q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 xml:space="preserve">+</m:t>
                    </m:r>
                    <m:r>
                      <w:rPr>
                        <w:rFonts w:ascii="Cambria Math" w:hAnsi="Cambria Math"/>
                        <w:lang w:val="pt-BR"/>
                      </w:rPr>
                      <m:t xml:space="preserve">π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 xml:space="preserve">,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 xml:space="preserve"> </m:t>
                </m:r>
                <m:r>
                  <w:rPr>
                    <w:rFonts w:ascii="Cambria Math" w:hAnsi="Cambria Math"/>
                    <w:lang w:val="pt-BR"/>
                  </w:rPr>
                  <m:t xml:space="preserve">ψ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 xml:space="preserve">∈</m:t>
                </m:r>
                <m:d>
                  <m:dPr>
                    <m:begChr m:val="("/>
                    <m:endChr m:val="]"/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 xml:space="preserve">−</m:t>
                    </m:r>
                    <m:r>
                      <w:rPr>
                        <w:rFonts w:ascii="Cambria Math" w:hAnsi="Cambria Math"/>
                        <w:lang w:val="pt-BR"/>
                      </w:rPr>
                      <m:t xml:space="preserve">π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 xml:space="preserve">,</m:t>
                    </m:r>
                    <m:r>
                      <w:rPr>
                        <w:rFonts w:ascii="Cambria Math" w:hAnsi="Cambria Math"/>
                        <w:lang w:val="pt-BR"/>
                      </w:rPr>
                      <m:t xml:space="preserve">π</m:t>
                    </m:r>
                  </m:e>
                </m:d>
              </m:oMath>
            </m:oMathPara>
          </w:p>
        </w:tc>
        <w:tc>
          <w:tcPr>
            <w:tcW w:w="900" w:type="dxa"/>
            <w:vAlign w:val="center"/>
          </w:tcPr>
          <w:p>
            <w:pPr>
              <w:spacing w:before="60" w:after="60"/>
              <w:jc w:val="right"/>
              <w:rPr>
                <w:lang w:val="pt-BR"/>
              </w:rPr>
            </w:pPr>
            <w:r>
              <w:rPr>
                <w:lang w:val="pt-BR"/>
              </w:rPr>
              <w:t xml:space="preserve">(15)</w:t>
            </w:r>
          </w:p>
        </w:tc>
      </w:tr>
    </w:tbl>
    <w:p>
      <w:pPr>
        <w:rPr>
          <w:lang w:val="pt-BR"/>
        </w:rPr>
      </w:pPr>
      <w:r>
        <w:rPr>
          <w:lang w:val="pt-BR"/>
        </w:rPr>
        <w:t xml:space="preserve">o caminho variável do cabo é</w:t>
      </w:r>
    </w:p>
    <w:tbl>
      <w:tblPr>
        <w:tblW w:w="936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1" w:noVBand="1"/>
      </w:tblPr>
      <w:tblGrid>
        <w:gridCol w:w="8460"/>
        <w:gridCol w:w="900"/>
      </w:tblGrid>
      <w:tr>
        <w:trPr>
          <w:cantSplit/>
        </w:trPr>
        <w:tc>
          <w:tcPr>
            <w:tcW w:w="8460" w:type="dxa"/>
            <w:vAlign w:val="center"/>
          </w:tcPr>
          <w:p>
            <w:pPr>
              <w:spacing w:before="60" w:after="60"/>
              <w:jc w:val="center"/>
              <w:rPr>
                <w:lang w:val="pt-BR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lang w:val="pt-BR"/>
                  </w:rPr>
                  <m:t xml:space="preserve">ℓ</m:t>
                </m:r>
                <m:d>
                  <m:dPr>
                    <m:begChr m:val="("/>
                    <m:endChr m:val=")"/>
                  </m:dPr>
                  <m:e>
                    <m:sSup>
                      <m:e>
                        <m:r>
                          <w:rPr>
                            <w:rFonts w:ascii="Cambria Math" w:hAnsi="Cambria Math"/>
                            <w:lang w:val="pt-BR"/>
                          </w:rPr>
                          <m:t xml:space="preserve">θ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pt-BR"/>
                          </w:rPr>
                          <m:t xml:space="preserve">∗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 xml:space="preserve">=</m:t>
                </m:r>
                <m:r>
                  <w:rPr>
                    <w:rFonts w:ascii="Cambria Math" w:hAnsi="Cambria Math"/>
                    <w:lang w:val="pt-BR"/>
                  </w:rPr>
                  <m:t xml:space="preserve">s</m:t>
                </m:r>
                <m:d>
                  <m:dPr>
                    <m:begChr m:val="("/>
                    <m:endChr m:val=")"/>
                  </m:dPr>
                  <m:e>
                    <m:sSup>
                      <m:e>
                        <m:r>
                          <w:rPr>
                            <w:rFonts w:ascii="Cambria Math" w:hAnsi="Cambria Math"/>
                            <w:lang w:val="pt-BR"/>
                          </w:rPr>
                          <m:t xml:space="preserve">θ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pt-BR"/>
                          </w:rPr>
                          <m:t xml:space="preserve">∗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 xml:space="preserve">−</m:t>
                </m:r>
                <m:r>
                  <w:rPr>
                    <w:rFonts w:ascii="Cambria Math" w:hAnsi="Cambria Math"/>
                    <w:lang w:val="pt-BR"/>
                  </w:rPr>
                  <m:t xml:space="preserve">R</m:t>
                </m:r>
                <m:r>
                  <w:rPr>
                    <w:rFonts w:ascii="Cambria Math" w:hAnsi="Cambria Math"/>
                    <w:lang w:val="pt-BR"/>
                  </w:rPr>
                  <m:t xml:space="preserve">ψ</m:t>
                </m:r>
                <m:d>
                  <m:dPr>
                    <m:begChr m:val="("/>
                    <m:endChr m:val=")"/>
                  </m:dPr>
                  <m:e>
                    <m:sSup>
                      <m:e>
                        <m:r>
                          <w:rPr>
                            <w:rFonts w:ascii="Cambria Math" w:hAnsi="Cambria Math"/>
                            <w:lang w:val="pt-BR"/>
                          </w:rPr>
                          <m:t xml:space="preserve">θ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pt-BR"/>
                          </w:rPr>
                          <m:t xml:space="preserve">∗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900" w:type="dxa"/>
            <w:vAlign w:val="center"/>
          </w:tcPr>
          <w:p>
            <w:pPr>
              <w:spacing w:before="60" w:after="60"/>
              <w:jc w:val="right"/>
              <w:rPr>
                <w:lang w:val="pt-BR"/>
              </w:rPr>
            </w:pPr>
            <w:r>
              <w:rPr>
                <w:lang w:val="pt-BR"/>
              </w:rPr>
              <w:t xml:space="preserve">(16)</w:t>
            </w:r>
          </w:p>
        </w:tc>
      </w:tr>
    </w:tbl>
    <w:p>
      <w:pPr>
        <w:rPr>
          <w:lang w:val="pt-BR"/>
        </w:rPr>
      </w:pPr>
      <w:r>
        <w:rPr>
          <w:lang w:val="pt-BR"/>
        </w:rPr>
        <w:t xml:space="preserve">Entra no modelo apenas a parcela variável do enrolamento: um arco constante cancela-se na extensão da mola, porque o caminho e o comprimento de referência são calculados pela mesma expressão. O sinal do termo do arco foi fixado pelo princípio dos trabalhos virtuais. Em um mecanismo conservativo, sem atrito no tambor, o trabalho da tração no cabo iguala o do torque no elo, o que exige</w:t>
      </w:r>
    </w:p>
    <w:tbl>
      <w:tblPr>
        <w:tblW w:w="936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1" w:noVBand="1"/>
      </w:tblPr>
      <w:tblGrid>
        <w:gridCol w:w="8460"/>
        <w:gridCol w:w="900"/>
      </w:tblGrid>
      <w:tr>
        <w:trPr>
          <w:cantSplit/>
        </w:trPr>
        <w:tc>
          <w:tcPr>
            <w:tcW w:w="8460" w:type="dxa"/>
            <w:vAlign w:val="center"/>
          </w:tcPr>
          <w:p>
            <w:pPr>
              <w:spacing w:before="60" w:after="60"/>
              <w:jc w:val="center"/>
              <w:rPr>
                <w:lang w:val="pt-BR"/>
              </w:rPr>
            </w:pPr>
            <m:oMathPara>
              <m:oMathParaPr>
                <m:jc m:val="center"/>
              </m:oMathParaPr>
              <m:oMath>
                <m:f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 xml:space="preserve">d</m:t>
                    </m:r>
                    <m:r>
                      <w:rPr>
                        <w:rFonts w:ascii="Cambria Math" w:hAnsi="Cambria Math"/>
                        <w:lang w:val="pt-BR"/>
                      </w:rPr>
                      <m:t xml:space="preserve">ℓ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 xml:space="preserve">d</m:t>
                    </m:r>
                    <m:sSup>
                      <m:e>
                        <m:r>
                          <w:rPr>
                            <w:rFonts w:ascii="Cambria Math" w:hAnsi="Cambria Math"/>
                            <w:lang w:val="pt-BR"/>
                          </w:rPr>
                          <m:t xml:space="preserve">θ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pt-BR"/>
                          </w:rPr>
                          <m:t xml:space="preserve">∗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 xml:space="preserve">=</m:t>
                </m:r>
                <m:r>
                  <w:rPr>
                    <w:rFonts w:ascii="Cambria Math" w:hAnsi="Cambria Math"/>
                    <w:lang w:val="pt-BR"/>
                  </w:rPr>
                  <m:t xml:space="preserve">m</m:t>
                </m:r>
              </m:oMath>
            </m:oMathPara>
          </w:p>
        </w:tc>
        <w:tc>
          <w:tcPr>
            <w:tcW w:w="900" w:type="dxa"/>
            <w:vAlign w:val="center"/>
          </w:tcPr>
          <w:p>
            <w:pPr>
              <w:spacing w:before="60" w:after="60"/>
              <w:jc w:val="right"/>
              <w:rPr>
                <w:lang w:val="pt-BR"/>
              </w:rPr>
            </w:pPr>
            <w:r>
              <w:rPr>
                <w:lang w:val="pt-BR"/>
              </w:rPr>
              <w:t xml:space="preserve">(17)</w:t>
            </w:r>
          </w:p>
        </w:tc>
      </w:tr>
    </w:tbl>
    <w:p>
      <w:pPr>
        <w:rPr>
          <w:lang w:val="pt-BR"/>
        </w:rPr>
      </w:pPr>
      <w:r>
        <w:rPr>
          <w:lang w:val="pt-BR"/>
        </w:rPr>
        <w:t xml:space="preserve">com θ* em radianos. A Equação (17) é verificada numericamente por diferenças finitas centradas (seção 3.11) e permite discriminar entre formulações do caminho do cabo: com o caminho igual apenas ao vão livre, ela não é satisfeita (seção 4.3).</w:t>
      </w:r>
    </w:p>
    <w:p>
      <w:pPr>
        <w:rPr>
          <w:lang w:val="pt-BR"/>
        </w:rPr>
      </w:pPr>
      <w:r>
        <w:rPr>
          <w:lang w:val="pt-BR"/>
        </w:rPr>
        <w:t xml:space="preserve">A extensão da mola é referida a um comprimento, e não a um ângulo. Sendo X</w:t>
      </w:r>
      <w:r>
        <w:rPr>
          <w:vertAlign w:val="subscript"/>
          <w:lang w:val="pt-BR"/>
        </w:rPr>
        <w:t xml:space="preserve">pose</w:t>
      </w:r>
      <w:r>
        <w:rPr>
          <w:lang w:val="pt-BR"/>
        </w:rPr>
        <w:t xml:space="preserve"> a extensão elástica da mola na pose de referência θ*</w:t>
      </w:r>
      <w:r>
        <w:rPr>
          <w:vertAlign w:val="subscript"/>
          <w:lang w:val="pt-BR"/>
        </w:rPr>
        <w:t xml:space="preserve">pose</w:t>
      </w:r>
      <w:r>
        <w:rPr>
          <w:lang w:val="pt-BR"/>
        </w:rPr>
        <w:t xml:space="preserve"> = 115,017°, o valor do caminho em que a mola atinge o comprimento livre é</w:t>
      </w:r>
    </w:p>
    <w:tbl>
      <w:tblPr>
        <w:tblW w:w="936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1" w:noVBand="1"/>
      </w:tblPr>
      <w:tblGrid>
        <w:gridCol w:w="8460"/>
        <w:gridCol w:w="900"/>
      </w:tblGrid>
      <w:tr>
        <w:trPr>
          <w:cantSplit/>
        </w:trPr>
        <w:tc>
          <w:tcPr>
            <w:tcW w:w="8460" w:type="dxa"/>
            <w:vAlign w:val="center"/>
          </w:tcPr>
          <w:p>
            <w:pPr>
              <w:spacing w:before="60" w:after="60"/>
              <w:jc w:val="center"/>
              <w:rPr>
                <w:lang w:val="pt-BR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  <w:lang w:val="pt-BR"/>
                      </w:rPr>
                      <m:t xml:space="preserve">s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 xml:space="preserve">0</m:t>
                    </m:r>
                  </m:sub>
                </m:sSub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  <w:lang w:val="pt-BR"/>
                      </w:rPr>
                      <m:t xml:space="preserve">h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 xml:space="preserve">=</m:t>
                </m:r>
                <m:r>
                  <w:rPr>
                    <w:rFonts w:ascii="Cambria Math" w:hAnsi="Cambria Math"/>
                    <w:lang w:val="pt-BR"/>
                  </w:rPr>
                  <m:t xml:space="preserve">ℓ</m:t>
                </m:r>
                <m:d>
                  <m:dPr>
                    <m:begChr m:val="("/>
                    <m:endChr m:val=")"/>
                  </m:dPr>
                  <m:e>
                    <m:sSubSup>
                      <m:e>
                        <m:r>
                          <w:rPr>
                            <w:rFonts w:ascii="Cambria Math" w:hAnsi="Cambria Math"/>
                            <w:lang w:val="pt-BR"/>
                          </w:rPr>
                          <m:t xml:space="preserve">θ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pt-BR"/>
                          </w:rPr>
                          <m:t xml:space="preserve">pose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pt-BR"/>
                          </w:rPr>
                          <m:t xml:space="preserve">∗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 xml:space="preserve">,</m:t>
                    </m:r>
                    <m:r>
                      <w:rPr>
                        <w:rFonts w:ascii="Cambria Math" w:hAnsi="Cambria Math"/>
                        <w:lang w:val="pt-BR"/>
                      </w:rPr>
                      <m:t xml:space="preserve">h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 xml:space="preserve">−</m:t>
                </m:r>
                <m:sSub>
                  <m:e>
                    <m:r>
                      <w:rPr>
                        <w:rFonts w:ascii="Cambria Math" w:hAnsi="Cambria Math"/>
                        <w:lang w:val="pt-BR"/>
                      </w:rPr>
                      <m:t xml:space="preserve"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 xml:space="preserve">pose</m:t>
                    </m:r>
                  </m:sub>
                </m:sSub>
              </m:oMath>
            </m:oMathPara>
          </w:p>
        </w:tc>
        <w:tc>
          <w:tcPr>
            <w:tcW w:w="900" w:type="dxa"/>
            <w:vAlign w:val="center"/>
          </w:tcPr>
          <w:p>
            <w:pPr>
              <w:spacing w:before="60" w:after="60"/>
              <w:jc w:val="right"/>
              <w:rPr>
                <w:lang w:val="pt-BR"/>
              </w:rPr>
            </w:pPr>
            <w:r>
              <w:rPr>
                <w:lang w:val="pt-BR"/>
              </w:rPr>
              <w:t xml:space="preserve">(18)</w:t>
            </w:r>
          </w:p>
        </w:tc>
      </w:tr>
      <w:tr>
        <w:trPr>
          <w:cantSplit/>
        </w:trPr>
        <w:tc>
          <w:tcPr>
            <w:tcW w:w="8460" w:type="dxa"/>
            <w:vAlign w:val="center"/>
          </w:tcPr>
          <w:p>
            <w:pPr>
              <w:spacing w:before="60" w:after="60"/>
              <w:jc w:val="center"/>
              <w:rPr>
                <w:lang w:val="pt-BR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lang w:val="pt-BR"/>
                  </w:rPr>
                  <m:t xml:space="preserve">δ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 xml:space="preserve">=</m:t>
                </m:r>
                <m:func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 xml:space="preserve">max</m:t>
                    </m:r>
                  </m:fName>
                  <m:e>
                    <m:d>
                      <m:dPr>
                        <m:begChr m:val="("/>
                        <m:endChr m:val=")"/>
                      </m:dPr>
                      <m:e>
                        <m:r>
                          <w:rPr>
                            <w:rFonts w:ascii="Cambria Math" w:hAnsi="Cambria Math"/>
                            <w:lang w:val="pt-BR"/>
                          </w:rPr>
                          <m:t xml:space="preserve">ℓ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pt-BR"/>
                          </w:rPr>
                          <m:t xml:space="preserve">−</m:t>
                        </m:r>
                        <m:sSub>
                          <m:e>
                            <m:r>
                              <w:rPr>
                                <w:rFonts w:ascii="Cambria Math" w:hAnsi="Cambria Math"/>
                                <w:lang w:val="pt-BR"/>
                              </w:rPr>
                              <m:t xml:space="preserve">s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pt-BR"/>
                              </w:rPr>
                              <m:t xml:space="preserve"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pt-BR"/>
                          </w:rPr>
                          <m:t xml:space="preserve">,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pt-BR"/>
                          </w:rPr>
                          <m:t xml:space="preserve"> 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pt-BR"/>
                          </w:rPr>
                          <m:t xml:space="preserve">0</m:t>
                        </m:r>
                      </m:e>
                    </m:d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 xml:space="preserve">,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 xml:space="preserve"> </m:t>
                </m:r>
                <m:r>
                  <w:rPr>
                    <w:rFonts w:ascii="Cambria Math" w:hAnsi="Cambria Math"/>
                    <w:lang w:val="pt-BR"/>
                  </w:rPr>
                  <m:t xml:space="preserve">F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 xml:space="preserve">=</m:t>
                </m:r>
                <m:r>
                  <w:rPr>
                    <w:rFonts w:ascii="Cambria Math" w:hAnsi="Cambria Math"/>
                    <w:lang w:val="pt-BR"/>
                  </w:rPr>
                  <m:t xml:space="preserve">K</m:t>
                </m:r>
                <m:r>
                  <w:rPr>
                    <w:rFonts w:ascii="Cambria Math" w:hAnsi="Cambria Math"/>
                    <w:lang w:val="pt-BR"/>
                  </w:rPr>
                  <m:t xml:space="preserve">δ</m:t>
                </m:r>
              </m:oMath>
            </m:oMathPara>
          </w:p>
        </w:tc>
        <w:tc>
          <w:tcPr>
            <w:tcW w:w="900" w:type="dxa"/>
            <w:vAlign w:val="center"/>
          </w:tcPr>
          <w:p>
            <w:pPr>
              <w:spacing w:before="60" w:after="60"/>
              <w:jc w:val="right"/>
              <w:rPr>
                <w:lang w:val="pt-BR"/>
              </w:rPr>
            </w:pPr>
            <w:r>
              <w:rPr>
                <w:lang w:val="pt-BR"/>
              </w:rPr>
              <w:t xml:space="preserve">(19)</w:t>
            </w:r>
          </w:p>
        </w:tc>
      </w:tr>
    </w:tbl>
    <w:p>
      <w:pPr>
        <w:rPr>
          <w:lang w:val="pt-BR"/>
        </w:rPr>
      </w:pPr>
      <w:r>
        <w:rPr>
          <w:lang w:val="pt-BR"/>
        </w:rPr>
        <w:t xml:space="preserve">em que δ é a extensão elástica, F a tração no cabo e K a rigidez da mola. A extensão é limitada a valores não negativos porque o cabo traciona, mas não empurra. O comprimento livre L</w:t>
      </w:r>
      <w:r>
        <w:rPr>
          <w:vertAlign w:val="subscript"/>
          <w:lang w:val="pt-BR"/>
        </w:rPr>
        <w:t xml:space="preserve">livre</w:t>
      </w:r>
      <w:r>
        <w:rPr>
          <w:lang w:val="pt-BR"/>
        </w:rPr>
        <w:t xml:space="preserve"> e o comprimento na pose L</w:t>
      </w:r>
      <w:r>
        <w:rPr>
          <w:vertAlign w:val="subscript"/>
          <w:lang w:val="pt-BR"/>
        </w:rPr>
        <w:t xml:space="preserve">pose</w:t>
      </w:r>
      <w:r>
        <w:rPr>
          <w:lang w:val="pt-BR"/>
        </w:rPr>
        <w:t xml:space="preserve"> entram no modelo somente pela diferença X</w:t>
      </w:r>
      <w:r>
        <w:rPr>
          <w:vertAlign w:val="subscript"/>
          <w:lang w:val="pt-BR"/>
        </w:rPr>
        <w:t xml:space="preserve">pose</w:t>
      </w:r>
      <w:r>
        <w:rPr>
          <w:lang w:val="pt-BR"/>
        </w:rPr>
        <w:t xml:space="preserve"> = L</w:t>
      </w:r>
      <w:r>
        <w:rPr>
          <w:vertAlign w:val="subscript"/>
          <w:lang w:val="pt-BR"/>
        </w:rPr>
        <w:t xml:space="preserve">pose</w:t>
      </w:r>
      <w:r>
        <w:rPr>
          <w:lang w:val="pt-BR"/>
        </w:rPr>
        <w:t xml:space="preserve"> − L</w:t>
      </w:r>
      <w:r>
        <w:rPr>
          <w:vertAlign w:val="subscript"/>
          <w:lang w:val="pt-BR"/>
        </w:rPr>
        <w:t xml:space="preserve">livre</w:t>
      </w:r>
      <w:r>
        <w:rPr>
          <w:lang w:val="pt-BR"/>
        </w:rPr>
        <w:t xml:space="preserve">: qualquer par com a mesma diferença produz a mesma curva de torque.</w:t>
      </w:r>
    </w:p>
    <w:p>
      <w:pPr>
        <w:rPr>
          <w:lang w:val="pt-BR"/>
        </w:rPr>
      </w:pPr>
      <w:r>
        <w:rPr>
          <w:lang w:val="pt-BR"/>
        </w:rPr>
        <w:t xml:space="preserve">A força do cabo atua sobre o tambor no ponto T, com direção oposta a u(φ), e o torque em relação ao pivô é o produto vetorial plano</w:t>
      </w:r>
    </w:p>
    <w:tbl>
      <w:tblPr>
        <w:tblW w:w="936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1" w:noVBand="1"/>
      </w:tblPr>
      <w:tblGrid>
        <w:gridCol w:w="8460"/>
        <w:gridCol w:w="900"/>
      </w:tblGrid>
      <w:tr>
        <w:trPr>
          <w:cantSplit/>
        </w:trPr>
        <w:tc>
          <w:tcPr>
            <w:tcW w:w="8460" w:type="dxa"/>
            <w:vAlign w:val="center"/>
          </w:tcPr>
          <w:p>
            <w:pPr>
              <w:spacing w:before="60" w:after="60"/>
              <w:jc w:val="center"/>
              <w:rPr>
                <w:lang w:val="pt-BR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b"/>
                  </m:rPr>
                  <w:rPr>
                    <w:rFonts w:ascii="Cambria Math" w:hAnsi="Cambria Math"/>
                    <w:lang w:val="pt-BR"/>
                  </w:rPr>
                  <m:t xml:space="preserve">V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 xml:space="preserve">=−</m:t>
                </m:r>
                <m:r>
                  <w:rPr>
                    <w:rFonts w:ascii="Cambria Math" w:hAnsi="Cambria Math"/>
                    <w:lang w:val="pt-BR"/>
                  </w:rPr>
                  <m:t xml:space="preserve">F</m:t>
                </m:r>
                <m:r>
                  <m:rPr>
                    <m:sty m:val="b"/>
                  </m:rPr>
                  <w:rPr>
                    <w:rFonts w:ascii="Cambria Math" w:hAnsi="Cambria Math"/>
                    <w:lang w:val="pt-BR"/>
                  </w:rPr>
                  <m:t xml:space="preserve">u</m:t>
                </m:r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  <w:lang w:val="pt-BR"/>
                      </w:rPr>
                      <m:t xml:space="preserve">φ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 xml:space="preserve">,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 xml:space="preserve"> </m:t>
                </m:r>
                <m:r>
                  <w:rPr>
                    <w:rFonts w:ascii="Cambria Math" w:hAnsi="Cambria Math"/>
                    <w:lang w:val="pt-BR"/>
                  </w:rPr>
                  <m:t xml:space="preserve">τ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 xml:space="preserve">=</m:t>
                </m:r>
                <m:f>
                  <m:num>
                    <m:sSub>
                      <m:e>
                        <m:r>
                          <w:rPr>
                            <w:rFonts w:ascii="Cambria Math" w:hAnsi="Cambria Math"/>
                            <w:lang w:val="pt-BR"/>
                          </w:rPr>
                          <m:t xml:space="preserve"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pt-BR"/>
                          </w:rPr>
                          <m:t xml:space="preserve">x</m:t>
                        </m:r>
                      </m:sub>
                    </m:sSub>
                    <m:sSub>
                      <m:e>
                        <m:r>
                          <w:rPr>
                            <w:rFonts w:ascii="Cambria Math" w:hAnsi="Cambria Math"/>
                            <w:lang w:val="pt-BR"/>
                          </w:rPr>
                          <m:t xml:space="preserve"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pt-BR"/>
                          </w:rPr>
                          <m:t xml:space="preserve">y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 xml:space="preserve">−</m:t>
                    </m:r>
                    <m:sSub>
                      <m:e>
                        <m:r>
                          <w:rPr>
                            <w:rFonts w:ascii="Cambria Math" w:hAnsi="Cambria Math"/>
                            <w:lang w:val="pt-BR"/>
                          </w:rPr>
                          <m:t xml:space="preserve"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pt-BR"/>
                          </w:rPr>
                          <m:t xml:space="preserve">y</m:t>
                        </m:r>
                      </m:sub>
                    </m:sSub>
                    <m:sSub>
                      <m:e>
                        <m:r>
                          <w:rPr>
                            <w:rFonts w:ascii="Cambria Math" w:hAnsi="Cambria Math"/>
                            <w:lang w:val="pt-BR"/>
                          </w:rPr>
                          <m:t xml:space="preserve"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pt-BR"/>
                          </w:rPr>
                          <m:t xml:space="preserve">x</m:t>
                        </m:r>
                      </m:sub>
                    </m:sSub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 xml:space="preserve">1000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 xml:space="preserve">=−</m:t>
                </m:r>
                <m:f>
                  <m:num>
                    <m:r>
                      <w:rPr>
                        <w:rFonts w:ascii="Cambria Math" w:hAnsi="Cambria Math"/>
                        <w:lang w:val="pt-BR"/>
                      </w:rPr>
                      <m:t xml:space="preserve">F</m:t>
                    </m:r>
                    <m:r>
                      <w:rPr>
                        <w:rFonts w:ascii="Cambria Math" w:hAnsi="Cambria Math"/>
                        <w:lang w:val="pt-BR"/>
                      </w:rPr>
                      <m:t xml:space="preserve">m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 xml:space="preserve">1000</m:t>
                    </m:r>
                  </m:den>
                </m:f>
              </m:oMath>
            </m:oMathPara>
          </w:p>
        </w:tc>
        <w:tc>
          <w:tcPr>
            <w:tcW w:w="900" w:type="dxa"/>
            <w:vAlign w:val="center"/>
          </w:tcPr>
          <w:p>
            <w:pPr>
              <w:spacing w:before="60" w:after="60"/>
              <w:jc w:val="right"/>
              <w:rPr>
                <w:lang w:val="pt-BR"/>
              </w:rPr>
            </w:pPr>
            <w:r>
              <w:rPr>
                <w:lang w:val="pt-BR"/>
              </w:rPr>
              <w:t xml:space="preserve">(20)</w:t>
            </w:r>
          </w:p>
        </w:tc>
      </w:tr>
    </w:tbl>
    <w:p>
      <w:pPr>
        <w:rPr>
          <w:lang w:val="pt-BR"/>
        </w:rPr>
      </w:pPr>
      <w:r>
        <w:rPr>
          <w:lang w:val="pt-BR"/>
        </w:rPr>
        <w:t xml:space="preserve">A identidade τ = −F m/1000 decorre de T e A estarem sobre a mesma linha de ação e é verificada numericamente (seção 3.11). O fator 1/1000 vem da formulação original, em que os comprimentos estão em milímetros. Como K é identificado contra a curva publicada (seção 3.9), cuja ordenada não tem unidade declarada, o torque do cabo é expresso na unidade da própria curva, denotada u.p. (unidade da patente). A unidade de K é, portanto, aquela que faz K δ m/1000 resultar em u.p.; ela só seria N/mm se u.p. correspondesse a N·m, o que não pode ser afirmado com os dados disponíveis (seção 4.6).</w:t>
      </w:r>
    </w:p>
    <w:p>
      <w:pPr>
        <w:pStyle w:val="Ttulo2"/>
        <w:rPr>
          <w:lang w:val="pt-BR"/>
        </w:rPr>
      </w:pPr>
      <w:r>
        <w:rPr>
          <w:lang w:val="pt-BR"/>
        </w:rPr>
        <w:t xml:space="preserve">3.7 Ponto morto</w:t>
      </w:r>
    </w:p>
    <w:p>
      <w:pPr>
        <w:rPr>
          <w:lang w:val="pt-BR"/>
        </w:rPr>
      </w:pPr>
      <w:r>
        <w:rPr>
          <w:lang w:val="pt-BR"/>
        </w:rPr>
        <w:t xml:space="preserve">O torque do cabo se anula quando a linha de ação passa pelo pivô (m = 0). Da geometria do circuito, esse ponto morto tem forma fechada em função de h, formulação original do autor aqui escrita com a notação desta seção:</w:t>
      </w:r>
    </w:p>
    <w:tbl>
      <w:tblPr>
        <w:tblW w:w="936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1" w:noVBand="1"/>
      </w:tblPr>
      <w:tblGrid>
        <w:gridCol w:w="8460"/>
        <w:gridCol w:w="900"/>
      </w:tblGrid>
      <w:tr>
        <w:trPr>
          <w:cantSplit/>
        </w:trPr>
        <w:tc>
          <w:tcPr>
            <w:tcW w:w="8460" w:type="dxa"/>
            <w:vAlign w:val="center"/>
          </w:tcPr>
          <w:p>
            <w:pPr>
              <w:spacing w:before="60" w:after="60"/>
              <w:jc w:val="center"/>
              <w:rPr>
                <w:lang w:val="pt-BR"/>
              </w:rPr>
            </w:pPr>
            <m:oMathPara>
              <m:oMathParaPr>
                <m:jc m:val="center"/>
              </m:oMathParaPr>
              <m:oMath>
                <m:sSubSup>
                  <m:e>
                    <m:r>
                      <w:rPr>
                        <w:rFonts w:ascii="Cambria Math" w:hAnsi="Cambria Math"/>
                        <w:lang w:val="pt-BR"/>
                      </w:rPr>
                      <m:t xml:space="preserve">θ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 xml:space="preserve">pm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 xml:space="preserve">∗</m:t>
                    </m:r>
                  </m:sup>
                </m:sSubSup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  <w:lang w:val="pt-BR"/>
                      </w:rPr>
                      <m:t xml:space="preserve">h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 xml:space="preserve">=180°+</m:t>
                </m:r>
                <m:func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 xml:space="preserve">atan2</m:t>
                    </m:r>
                  </m:fName>
                  <m:e>
                    <m:d>
                      <m:dPr>
                        <m:begChr m:val="("/>
                        <m:endChr m:val=")"/>
                      </m:dPr>
                      <m:e>
                        <m:r>
                          <w:rPr>
                            <w:rFonts w:ascii="Cambria Math" w:hAnsi="Cambria Math"/>
                            <w:lang w:val="pt-BR"/>
                          </w:rPr>
                          <m:t xml:space="preserve">p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pt-BR"/>
                          </w:rPr>
                          <m:t xml:space="preserve">,</m:t>
                        </m:r>
                        <m:r>
                          <w:rPr>
                            <w:rFonts w:ascii="Cambria Math" w:hAnsi="Cambria Math"/>
                            <w:lang w:val="pt-BR"/>
                          </w:rPr>
                          <m:t xml:space="preserve">h</m:t>
                        </m:r>
                      </m:e>
                    </m:d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 xml:space="preserve">+</m:t>
                </m:r>
                <m:func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 xml:space="preserve">arcsen</m:t>
                    </m:r>
                  </m:fName>
                  <m:e>
                    <m:d>
                      <m:dPr>
                        <m:begChr m:val="("/>
                        <m:endChr m:val=")"/>
                      </m:dPr>
                      <m:e>
                        <m:f>
                          <m:num>
                            <m:r>
                              <w:rPr>
                                <w:rFonts w:ascii="Cambria Math" w:hAnsi="Cambria Math"/>
                                <w:lang w:val="pt-BR"/>
                              </w:rPr>
                              <m:t xml:space="preserve">R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lang w:val="pt-BR"/>
                              </w:rPr>
                              <m:t xml:space="preserve">C</m:t>
                            </m:r>
                          </m:den>
                        </m:f>
                      </m:e>
                    </m:d>
                  </m:e>
                </m:func>
              </m:oMath>
            </m:oMathPara>
          </w:p>
        </w:tc>
        <w:tc>
          <w:tcPr>
            <w:tcW w:w="900" w:type="dxa"/>
            <w:vAlign w:val="center"/>
          </w:tcPr>
          <w:p>
            <w:pPr>
              <w:spacing w:before="60" w:after="60"/>
              <w:jc w:val="right"/>
              <w:rPr>
                <w:lang w:val="pt-BR"/>
              </w:rPr>
            </w:pPr>
            <w:r>
              <w:rPr>
                <w:lang w:val="pt-BR"/>
              </w:rPr>
              <w:t xml:space="preserve">(21)</w:t>
            </w:r>
          </w:p>
        </w:tc>
      </w:tr>
    </w:tbl>
    <w:p>
      <w:pPr>
        <w:rPr>
          <w:lang w:val="pt-BR"/>
        </w:rPr>
      </w:pPr>
      <w:r>
        <w:rPr>
          <w:lang w:val="pt-BR"/>
        </w:rPr>
        <w:t xml:space="preserve">Como θ*</w:t>
      </w:r>
      <w:r>
        <w:rPr>
          <w:vertAlign w:val="subscript"/>
          <w:lang w:val="pt-BR"/>
        </w:rPr>
        <w:t xml:space="preserve">pm</w:t>
      </w:r>
      <w:r>
        <w:rPr>
          <w:lang w:val="pt-BR"/>
        </w:rPr>
        <w:t xml:space="preserve"> é monótono em h, a Equação (21) admite inversão analítica:</w:t>
      </w:r>
    </w:p>
    <w:tbl>
      <w:tblPr>
        <w:tblW w:w="936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1" w:noVBand="1"/>
      </w:tblPr>
      <w:tblGrid>
        <w:gridCol w:w="8460"/>
        <w:gridCol w:w="900"/>
      </w:tblGrid>
      <w:tr>
        <w:trPr>
          <w:cantSplit/>
        </w:trPr>
        <w:tc>
          <w:tcPr>
            <w:tcW w:w="8460" w:type="dxa"/>
            <w:vAlign w:val="center"/>
          </w:tcPr>
          <w:p>
            <w:pPr>
              <w:spacing w:before="60" w:after="60"/>
              <w:jc w:val="center"/>
              <w:rPr>
                <w:lang w:val="pt-BR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lang w:val="pt-BR"/>
                  </w:rPr>
                  <m:t xml:space="preserve">h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 xml:space="preserve">=</m:t>
                </m:r>
                <m:f>
                  <m:num>
                    <m:r>
                      <w:rPr>
                        <w:rFonts w:ascii="Cambria Math" w:hAnsi="Cambria Math"/>
                        <w:lang w:val="pt-BR"/>
                      </w:rPr>
                      <m:t xml:space="preserve">p</m:t>
                    </m:r>
                  </m:num>
                  <m:den>
                    <m:func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pt-BR"/>
                          </w:rPr>
                          <m:t xml:space="preserve">tan</m:t>
                        </m:r>
                      </m:fName>
                      <m:e>
                        <m:d>
                          <m:dPr>
                            <m:begChr m:val="("/>
                            <m:endChr m:val=")"/>
                          </m:dPr>
                          <m:e>
                            <m:sSubSup>
                              <m:e>
                                <m:r>
                                  <w:rPr>
                                    <w:rFonts w:ascii="Cambria Math" w:hAnsi="Cambria Math"/>
                                    <w:lang w:val="pt-BR"/>
                                  </w:rPr>
                                  <m:t xml:space="preserve">θ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lang w:val="pt-BR"/>
                                  </w:rPr>
                                  <m:t xml:space="preserve">pm</m:t>
                                </m:r>
                              </m:sub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lang w:val="pt-BR"/>
                                  </w:rPr>
                                  <m:t xml:space="preserve">∗</m:t>
                                </m:r>
                              </m:sup>
                            </m:sSub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pt-BR"/>
                              </w:rPr>
                              <m:t xml:space="preserve">−180°−</m:t>
                            </m:r>
                            <m:func>
                              <m:fNam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lang w:val="pt-BR"/>
                                  </w:rPr>
                                  <m:t xml:space="preserve">arcsen</m:t>
                                </m:r>
                              </m:fName>
                              <m:e>
                                <m:d>
                                  <m:dPr>
                                    <m:begChr m:val="("/>
                                    <m:endChr m:val=")"/>
                                  </m:dPr>
                                  <m:e>
                                    <m:f>
                                      <m:num>
                                        <m:r>
                                          <w:rPr>
                                            <w:rFonts w:ascii="Cambria Math" w:hAnsi="Cambria Math"/>
                                            <w:lang w:val="pt-BR"/>
                                          </w:rPr>
                                          <m:t xml:space="preserve">R</m:t>
                                        </m:r>
                                      </m:num>
                                      <m:den>
                                        <m:r>
                                          <w:rPr>
                                            <w:rFonts w:ascii="Cambria Math" w:hAnsi="Cambria Math"/>
                                            <w:lang w:val="pt-BR"/>
                                          </w:rPr>
                                          <m:t xml:space="preserve">C</m:t>
                                        </m:r>
                                      </m:den>
                                    </m:f>
                                  </m:e>
                                </m:d>
                              </m:e>
                            </m:func>
                          </m:e>
                        </m:d>
                      </m:e>
                    </m:func>
                  </m:den>
                </m:f>
              </m:oMath>
            </m:oMathPara>
          </w:p>
        </w:tc>
        <w:tc>
          <w:tcPr>
            <w:tcW w:w="900" w:type="dxa"/>
            <w:vAlign w:val="center"/>
          </w:tcPr>
          <w:p>
            <w:pPr>
              <w:spacing w:before="60" w:after="60"/>
              <w:jc w:val="right"/>
              <w:rPr>
                <w:lang w:val="pt-BR"/>
              </w:rPr>
            </w:pPr>
            <w:r>
              <w:rPr>
                <w:lang w:val="pt-BR"/>
              </w:rPr>
              <w:t xml:space="preserve">(22)</w:t>
            </w:r>
          </w:p>
        </w:tc>
      </w:tr>
    </w:tbl>
    <w:p>
      <w:pPr>
        <w:rPr>
          <w:lang w:val="pt-BR"/>
        </w:rPr>
      </w:pPr>
      <w:r>
        <w:rPr>
          <w:lang w:val="pt-BR"/>
        </w:rPr>
        <w:t xml:space="preserve">Para h &gt; 0, o termo atan2(p, h) fica entre 0° e 90°, de modo que a inversão só é válida quando o argumento da tangente pertence a esse intervalo; fora dele, a Equação (22) devolve um ramo espúrio, identificado pela substituição do resultado na Equação (21). A forma fechada é conferida contra a raiz de m(θ*) = 0 obtida por bissecção. Depois do ponto morto, o torque do cabo troca de sinal; o modelo não representa a protuberância que, na patente, restringe o gerador de força além do ângulo de transição (seção 2.3).</w:t>
      </w:r>
    </w:p>
    <w:p>
      <w:pPr>
        <w:pStyle w:val="Ttulo2"/>
        <w:rPr>
          <w:lang w:val="pt-BR"/>
        </w:rPr>
      </w:pPr>
      <w:r>
        <w:rPr>
          <w:lang w:val="pt-BR"/>
        </w:rPr>
        <w:t xml:space="preserve">3.8 Torque gravitacional</w:t>
      </w:r>
    </w:p>
    <w:p>
      <w:pPr>
        <w:rPr>
          <w:lang w:val="pt-BR"/>
        </w:rPr>
      </w:pPr>
      <w:r>
        <w:rPr>
          <w:lang w:val="pt-BR"/>
        </w:rPr>
        <w:t xml:space="preserve">O torque estático do peso do conjunto braço–exoesqueleto em relação ao pivô é calculado de forma independente da cadeia do cabo: não usa K, X</w:t>
      </w:r>
      <w:r>
        <w:rPr>
          <w:vertAlign w:val="subscript"/>
          <w:lang w:val="pt-BR"/>
        </w:rPr>
        <w:t xml:space="preserve">pose</w:t>
      </w:r>
      <w:r>
        <w:rPr>
          <w:lang w:val="pt-BR"/>
        </w:rPr>
        <w:t xml:space="preserve"> nem h. O centro de massa (x</w:t>
      </w:r>
      <w:r>
        <w:rPr>
          <w:vertAlign w:val="subscript"/>
          <w:lang w:val="pt-BR"/>
        </w:rPr>
        <w:t xml:space="preserve">cm</w:t>
      </w:r>
      <w:r>
        <w:rPr>
          <w:lang w:val="pt-BR"/>
        </w:rPr>
        <w:t xml:space="preserve">, y</w:t>
      </w:r>
      <w:r>
        <w:rPr>
          <w:vertAlign w:val="subscript"/>
          <w:lang w:val="pt-BR"/>
        </w:rPr>
        <w:t xml:space="preserve">cm</w:t>
      </w:r>
      <w:r>
        <w:rPr>
          <w:lang w:val="pt-BR"/>
        </w:rPr>
        <w:t xml:space="preserve">), dado na pose de referência no referencial do desenho (Tabela 3), gira com o elo, e o desenho gira ainda α + 90° − θ</w:t>
      </w:r>
      <w:r>
        <w:rPr>
          <w:vertAlign w:val="subscript"/>
          <w:lang w:val="pt-BR"/>
        </w:rPr>
        <w:t xml:space="preserve">off</w:t>
      </w:r>
      <w:r>
        <w:rPr>
          <w:lang w:val="pt-BR"/>
        </w:rPr>
        <w:t xml:space="preserve"> = −22,589° para alinhar sua vertical com a da configuração calibrada:</w:t>
      </w:r>
    </w:p>
    <w:tbl>
      <w:tblPr>
        <w:tblW w:w="936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1" w:noVBand="1"/>
      </w:tblPr>
      <w:tblGrid>
        <w:gridCol w:w="8460"/>
        <w:gridCol w:w="900"/>
      </w:tblGrid>
      <w:tr>
        <w:trPr>
          <w:cantSplit/>
        </w:trPr>
        <w:tc>
          <w:tcPr>
            <w:tcW w:w="8460" w:type="dxa"/>
            <w:vAlign w:val="center"/>
          </w:tcPr>
          <w:p>
            <w:pPr>
              <w:spacing w:before="60" w:after="60"/>
              <w:jc w:val="center"/>
              <w:rPr>
                <w:lang w:val="pt-BR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lang w:val="pt-BR"/>
                  </w:rPr>
                  <m:t xml:space="preserve">γ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 xml:space="preserve">=</m:t>
                </m:r>
                <m:sSup>
                  <m:e>
                    <m:r>
                      <w:rPr>
                        <w:rFonts w:ascii="Cambria Math" w:hAnsi="Cambria Math"/>
                        <w:lang w:val="pt-BR"/>
                      </w:rPr>
                      <m:t xml:space="preserve">θ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 xml:space="preserve">∗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 xml:space="preserve">−</m:t>
                </m:r>
                <m:sSubSup>
                  <m:e>
                    <m:r>
                      <w:rPr>
                        <w:rFonts w:ascii="Cambria Math" w:hAnsi="Cambria Math"/>
                        <w:lang w:val="pt-BR"/>
                      </w:rPr>
                      <m:t xml:space="preserve">θ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 xml:space="preserve">pose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 xml:space="preserve">∗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 xml:space="preserve">+</m:t>
                </m:r>
                <m:r>
                  <w:rPr>
                    <w:rFonts w:ascii="Cambria Math" w:hAnsi="Cambria Math"/>
                    <w:lang w:val="pt-BR"/>
                  </w:rPr>
                  <m:t xml:space="preserve">α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 xml:space="preserve">+90°−</m:t>
                </m:r>
                <m:sSub>
                  <m:e>
                    <m:r>
                      <w:rPr>
                        <w:rFonts w:ascii="Cambria Math" w:hAnsi="Cambria Math"/>
                        <w:lang w:val="pt-BR"/>
                      </w:rPr>
                      <m:t xml:space="preserve">θ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 xml:space="preserve">off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 xml:space="preserve">,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 xml:space="preserve"> </m:t>
                </m:r>
                <m:sSub>
                  <m:e>
                    <m:r>
                      <w:rPr>
                        <w:rFonts w:ascii="Cambria Math" w:hAnsi="Cambria Math"/>
                        <w:lang w:val="pt-BR"/>
                      </w:rPr>
                      <m:t xml:space="preserve">x</m:t>
                    </m:r>
                  </m:e>
                  <m:sub>
                    <m:r>
                      <w:rPr>
                        <w:rFonts w:ascii="Cambria Math" w:hAnsi="Cambria Math"/>
                        <w:lang w:val="pt-BR"/>
                      </w:rPr>
                      <m:t xml:space="preserve">g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 xml:space="preserve">=</m:t>
                </m:r>
                <m:sSub>
                  <m:e>
                    <m:r>
                      <w:rPr>
                        <w:rFonts w:ascii="Cambria Math" w:hAnsi="Cambria Math"/>
                        <w:lang w:val="pt-BR"/>
                      </w:rPr>
                      <m:t xml:space="preserve"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 xml:space="preserve">cm</m:t>
                    </m:r>
                  </m:sub>
                </m:sSub>
                <m:func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 xml:space="preserve">cos</m:t>
                    </m:r>
                  </m:fName>
                  <m:e>
                    <m:r>
                      <w:rPr>
                        <w:rFonts w:ascii="Cambria Math" w:hAnsi="Cambria Math"/>
                        <w:lang w:val="pt-BR"/>
                      </w:rPr>
                      <m:t xml:space="preserve">γ</m:t>
                    </m:r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 xml:space="preserve">−</m:t>
                </m:r>
                <m:sSub>
                  <m:e>
                    <m:r>
                      <w:rPr>
                        <w:rFonts w:ascii="Cambria Math" w:hAnsi="Cambria Math"/>
                        <w:lang w:val="pt-BR"/>
                      </w:rPr>
                      <m:t xml:space="preserve"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 xml:space="preserve">cm</m:t>
                    </m:r>
                  </m:sub>
                </m:sSub>
                <m:func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 xml:space="preserve">sen</m:t>
                    </m:r>
                  </m:fName>
                  <m:e>
                    <m:r>
                      <w:rPr>
                        <w:rFonts w:ascii="Cambria Math" w:hAnsi="Cambria Math"/>
                        <w:lang w:val="pt-BR"/>
                      </w:rPr>
                      <m:t xml:space="preserve">γ</m:t>
                    </m:r>
                  </m:e>
                </m:func>
              </m:oMath>
            </m:oMathPara>
          </w:p>
        </w:tc>
        <w:tc>
          <w:tcPr>
            <w:tcW w:w="900" w:type="dxa"/>
            <w:vAlign w:val="center"/>
          </w:tcPr>
          <w:p>
            <w:pPr>
              <w:spacing w:before="60" w:after="60"/>
              <w:jc w:val="right"/>
              <w:rPr>
                <w:lang w:val="pt-BR"/>
              </w:rPr>
            </w:pPr>
            <w:r>
              <w:rPr>
                <w:lang w:val="pt-BR"/>
              </w:rPr>
              <w:t xml:space="preserve">(23)</w:t>
            </w:r>
          </w:p>
        </w:tc>
      </w:tr>
      <w:tr>
        <w:trPr>
          <w:cantSplit/>
        </w:trPr>
        <w:tc>
          <w:tcPr>
            <w:tcW w:w="8460" w:type="dxa"/>
            <w:vAlign w:val="center"/>
          </w:tcPr>
          <w:p>
            <w:pPr>
              <w:spacing w:before="60" w:after="60"/>
              <w:jc w:val="center"/>
              <w:rPr>
                <w:lang w:val="pt-BR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  <w:lang w:val="pt-BR"/>
                      </w:rPr>
                      <m:t xml:space="preserve">τ</m:t>
                    </m:r>
                  </m:e>
                  <m:sub>
                    <m:r>
                      <w:rPr>
                        <w:rFonts w:ascii="Cambria Math" w:hAnsi="Cambria Math"/>
                        <w:lang w:val="pt-BR"/>
                      </w:rPr>
                      <m:t xml:space="preserve">g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 xml:space="preserve">=</m:t>
                </m:r>
                <m:f>
                  <m:num>
                    <m:r>
                      <w:rPr>
                        <w:rFonts w:ascii="Cambria Math" w:hAnsi="Cambria Math"/>
                        <w:lang w:val="pt-BR"/>
                      </w:rPr>
                      <m:t xml:space="preserve">M</m:t>
                    </m:r>
                    <m:r>
                      <w:rPr>
                        <w:rFonts w:ascii="Cambria Math" w:hAnsi="Cambria Math"/>
                        <w:lang w:val="pt-BR"/>
                      </w:rPr>
                      <m:t xml:space="preserve">g</m:t>
                    </m:r>
                    <m:d>
                      <m:dPr>
                        <m:begChr m:val="|"/>
                        <m:endChr m:val="|"/>
                      </m:dPr>
                      <m:e>
                        <m:sSub>
                          <m:e>
                            <m:r>
                              <w:rPr>
                                <w:rFonts w:ascii="Cambria Math" w:hAnsi="Cambria Math"/>
                                <w:lang w:val="pt-BR"/>
                              </w:rPr>
                              <m:t xml:space="preserve"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pt-BR"/>
                              </w:rPr>
                              <m:t xml:space="preserve">g</m:t>
                            </m:r>
                          </m:sub>
                        </m:sSub>
                      </m:e>
                    </m:d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 xml:space="preserve">1000</m:t>
                    </m:r>
                  </m:den>
                </m:f>
              </m:oMath>
            </m:oMathPara>
          </w:p>
        </w:tc>
        <w:tc>
          <w:tcPr>
            <w:tcW w:w="900" w:type="dxa"/>
            <w:vAlign w:val="center"/>
          </w:tcPr>
          <w:p>
            <w:pPr>
              <w:spacing w:before="60" w:after="60"/>
              <w:jc w:val="right"/>
              <w:rPr>
                <w:lang w:val="pt-BR"/>
              </w:rPr>
            </w:pPr>
            <w:r>
              <w:rPr>
                <w:lang w:val="pt-BR"/>
              </w:rPr>
              <w:t xml:space="preserve">(24)</w:t>
            </w:r>
          </w:p>
        </w:tc>
      </w:tr>
    </w:tbl>
    <w:p>
      <w:pPr>
        <w:rPr>
          <w:lang w:val="pt-BR"/>
        </w:rPr>
      </w:pPr>
      <w:r>
        <w:rPr>
          <w:lang w:val="pt-BR"/>
        </w:rPr>
        <w:t xml:space="preserve">em que M é a massa do conjunto, g = 9,80665 m/s</w:t>
      </w:r>
      <w:r>
        <w:rPr>
          <w:vertAlign w:val="superscript"/>
          <w:lang w:val="pt-BR"/>
        </w:rPr>
        <w:t xml:space="preserve">2</w:t>
      </w:r>
      <w:r>
        <w:rPr>
          <w:lang w:val="pt-BR"/>
        </w:rPr>
        <w:t xml:space="preserve"> e x</w:t>
      </w:r>
      <w:r>
        <w:rPr>
          <w:vertAlign w:val="subscript"/>
          <w:lang w:val="pt-BR"/>
        </w:rPr>
        <w:t xml:space="preserve">g</w:t>
      </w:r>
      <w:r>
        <w:rPr>
          <w:lang w:val="pt-BR"/>
        </w:rPr>
        <w:t xml:space="preserve">, em milímetros, é o braço horizontal do centro de massa. O torque gravitacional resulta em N·m, unidade física, ao contrário do torque do cabo. O módulo na Equação (24) desconsidera o sentido do torque, cuja troca ocorre apenas no início da faixa (seção 4.8).</w:t>
      </w:r>
    </w:p>
    <w:p>
      <w:pPr>
        <w:pStyle w:val="Ttulo2"/>
        <w:rPr>
          <w:lang w:val="pt-BR"/>
        </w:rPr>
      </w:pPr>
      <w:r>
        <w:rPr>
          <w:lang w:val="pt-BR"/>
        </w:rPr>
        <w:t xml:space="preserve">3.9 Dados da patente e identificação dos parâmetros</w:t>
      </w:r>
    </w:p>
    <w:p>
      <w:pPr>
        <w:rPr>
          <w:lang w:val="pt-BR"/>
        </w:rPr>
      </w:pPr>
      <w:r>
        <w:rPr>
          <w:lang w:val="pt-BR"/>
        </w:rPr>
        <w:t xml:space="preserve">A referência de comparação é a curva torque × ângulo do gerador de torque publicada na US 9.889.554 B2, da qual foram extraídos 29 pontos, registrados em θ* e listados na Tabela 4 na ordem da extração. Os pontos são usados exatamente como foram extraídos, sem reordenação, interpolação ou suavização. O procedimento de digitalização e a incerteza da leitura não estão documentados, o que limita a interpretação dos resíduos do ajuste (seção 4.5).</w:t>
      </w:r>
    </w:p>
    <w:p>
      <w:pPr>
        <w:rPr>
          <w:lang w:val="pt-BR"/>
        </w:rPr>
      </w:pPr>
      <w:r>
        <w:rPr>
          <w:lang w:val="pt-BR"/>
        </w:rPr>
        <w:t xml:space="preserve">A patente não informa rigidez, pré-carga, comprimento livre nem posição exata da ancoragem. Os parâmetros não publicados do modelo são a calibração angular θ</w:t>
      </w:r>
      <w:r>
        <w:rPr>
          <w:vertAlign w:val="subscript"/>
          <w:lang w:val="pt-BR"/>
        </w:rPr>
        <w:t xml:space="preserve">off</w:t>
      </w:r>
      <w:r>
        <w:rPr>
          <w:lang w:val="pt-BR"/>
        </w:rPr>
        <w:t xml:space="preserve">, a posição da ancoragem h, a extensão da mola na pose X</w:t>
      </w:r>
      <w:r>
        <w:rPr>
          <w:vertAlign w:val="subscript"/>
          <w:lang w:val="pt-BR"/>
        </w:rPr>
        <w:t xml:space="preserve">pose</w:t>
      </w:r>
      <w:r>
        <w:rPr>
          <w:lang w:val="pt-BR"/>
        </w:rPr>
        <w:t xml:space="preserve"> e a rigidez K. Eles foram identificados por mínimos quadrados contra os 29 pontos extraídos em etapa anterior do trabalho e estão congelados no modelo vigente, que não executa ajuste algum. O script dessa etapa e a restrição de projeto então considerada para h não estão registrados no repositório; por isso, a identificação foi reproduzida nesta revisão apenas na parte verificável, descrita a seguir (resultados na seção 4.4).</w:t>
      </w:r>
    </w:p>
    <w:p>
      <w:pPr>
        <w:rPr>
          <w:lang w:val="pt-BR"/>
        </w:rPr>
      </w:pPr>
      <w:r>
        <w:rPr>
          <w:lang w:val="pt-BR"/>
        </w:rPr>
        <w:t xml:space="preserve">A rigidez tem forma fechada. Como a extensão δ não depende de K, o torque é exatamente linear em K, τ(θ*; h, K) = K τ(θ*; h, 1). Sendo y</w:t>
      </w:r>
      <w:r>
        <w:rPr>
          <w:vertAlign w:val="subscript"/>
          <w:lang w:val="pt-BR"/>
        </w:rPr>
        <w:t xml:space="preserve">i</w:t>
      </w:r>
      <w:r>
        <w:rPr>
          <w:lang w:val="pt-BR"/>
        </w:rPr>
        <w:t xml:space="preserve"> os N = 29 valores extraídos e g</w:t>
      </w:r>
      <w:r>
        <w:rPr>
          <w:vertAlign w:val="subscript"/>
          <w:lang w:val="pt-BR"/>
        </w:rPr>
        <w:t xml:space="preserve">i</w:t>
      </w:r>
      <w:r>
        <w:rPr>
          <w:lang w:val="pt-BR"/>
        </w:rPr>
        <w:t xml:space="preserve"> = −τ(θ*</w:t>
      </w:r>
      <w:r>
        <w:rPr>
          <w:vertAlign w:val="subscript"/>
          <w:lang w:val="pt-BR"/>
        </w:rPr>
        <w:t xml:space="preserve">i</w:t>
      </w:r>
      <w:r>
        <w:rPr>
          <w:lang w:val="pt-BR"/>
        </w:rPr>
        <w:t xml:space="preserve">; h, 1), o valor de K que minimiza a soma dos quadrados dos resíduos é</w:t>
      </w:r>
    </w:p>
    <w:tbl>
      <w:tblPr>
        <w:tblW w:w="936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1" w:noVBand="1"/>
      </w:tblPr>
      <w:tblGrid>
        <w:gridCol w:w="8460"/>
        <w:gridCol w:w="900"/>
      </w:tblGrid>
      <w:tr>
        <w:trPr>
          <w:cantSplit/>
        </w:trPr>
        <w:tc>
          <w:tcPr>
            <w:tcW w:w="8460" w:type="dxa"/>
            <w:vAlign w:val="center"/>
          </w:tcPr>
          <w:p>
            <w:pPr>
              <w:spacing w:before="60" w:after="60"/>
              <w:jc w:val="center"/>
              <w:rPr>
                <w:lang w:val="pt-BR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lang w:val="pt-BR"/>
                  </w:rPr>
                  <m:t xml:space="preserve">K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 xml:space="preserve">=</m:t>
                </m:r>
                <m:f>
                  <m:num>
                    <m:nary>
                      <m:naryPr>
                        <m:chr m:val="∑"/>
                        <m:limLoc m:val="undOvr"/>
                      </m:naryPr>
                      <m:sub>
                        <m:r>
                          <w:rPr>
                            <w:rFonts w:ascii="Cambria Math" w:hAnsi="Cambria Math"/>
                            <w:lang w:val="pt-BR"/>
                          </w:rPr>
                          <m:t xml:space="preserve">i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pt-BR"/>
                          </w:rPr>
                          <m:t xml:space="preserve">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lang w:val="pt-BR"/>
                          </w:rPr>
                          <m:t xml:space="preserve">N</m:t>
                        </m:r>
                      </m:sup>
                      <m:e>
                        <m:sSub>
                          <m:e>
                            <m:r>
                              <w:rPr>
                                <w:rFonts w:ascii="Cambria Math" w:hAnsi="Cambria Math"/>
                                <w:lang w:val="pt-BR"/>
                              </w:rPr>
                              <m:t xml:space="preserve">g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pt-BR"/>
                              </w:rPr>
                              <m:t xml:space="preserve">i</m:t>
                            </m:r>
                          </m:sub>
                        </m:sSub>
                        <m:sSub>
                          <m:e>
                            <m:r>
                              <w:rPr>
                                <w:rFonts w:ascii="Cambria Math" w:hAnsi="Cambria Math"/>
                                <w:lang w:val="pt-BR"/>
                              </w:rPr>
                              <m:t xml:space="preserve"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pt-BR"/>
                              </w:rPr>
                              <m:t xml:space="preserve">i</m:t>
                            </m:r>
                          </m:sub>
                        </m:sSub>
                      </m:e>
                    </m:nary>
                  </m:num>
                  <m:den>
                    <m:nary>
                      <m:naryPr>
                        <m:chr m:val="∑"/>
                        <m:limLoc m:val="undOvr"/>
                      </m:naryPr>
                      <m:sub>
                        <m:r>
                          <w:rPr>
                            <w:rFonts w:ascii="Cambria Math" w:hAnsi="Cambria Math"/>
                            <w:lang w:val="pt-BR"/>
                          </w:rPr>
                          <m:t xml:space="preserve">i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pt-BR"/>
                          </w:rPr>
                          <m:t xml:space="preserve">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lang w:val="pt-BR"/>
                          </w:rPr>
                          <m:t xml:space="preserve">N</m:t>
                        </m:r>
                      </m:sup>
                      <m:e>
                        <m:sSup>
                          <m:e>
                            <m:sSub>
                              <m:e>
                                <m:r>
                                  <w:rPr>
                                    <w:rFonts w:ascii="Cambria Math" w:hAnsi="Cambria Math"/>
                                    <w:lang w:val="pt-BR"/>
                                  </w:rPr>
                                  <m:t xml:space="preserve">g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lang w:val="pt-BR"/>
                                  </w:rPr>
                                  <m:t xml:space="preserve">i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pt-BR"/>
                              </w:rPr>
                              <m:t xml:space="preserve">2</m:t>
                            </m:r>
                          </m:sup>
                        </m:sSup>
                      </m:e>
                    </m:nary>
                  </m:den>
                </m:f>
              </m:oMath>
            </m:oMathPara>
          </w:p>
        </w:tc>
        <w:tc>
          <w:tcPr>
            <w:tcW w:w="900" w:type="dxa"/>
            <w:vAlign w:val="center"/>
          </w:tcPr>
          <w:p>
            <w:pPr>
              <w:spacing w:before="60" w:after="60"/>
              <w:jc w:val="right"/>
              <w:rPr>
                <w:lang w:val="pt-BR"/>
              </w:rPr>
            </w:pPr>
            <w:r>
              <w:rPr>
                <w:lang w:val="pt-BR"/>
              </w:rPr>
              <w:t xml:space="preserve">(25)</w:t>
            </w:r>
          </w:p>
        </w:tc>
      </w:tr>
    </w:tbl>
    <w:p>
      <w:pPr>
        <w:rPr>
          <w:lang w:val="pt-BR"/>
        </w:rPr>
      </w:pPr>
      <w:r>
        <w:rPr>
          <w:lang w:val="pt-BR"/>
        </w:rPr>
        <w:t xml:space="preserve">Com h e θ</w:t>
      </w:r>
      <w:r>
        <w:rPr>
          <w:vertAlign w:val="subscript"/>
          <w:lang w:val="pt-BR"/>
        </w:rPr>
        <w:t xml:space="preserve">off</w:t>
      </w:r>
      <w:r>
        <w:rPr>
          <w:lang w:val="pt-BR"/>
        </w:rPr>
        <w:t xml:space="preserve"> fixados, X</w:t>
      </w:r>
      <w:r>
        <w:rPr>
          <w:vertAlign w:val="subscript"/>
          <w:lang w:val="pt-BR"/>
        </w:rPr>
        <w:t xml:space="preserve">pose</w:t>
      </w:r>
      <w:r>
        <w:rPr>
          <w:lang w:val="pt-BR"/>
        </w:rPr>
        <w:t xml:space="preserve"> foi reidentificado por varredura unidimensional, em passo de 0,001 mm, com K dado pela Equação (25) em cada valor. A qualidade do ajuste é avaliada pela raiz do erro quadrático médio (RMSE), pelo erro absoluto médio (MAE), pelo erro máximo e pelo coeficiente de determinação R</w:t>
      </w:r>
      <w:r>
        <w:rPr>
          <w:vertAlign w:val="superscript"/>
          <w:lang w:val="pt-BR"/>
        </w:rPr>
        <w:t xml:space="preserve">2</w:t>
      </w:r>
      <w:r>
        <w:rPr>
          <w:lang w:val="pt-BR"/>
        </w:rPr>
        <w:t xml:space="preserve">, com resíduo e</w:t>
      </w:r>
      <w:r>
        <w:rPr>
          <w:vertAlign w:val="subscript"/>
          <w:lang w:val="pt-BR"/>
        </w:rPr>
        <w:t xml:space="preserve">i</w:t>
      </w:r>
      <w:r>
        <w:rPr>
          <w:lang w:val="pt-BR"/>
        </w:rPr>
        <w:t xml:space="preserve"> = ŷ</w:t>
      </w:r>
      <w:r>
        <w:rPr>
          <w:vertAlign w:val="subscript"/>
          <w:lang w:val="pt-BR"/>
        </w:rPr>
        <w:t xml:space="preserve">i</w:t>
      </w:r>
      <w:r>
        <w:rPr>
          <w:lang w:val="pt-BR"/>
        </w:rPr>
        <w:t xml:space="preserve"> − y</w:t>
      </w:r>
      <w:r>
        <w:rPr>
          <w:vertAlign w:val="subscript"/>
          <w:lang w:val="pt-BR"/>
        </w:rPr>
        <w:t xml:space="preserve">i</w:t>
      </w:r>
      <w:r>
        <w:rPr>
          <w:lang w:val="pt-BR"/>
        </w:rPr>
        <w:t xml:space="preserve">, em que ŷ</w:t>
      </w:r>
      <w:r>
        <w:rPr>
          <w:vertAlign w:val="subscript"/>
          <w:lang w:val="pt-BR"/>
        </w:rPr>
        <w:t xml:space="preserve">i</w:t>
      </w:r>
      <w:r>
        <w:rPr>
          <w:lang w:val="pt-BR"/>
        </w:rPr>
        <w:t xml:space="preserve"> é o torque calculado na convenção da patente, −τ:</w:t>
      </w:r>
    </w:p>
    <w:tbl>
      <w:tblPr>
        <w:tblW w:w="936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1" w:noVBand="1"/>
      </w:tblPr>
      <w:tblGrid>
        <w:gridCol w:w="8460"/>
        <w:gridCol w:w="900"/>
      </w:tblGrid>
      <w:tr>
        <w:trPr>
          <w:cantSplit/>
        </w:trPr>
        <w:tc>
          <w:tcPr>
            <w:tcW w:w="8460" w:type="dxa"/>
            <w:vAlign w:val="center"/>
          </w:tcPr>
          <w:p>
            <w:pPr>
              <w:spacing w:before="60" w:after="60"/>
              <w:jc w:val="center"/>
              <w:rPr>
                <w:lang w:val="pt-BR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 xml:space="preserve">RMSE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 xml:space="preserve">=</m:t>
                </m:r>
                <m:rad>
                  <m:radPr>
                    <m:degHide m:val="1"/>
                  </m:radPr>
                  <m:deg/>
                  <m:e>
                    <m:f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pt-BR"/>
                          </w:rPr>
                          <m:t xml:space="preserve"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lang w:val="pt-BR"/>
                          </w:rPr>
                          <m:t xml:space="preserve">N</m:t>
                        </m:r>
                      </m:den>
                    </m:f>
                    <m:nary>
                      <m:naryPr>
                        <m:chr m:val="∑"/>
                        <m:limLoc m:val="undOvr"/>
                      </m:naryPr>
                      <m:sub>
                        <m:r>
                          <w:rPr>
                            <w:rFonts w:ascii="Cambria Math" w:hAnsi="Cambria Math"/>
                            <w:lang w:val="pt-BR"/>
                          </w:rPr>
                          <m:t xml:space="preserve">i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pt-BR"/>
                          </w:rPr>
                          <m:t xml:space="preserve">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lang w:val="pt-BR"/>
                          </w:rPr>
                          <m:t xml:space="preserve">N</m:t>
                        </m:r>
                      </m:sup>
                      <m:e>
                        <m:sSup>
                          <m:e>
                            <m:sSub>
                              <m:e>
                                <m:r>
                                  <w:rPr>
                                    <w:rFonts w:ascii="Cambria Math" w:hAnsi="Cambria Math"/>
                                    <w:lang w:val="pt-BR"/>
                                  </w:rPr>
                                  <m:t xml:space="preserve">e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lang w:val="pt-BR"/>
                                  </w:rPr>
                                  <m:t xml:space="preserve">i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pt-BR"/>
                              </w:rPr>
                              <m:t xml:space="preserve">2</m:t>
                            </m:r>
                          </m:sup>
                        </m:sSup>
                      </m:e>
                    </m:nary>
                  </m:e>
                </m:rad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 xml:space="preserve">,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 xml:space="preserve"> 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 xml:space="preserve">MAE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 xml:space="preserve">=</m:t>
                </m:r>
                <m:f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 xml:space="preserve">1</m:t>
                    </m:r>
                  </m:num>
                  <m:den>
                    <m:r>
                      <w:rPr>
                        <w:rFonts w:ascii="Cambria Math" w:hAnsi="Cambria Math"/>
                        <w:lang w:val="pt-BR"/>
                      </w:rPr>
                      <m:t xml:space="preserve">N</m:t>
                    </m:r>
                  </m:den>
                </m:f>
                <m:nary>
                  <m:naryPr>
                    <m:chr m:val="∑"/>
                    <m:limLoc m:val="undOvr"/>
                  </m:naryPr>
                  <m:sub>
                    <m:r>
                      <w:rPr>
                        <w:rFonts w:ascii="Cambria Math" w:hAnsi="Cambria Math"/>
                        <w:lang w:val="pt-BR"/>
                      </w:rPr>
                      <m:t xml:space="preserve">i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 xml:space="preserve">=1</m:t>
                    </m:r>
                  </m:sub>
                  <m:sup>
                    <m:r>
                      <w:rPr>
                        <w:rFonts w:ascii="Cambria Math" w:hAnsi="Cambria Math"/>
                        <w:lang w:val="pt-BR"/>
                      </w:rPr>
                      <m:t xml:space="preserve">N</m:t>
                    </m:r>
                  </m:sup>
                  <m:e>
                    <m:d>
                      <m:dPr>
                        <m:begChr m:val="|"/>
                        <m:endChr m:val="|"/>
                      </m:dPr>
                      <m:e>
                        <m:sSub>
                          <m:e>
                            <m:r>
                              <w:rPr>
                                <w:rFonts w:ascii="Cambria Math" w:hAnsi="Cambria Math"/>
                                <w:lang w:val="pt-BR"/>
                              </w:rPr>
                              <m:t xml:space="preserve">e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pt-BR"/>
                              </w:rPr>
                              <m:t xml:space="preserve">i</m:t>
                            </m:r>
                          </m:sub>
                        </m:sSub>
                      </m:e>
                    </m:d>
                  </m:e>
                </m:nary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 xml:space="preserve">,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 xml:space="preserve"> </m:t>
                </m:r>
                <m:sSup>
                  <m:e>
                    <m:r>
                      <w:rPr>
                        <w:rFonts w:ascii="Cambria Math" w:hAnsi="Cambria Math"/>
                        <w:lang w:val="pt-BR"/>
                      </w:rPr>
                      <m:t xml:space="preserve">R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 xml:space="preserve"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 xml:space="preserve">=1−</m:t>
                </m:r>
                <m:f>
                  <m:num>
                    <m:nary>
                      <m:naryPr>
                        <m:chr m:val="∑"/>
                        <m:limLoc m:val="undOvr"/>
                      </m:naryPr>
                      <m:sub>
                        <m:r>
                          <w:rPr>
                            <w:rFonts w:ascii="Cambria Math" w:hAnsi="Cambria Math"/>
                            <w:lang w:val="pt-BR"/>
                          </w:rPr>
                          <m:t xml:space="preserve">i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pt-BR"/>
                          </w:rPr>
                          <m:t xml:space="preserve">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lang w:val="pt-BR"/>
                          </w:rPr>
                          <m:t xml:space="preserve">N</m:t>
                        </m:r>
                      </m:sup>
                      <m:e>
                        <m:sSup>
                          <m:e>
                            <m:sSub>
                              <m:e>
                                <m:r>
                                  <w:rPr>
                                    <w:rFonts w:ascii="Cambria Math" w:hAnsi="Cambria Math"/>
                                    <w:lang w:val="pt-BR"/>
                                  </w:rPr>
                                  <m:t xml:space="preserve">e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lang w:val="pt-BR"/>
                                  </w:rPr>
                                  <m:t xml:space="preserve">i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pt-BR"/>
                              </w:rPr>
                              <m:t xml:space="preserve">2</m:t>
                            </m:r>
                          </m:sup>
                        </m:sSup>
                      </m:e>
                    </m:nary>
                  </m:num>
                  <m:den>
                    <m:nary>
                      <m:naryPr>
                        <m:chr m:val="∑"/>
                        <m:limLoc m:val="undOvr"/>
                      </m:naryPr>
                      <m:sub>
                        <m:r>
                          <w:rPr>
                            <w:rFonts w:ascii="Cambria Math" w:hAnsi="Cambria Math"/>
                            <w:lang w:val="pt-BR"/>
                          </w:rPr>
                          <m:t xml:space="preserve">i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pt-BR"/>
                          </w:rPr>
                          <m:t xml:space="preserve">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lang w:val="pt-BR"/>
                          </w:rPr>
                          <m:t xml:space="preserve">N</m:t>
                        </m:r>
                      </m:sup>
                      <m:e>
                        <m:sSup>
                          <m:e>
                            <m:d>
                              <m:dPr>
                                <m:begChr m:val="("/>
                                <m:endChr m:val=")"/>
                              </m:dPr>
                              <m:e>
                                <m:sSub>
                                  <m:e>
                                    <m:r>
                                      <w:rPr>
                                        <w:rFonts w:ascii="Cambria Math" w:hAnsi="Cambria Math"/>
                                        <w:lang w:val="pt-BR"/>
                                      </w:rPr>
                                      <m:t xml:space="preserve">y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lang w:val="pt-BR"/>
                                      </w:rPr>
                                      <m:t xml:space="preserve">i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lang w:val="pt-BR"/>
                                  </w:rPr>
                                  <m:t xml:space="preserve">−</m:t>
                                </m:r>
                                <m:bar>
                                  <m:barPr>
                                    <m:pos m:val="top"/>
                                  </m:barPr>
                                  <m:e>
                                    <m:r>
                                      <w:rPr>
                                        <w:rFonts w:ascii="Cambria Math" w:hAnsi="Cambria Math"/>
                                        <w:lang w:val="pt-BR"/>
                                      </w:rPr>
                                      <m:t xml:space="preserve">y</m:t>
                                    </m:r>
                                  </m:e>
                                </m:bar>
                              </m:e>
                            </m:d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pt-BR"/>
                              </w:rPr>
                              <m:t xml:space="preserve">2</m:t>
                            </m:r>
                          </m:sup>
                        </m:sSup>
                      </m:e>
                    </m:nary>
                  </m:den>
                </m:f>
              </m:oMath>
            </m:oMathPara>
          </w:p>
        </w:tc>
        <w:tc>
          <w:tcPr>
            <w:tcW w:w="900" w:type="dxa"/>
            <w:vAlign w:val="center"/>
          </w:tcPr>
          <w:p>
            <w:pPr>
              <w:spacing w:before="60" w:after="60"/>
              <w:jc w:val="right"/>
              <w:rPr>
                <w:lang w:val="pt-BR"/>
              </w:rPr>
            </w:pPr>
            <w:r>
              <w:rPr>
                <w:lang w:val="pt-BR"/>
              </w:rPr>
              <w:t xml:space="preserve">(26)</w:t>
            </w:r>
          </w:p>
        </w:tc>
      </w:tr>
    </w:tbl>
    <w:p>
      <w:pPr>
        <w:rPr>
          <w:lang w:val="pt-BR"/>
        </w:rPr>
      </w:pPr>
      <w:r>
        <w:rPr>
          <w:lang w:val="pt-BR"/>
        </w:rPr>
        <w:t xml:space="preserve">O RMSE mede a aderência à curva extraída, e não a validade física. Duas formulações só são comparadas por ele depois de ambas satisfazerem as verificações físicas da seção 3.11; essa regra decide, no capítulo 4, a adoção do caminho completo do cabo, apesar de o caminho sem o arco produzir RMSE menor.</w:t>
      </w:r>
    </w:p>
    <w:p>
      <w:pPr>
        <w:pStyle w:val="Ttulo2"/>
        <w:rPr>
          <w:lang w:val="pt-BR"/>
        </w:rPr>
      </w:pPr>
      <w:r>
        <w:rPr>
          <w:lang w:val="pt-BR"/>
        </w:rPr>
        <w:t xml:space="preserve">3.10 Varredura e otimização de h com K congelado</w:t>
      </w:r>
    </w:p>
    <w:p>
      <w:pPr>
        <w:rPr>
          <w:lang w:val="pt-BR"/>
        </w:rPr>
      </w:pPr>
      <w:r>
        <w:rPr>
          <w:lang w:val="pt-BR"/>
        </w:rPr>
        <w:t xml:space="preserve">Como h é a grandeza geométrica mais incerta e a mais fácil de alterar no projeto, ela foi varrida de 8 a 60 mm, em passo de 0,005 mm, com o acréscimo dos valores exatos H</w:t>
      </w:r>
      <w:r>
        <w:rPr>
          <w:vertAlign w:val="subscript"/>
          <w:lang w:val="pt-BR"/>
        </w:rPr>
        <w:t xml:space="preserve">CAL</w:t>
      </w:r>
      <w:r>
        <w:rPr>
          <w:lang w:val="pt-BR"/>
        </w:rPr>
        <w:t xml:space="preserve"> e H</w:t>
      </w:r>
      <w:r>
        <w:rPr>
          <w:vertAlign w:val="subscript"/>
          <w:lang w:val="pt-BR"/>
        </w:rPr>
        <w:t xml:space="preserve">CAD</w:t>
      </w:r>
      <w:r>
        <w:rPr>
          <w:lang w:val="pt-BR"/>
        </w:rPr>
        <w:t xml:space="preserve">, num total de 10.403 valores, para delimitar os valores fisicamente válidos; dentro deles, buscou-se o h que devolve o maior torque. K permanece congelado em 174,68 em todos os valores de h e não é reidentificado por h: cada h representa o mesmo conjunto de mola com a ancoragem deslocada, e nenhum parâmetro do modelo é substituído pelo resultado.</w:t>
      </w:r>
    </w:p>
    <w:p>
      <w:pPr>
        <w:rPr>
          <w:lang w:val="pt-BR"/>
        </w:rPr>
      </w:pPr>
      <w:r>
        <w:rPr>
          <w:lang w:val="pt-BR"/>
        </w:rPr>
        <w:t xml:space="preserve">Ao variar h, a referência s</w:t>
      </w:r>
      <w:r>
        <w:rPr>
          <w:vertAlign w:val="subscript"/>
          <w:lang w:val="pt-BR"/>
        </w:rPr>
        <w:t xml:space="preserve">0</w:t>
      </w:r>
      <w:r>
        <w:rPr>
          <w:lang w:val="pt-BR"/>
        </w:rPr>
        <w:t xml:space="preserve">(h) da Equação (18) é recalculada de modo que a extensão da mola na pose permaneça X</w:t>
      </w:r>
      <w:r>
        <w:rPr>
          <w:vertAlign w:val="subscript"/>
          <w:lang w:val="pt-BR"/>
        </w:rPr>
        <w:t xml:space="preserve">pose</w:t>
      </w:r>
      <w:r>
        <w:rPr>
          <w:lang w:val="pt-BR"/>
        </w:rPr>
        <w:t xml:space="preserve"> = 37,383 mm, preservando a pré-tensão de montagem. Essa ancoragem é uma escolha de modelagem, que isola o efeito de h do efeito da montagem.</w:t>
      </w:r>
    </w:p>
    <w:p>
      <w:pPr>
        <w:rPr>
          <w:lang w:val="pt-BR"/>
        </w:rPr>
      </w:pPr>
      <w:r>
        <w:rPr>
          <w:lang w:val="pt-BR"/>
        </w:rPr>
        <w:t xml:space="preserve">A validade física de cada h é verificada por três critérios: (i) tração, isto é, extensão da mola não negativa em toda a faixa de operação, calculada sem a limitação da Equação (19), para que o afrouxamento do cabo apareça como extensão negativa; (ii) fechamento, isto é, existência de tangente ao tambor (ρ &gt; R) em toda a faixa; e (iii) trabalho virtual, isto é, resíduo da Equação (17) inferior a 10</w:t>
      </w:r>
      <w:r>
        <w:rPr>
          <w:vertAlign w:val="superscript"/>
          <w:lang w:val="pt-BR"/>
        </w:rPr>
        <w:t xml:space="preserve">−6</w:t>
      </w:r>
      <w:r>
        <w:rPr>
          <w:lang w:val="pt-BR"/>
        </w:rPr>
        <w:t xml:space="preserve"> mm/rad. O ângulo de enrolamento ψ não é critério de validade: um valor nulo de ψ significa arco de enrolamento nulo, e não cabo fora do tambor, cuja permanência é garantida pela tangência, critério (ii).</w:t>
      </w:r>
    </w:p>
    <w:p>
      <w:pPr>
        <w:rPr>
          <w:lang w:val="pt-BR"/>
        </w:rPr>
      </w:pPr>
      <w:r>
        <w:rPr>
          <w:lang w:val="pt-BR"/>
        </w:rPr>
        <w:t xml:space="preserve">Entre os valores de h fisicamente válidos, procura-se o que devolve o maior torque ao braço com a mesma mola e a mesma montagem. O critério principal é o torque médio devolvido na faixa de trabalho acima da linha dos ombros, de 90° a 150° de elevação:</w:t>
      </w:r>
    </w:p>
    <w:tbl>
      <w:tblPr>
        <w:tblW w:w="936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1" w:noVBand="1"/>
      </w:tblPr>
      <w:tblGrid>
        <w:gridCol w:w="8460"/>
        <w:gridCol w:w="900"/>
      </w:tblGrid>
      <w:tr>
        <w:trPr>
          <w:cantSplit/>
        </w:trPr>
        <w:tc>
          <w:tcPr>
            <w:tcW w:w="8460" w:type="dxa"/>
            <w:vAlign w:val="center"/>
          </w:tcPr>
          <w:p>
            <w:pPr>
              <w:spacing w:before="60" w:after="60"/>
              <w:jc w:val="center"/>
              <w:rPr>
                <w:lang w:val="pt-BR"/>
              </w:rPr>
            </w:pPr>
            <m:oMathPara>
              <m:oMathParaPr>
                <m:jc m:val="center"/>
              </m:oMathParaPr>
              <m:oMath>
                <m:sSup>
                  <m:e>
                    <m:r>
                      <w:rPr>
                        <w:rFonts w:ascii="Cambria Math" w:hAnsi="Cambria Math"/>
                        <w:lang w:val="pt-BR"/>
                      </w:rPr>
                      <m:t xml:space="preserve">h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 xml:space="preserve">∗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 xml:space="preserve">=</m:t>
                </m:r>
                <m:sSub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 xml:space="preserve">arg max</m:t>
                    </m:r>
                  </m:e>
                  <m:sub>
                    <m:r>
                      <w:rPr>
                        <w:rFonts w:ascii="Cambria Math" w:hAnsi="Cambria Math"/>
                        <w:lang w:val="pt-BR"/>
                      </w:rPr>
                      <m:t xml:space="preserve">h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 xml:space="preserve"> </m:t>
                </m:r>
                <m:bar>
                  <m:barPr>
                    <m:pos m:val="top"/>
                  </m:barPr>
                  <m:e>
                    <m:r>
                      <w:rPr>
                        <w:rFonts w:ascii="Cambria Math" w:hAnsi="Cambria Math"/>
                        <w:lang w:val="pt-BR"/>
                      </w:rPr>
                      <m:t xml:space="preserve">τ</m:t>
                    </m:r>
                  </m:e>
                </m:bar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  <w:lang w:val="pt-BR"/>
                      </w:rPr>
                      <m:t xml:space="preserve">h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 xml:space="preserve">,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 xml:space="preserve"> </m:t>
                </m:r>
                <m:bar>
                  <m:barPr>
                    <m:pos m:val="top"/>
                  </m:barPr>
                  <m:e>
                    <m:r>
                      <w:rPr>
                        <w:rFonts w:ascii="Cambria Math" w:hAnsi="Cambria Math"/>
                        <w:lang w:val="pt-BR"/>
                      </w:rPr>
                      <m:t xml:space="preserve">τ</m:t>
                    </m:r>
                  </m:e>
                </m:bar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  <w:lang w:val="pt-BR"/>
                      </w:rPr>
                      <m:t xml:space="preserve">h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 xml:space="preserve">=</m:t>
                </m:r>
                <m:f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 xml:space="preserve"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 xml:space="preserve">60°</m:t>
                    </m:r>
                  </m:den>
                </m:f>
                <m:nary>
                  <m:naryPr>
                    <m:chr m:val="∫"/>
                    <m:limLoc m:val="subSup"/>
                  </m:naryPr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 xml:space="preserve">90°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 xml:space="preserve">150°</m:t>
                    </m:r>
                  </m:sup>
                  <m:e>
                    <m:d>
                      <m:dPr>
                        <m:begChr m:val="("/>
                        <m:endChr m:val=")"/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pt-BR"/>
                          </w:rPr>
                          <m:t xml:space="preserve">−</m:t>
                        </m:r>
                        <m:r>
                          <w:rPr>
                            <w:rFonts w:ascii="Cambria Math" w:hAnsi="Cambria Math"/>
                            <w:lang w:val="pt-BR"/>
                          </w:rPr>
                          <m:t xml:space="preserve">τ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 xml:space="preserve">d</m:t>
                    </m:r>
                    <m:sSub>
                      <m:e>
                        <m:r>
                          <w:rPr>
                            <w:rFonts w:ascii="Cambria Math" w:hAnsi="Cambria Math"/>
                            <w:lang w:val="pt-BR"/>
                          </w:rPr>
                          <m:t xml:space="preserve">θ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pt-BR"/>
                          </w:rPr>
                          <m:t xml:space="preserve">el</m:t>
                        </m:r>
                      </m:sub>
                    </m:sSub>
                  </m:e>
                </m:nary>
              </m:oMath>
            </m:oMathPara>
          </w:p>
        </w:tc>
        <w:tc>
          <w:tcPr>
            <w:tcW w:w="900" w:type="dxa"/>
            <w:vAlign w:val="center"/>
          </w:tcPr>
          <w:p>
            <w:pPr>
              <w:spacing w:before="60" w:after="60"/>
              <w:jc w:val="right"/>
              <w:rPr>
                <w:lang w:val="pt-BR"/>
              </w:rPr>
            </w:pPr>
            <w:r>
              <w:rPr>
                <w:lang w:val="pt-BR"/>
              </w:rPr>
              <w:t xml:space="preserve">(27)</w:t>
            </w:r>
          </w:p>
        </w:tc>
      </w:tr>
      <w:tr>
        <w:trPr>
          <w:cantSplit/>
        </w:trPr>
        <w:tc>
          <w:tcPr>
            <w:tcW w:w="8460" w:type="dxa"/>
            <w:vAlign w:val="center"/>
          </w:tcPr>
          <w:p>
            <w:pPr>
              <w:spacing w:before="60" w:after="60"/>
              <w:jc w:val="center"/>
              <w:rPr>
                <w:lang w:val="pt-BR"/>
              </w:rPr>
            </w:pPr>
            <m:oMathPara>
              <m:oMathParaPr>
                <m:jc m:val="center"/>
              </m:oMathParaPr>
              <m:oMath>
                <m:func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 xml:space="preserve">min</m:t>
                    </m:r>
                  </m:fName>
                  <m:e>
                    <m:r>
                      <w:rPr>
                        <w:rFonts w:ascii="Cambria Math" w:hAnsi="Cambria Math"/>
                        <w:lang w:val="pt-BR"/>
                      </w:rPr>
                      <m:t xml:space="preserve">δ</m:t>
                    </m:r>
                  </m:e>
                </m:func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  <w:lang w:val="pt-BR"/>
                      </w:rPr>
                      <m:t xml:space="preserve">h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 xml:space="preserve">≥</m:t>
                </m:r>
                <m:sSub>
                  <m:e>
                    <m:r>
                      <w:rPr>
                        <w:rFonts w:ascii="Cambria Math" w:hAnsi="Cambria Math"/>
                        <w:lang w:val="pt-BR"/>
                      </w:rPr>
                      <m:t xml:space="preserve">δ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 xml:space="preserve">marg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 xml:space="preserve">,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 xml:space="preserve"> </m:t>
                </m:r>
                <m:r>
                  <w:rPr>
                    <w:rFonts w:ascii="Cambria Math" w:hAnsi="Cambria Math"/>
                    <w:lang w:val="pt-BR"/>
                  </w:rPr>
                  <m:t xml:space="preserve">ρ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 xml:space="preserve">&gt;</m:t>
                </m:r>
                <m:r>
                  <w:rPr>
                    <w:rFonts w:ascii="Cambria Math" w:hAnsi="Cambria Math"/>
                    <w:lang w:val="pt-BR"/>
                  </w:rPr>
                  <m:t xml:space="preserve">R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 xml:space="preserve">,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 xml:space="preserve"> </m:t>
                </m:r>
                <m:d>
                  <m:dPr>
                    <m:begChr m:val="|"/>
                    <m:endChr m:val="|"/>
                  </m:dPr>
                  <m:e>
                    <m:f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pt-BR"/>
                          </w:rPr>
                          <m:t xml:space="preserve">d</m:t>
                        </m:r>
                        <m:r>
                          <w:rPr>
                            <w:rFonts w:ascii="Cambria Math" w:hAnsi="Cambria Math"/>
                            <w:lang w:val="pt-BR"/>
                          </w:rPr>
                          <m:t xml:space="preserve">ℓ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pt-BR"/>
                          </w:rPr>
                          <m:t xml:space="preserve">d</m:t>
                        </m:r>
                        <m:sSup>
                          <m:e>
                            <m:r>
                              <w:rPr>
                                <w:rFonts w:ascii="Cambria Math" w:hAnsi="Cambria Math"/>
                                <w:lang w:val="pt-BR"/>
                              </w:rPr>
                              <m:t xml:space="preserve">θ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pt-BR"/>
                              </w:rPr>
                              <m:t xml:space="preserve">∗</m:t>
                            </m:r>
                          </m:sup>
                        </m:sSup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 xml:space="preserve">−</m:t>
                    </m:r>
                    <m:r>
                      <w:rPr>
                        <w:rFonts w:ascii="Cambria Math" w:hAnsi="Cambria Math"/>
                        <w:lang w:val="pt-BR"/>
                      </w:rPr>
                      <m:t xml:space="preserve">m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 xml:space="preserve">&lt;</m:t>
                </m:r>
                <m:sSup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 xml:space="preserve"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 xml:space="preserve">−6</m:t>
                    </m:r>
                  </m:sup>
                </m:sSup>
              </m:oMath>
            </m:oMathPara>
          </w:p>
        </w:tc>
        <w:tc>
          <w:tcPr>
            <w:tcW w:w="900" w:type="dxa"/>
            <w:vAlign w:val="center"/>
          </w:tcPr>
          <w:p>
            <w:pPr>
              <w:spacing w:before="60" w:after="60"/>
              <w:jc w:val="right"/>
              <w:rPr>
                <w:lang w:val="pt-BR"/>
              </w:rPr>
            </w:pPr>
            <w:r>
              <w:rPr>
                <w:lang w:val="pt-BR"/>
              </w:rPr>
              <w:t xml:space="preserve">(28)</w:t>
            </w:r>
          </w:p>
        </w:tc>
      </w:tr>
    </w:tbl>
    <w:p>
      <w:pPr>
        <w:rPr>
          <w:lang w:val="pt-BR"/>
        </w:rPr>
      </w:pPr>
      <w:r>
        <w:rPr>
          <w:lang w:val="pt-BR"/>
        </w:rPr>
        <w:t xml:space="preserve">em que δ</w:t>
      </w:r>
      <w:r>
        <w:rPr>
          <w:vertAlign w:val="subscript"/>
          <w:lang w:val="pt-BR"/>
        </w:rPr>
        <w:t xml:space="preserve">marg</w:t>
      </w:r>
      <w:r>
        <w:rPr>
          <w:lang w:val="pt-BR"/>
        </w:rPr>
        <w:t xml:space="preserve"> é uma margem mínima de extensão da mola, nula na formulação estrita. Como critérios complementares, são calculados o pico do torque e o trabalho devolvido ao longo de toda a faixa de operação, integral de −τ em relação à elevação; pela Equação (17), esse trabalho equivale à energia que a mola restitui ao braço. A busca é feita por enumeração, em passo de 0,01 mm, de 8 mm até a fronteira de tração, obtida por bissecção, com K e X</w:t>
      </w:r>
      <w:r>
        <w:rPr>
          <w:vertAlign w:val="subscript"/>
          <w:lang w:val="pt-BR"/>
        </w:rPr>
        <w:t xml:space="preserve">pose</w:t>
      </w:r>
      <w:r>
        <w:rPr>
          <w:lang w:val="pt-BR"/>
        </w:rPr>
        <w:t xml:space="preserve"> congelados. Uma família de curvas para sete valores de h e seus nós, ângulos em que as curvas quase coincidem, completam a análise.</w:t>
      </w:r>
    </w:p>
    <w:p>
      <w:pPr>
        <w:pStyle w:val="Ttulo2"/>
        <w:rPr>
          <w:lang w:val="pt-BR"/>
        </w:rPr>
      </w:pPr>
      <w:r>
        <w:rPr>
          <w:lang w:val="pt-BR"/>
        </w:rPr>
        <w:t xml:space="preserve">3.11 Verificações numéricas e testes automatizados</w:t>
      </w:r>
    </w:p>
    <w:p>
      <w:pPr>
        <w:rPr>
          <w:lang w:val="pt-BR"/>
        </w:rPr>
      </w:pPr>
      <w:r>
        <w:rPr>
          <w:lang w:val="pt-BR"/>
        </w:rPr>
        <w:t xml:space="preserve">A cadeia de cálculo é conferida a cada execução do modelo por seis verificações automáticas: os resíduos f</w:t>
      </w:r>
      <w:r>
        <w:rPr>
          <w:vertAlign w:val="subscript"/>
          <w:lang w:val="pt-BR"/>
        </w:rPr>
        <w:t xml:space="preserve">1</w:t>
      </w:r>
      <w:r>
        <w:rPr>
          <w:lang w:val="pt-BR"/>
        </w:rPr>
        <w:t xml:space="preserve"> e f</w:t>
      </w:r>
      <w:r>
        <w:rPr>
          <w:vertAlign w:val="subscript"/>
          <w:lang w:val="pt-BR"/>
        </w:rPr>
        <w:t xml:space="preserve">2</w:t>
      </w:r>
      <w:r>
        <w:rPr>
          <w:lang w:val="pt-BR"/>
        </w:rPr>
        <w:t xml:space="preserve"> da Equação (6); a identidade τ = −F m/1000 da Equação (20); a coincidência das Equações (10) e (13) para o ponto de tangência; a coincidência da Equação (21) com a raiz de m(θ*) = 0 obtida por bissecção; o resíduo da Equação (17), calculado por diferenças finitas centradas com passo de 10</w:t>
      </w:r>
      <w:r>
        <w:rPr>
          <w:vertAlign w:val="superscript"/>
          <w:lang w:val="pt-BR"/>
        </w:rPr>
        <w:t xml:space="preserve">−4</w:t>
      </w:r>
      <w:r>
        <w:rPr>
          <w:lang w:val="pt-BR"/>
        </w:rPr>
        <w:t xml:space="preserve"> grau em 2.001 pontos da faixa; e a identidade X</w:t>
      </w:r>
      <w:r>
        <w:rPr>
          <w:vertAlign w:val="subscript"/>
          <w:lang w:val="pt-BR"/>
        </w:rPr>
        <w:t xml:space="preserve">pose</w:t>
      </w:r>
      <w:r>
        <w:rPr>
          <w:lang w:val="pt-BR"/>
        </w:rPr>
        <w:t xml:space="preserve"> = L</w:t>
      </w:r>
      <w:r>
        <w:rPr>
          <w:vertAlign w:val="subscript"/>
          <w:lang w:val="pt-BR"/>
        </w:rPr>
        <w:t xml:space="preserve">pose</w:t>
      </w:r>
      <w:r>
        <w:rPr>
          <w:lang w:val="pt-BR"/>
        </w:rPr>
        <w:t xml:space="preserve"> − L</w:t>
      </w:r>
      <w:r>
        <w:rPr>
          <w:vertAlign w:val="subscript"/>
          <w:lang w:val="pt-BR"/>
        </w:rPr>
        <w:t xml:space="preserve">livre</w:t>
      </w:r>
      <w:r>
        <w:rPr>
          <w:lang w:val="pt-BR"/>
        </w:rPr>
        <w:t xml:space="preserve">. Cada verificação tem tolerância declarada, e o modelo interrompe a execução se alguma delas for violada.</w:t>
      </w:r>
    </w:p>
    <w:p>
      <w:pPr>
        <w:rPr>
          <w:lang w:val="pt-BR"/>
        </w:rPr>
      </w:pPr>
      <w:r>
        <w:rPr>
          <w:lang w:val="pt-BR"/>
        </w:rPr>
        <w:t xml:space="preserve">O projeto mantém, além disso, testes automatizados executados com o pytest. Eles verificam, entre outros pontos, que os 29 pontos são carregados na ordem da extração, que o torque é linear em K, que a posição da ancoragem é argumento obrigatório de toda a cadeia, que a formulação s − Rψ é a única das testadas que satisfaz o trabalho virtual, que o enrolamento não é usado como critério de validade e que a varredura não reidentifica K por h.</w:t>
      </w:r>
    </w:p>
    <w:p>
      <w:pPr>
        <w:pStyle w:val="Ttulo2"/>
        <w:rPr>
          <w:lang w:val="pt-BR"/>
        </w:rPr>
      </w:pPr>
      <w:r>
        <w:rPr>
          <w:lang w:val="pt-BR"/>
        </w:rPr>
        <w:t xml:space="preserve">3.12 Etapas dinâmicas previstas</w:t>
      </w:r>
    </w:p>
    <w:p>
      <w:pPr>
        <w:rPr>
          <w:lang w:val="pt-BR"/>
        </w:rPr>
      </w:pPr>
      <w:r>
        <w:rPr>
          <w:lang w:val="pt-BR"/>
        </w:rPr>
        <w:t xml:space="preserve">Os objetivos específicos f e g preveem a obtenção da equação de movimento pela formulação de Lagrange, sua integração numérica e o acoplamento do modelo ao MBDyn. Essas etapas não foram executadas nesta fase do trabalho, e o capítulo 4 não apresenta nenhum resultado dinâmico. O procedimento previsto é registrado a seguir.</w:t>
      </w:r>
    </w:p>
    <w:p>
      <w:pPr>
        <w:rPr>
          <w:lang w:val="pt-BR"/>
        </w:rPr>
      </w:pPr>
      <w:r>
        <w:rPr>
          <w:lang w:val="pt-BR"/>
        </w:rPr>
        <w:t xml:space="preserve">O sistema seria tratado como mecanismo plano de um grau de liberdade, a rotação do conjunto membro–elo distal em torno do eixo da junta, com coordenada generalizada θ*. A energia cinética seria escrita com o momento de inércia I</w:t>
      </w:r>
      <w:r>
        <w:rPr>
          <w:vertAlign w:val="subscript"/>
          <w:lang w:val="pt-BR"/>
        </w:rPr>
        <w:t xml:space="preserve">O</w:t>
      </w:r>
      <w:r>
        <w:rPr>
          <w:lang w:val="pt-BR"/>
        </w:rPr>
        <w:t xml:space="preserve"> da Equação (1), e a energia potencial reuniria a parcela gravitacional e a parcela elástica V</w:t>
      </w:r>
      <w:r>
        <w:rPr>
          <w:vertAlign w:val="subscript"/>
          <w:lang w:val="pt-BR"/>
        </w:rPr>
        <w:t xml:space="preserve">e</w:t>
      </w:r>
      <w:r>
        <w:rPr>
          <w:lang w:val="pt-BR"/>
        </w:rPr>
        <w:t xml:space="preserve"> = K δ</w:t>
      </w:r>
      <w:r>
        <w:rPr>
          <w:vertAlign w:val="superscript"/>
          <w:lang w:val="pt-BR"/>
        </w:rPr>
        <w:t xml:space="preserve">2</w:t>
      </w:r>
      <w:r>
        <w:rPr>
          <w:lang w:val="pt-BR"/>
        </w:rPr>
        <w:t xml:space="preserve">/2. Pela Equação (17), ∂V</w:t>
      </w:r>
      <w:r>
        <w:rPr>
          <w:vertAlign w:val="subscript"/>
          <w:lang w:val="pt-BR"/>
        </w:rPr>
        <w:t xml:space="preserve">e</w:t>
      </w:r>
      <w:r>
        <w:rPr>
          <w:lang w:val="pt-BR"/>
        </w:rPr>
        <w:t xml:space="preserve">/∂θ* = K δ m, de modo que a força generalizada elástica coincide, a menos do fator 1/1000, com o torque do cabo da Equação (20). A equação de movimento teria a forma</w:t>
      </w:r>
    </w:p>
    <w:tbl>
      <w:tblPr>
        <w:tblW w:w="936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1" w:noVBand="1"/>
      </w:tblPr>
      <w:tblGrid>
        <w:gridCol w:w="8460"/>
        <w:gridCol w:w="900"/>
      </w:tblGrid>
      <w:tr>
        <w:trPr>
          <w:cantSplit/>
        </w:trPr>
        <w:tc>
          <w:tcPr>
            <w:tcW w:w="8460" w:type="dxa"/>
            <w:vAlign w:val="center"/>
          </w:tcPr>
          <w:p>
            <w:pPr>
              <w:spacing w:before="60" w:after="60"/>
              <w:jc w:val="center"/>
              <w:rPr>
                <w:lang w:val="pt-BR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  <w:lang w:val="pt-BR"/>
                      </w:rPr>
                      <m:t xml:space="preserve"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 xml:space="preserve">O</m:t>
                    </m:r>
                  </m:sub>
                </m:sSub>
                <m:sSup>
                  <m:e>
                    <m:acc>
                      <m:accPr>
                        <m:chr m:val="̈"/>
                      </m:accPr>
                      <m:e>
                        <m:r>
                          <w:rPr>
                            <w:rFonts w:ascii="Cambria Math" w:hAnsi="Cambria Math"/>
                            <w:lang w:val="pt-BR"/>
                          </w:rPr>
                          <m:t xml:space="preserve">θ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 xml:space="preserve">∗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 xml:space="preserve">=</m:t>
                </m:r>
                <m:r>
                  <w:rPr>
                    <w:rFonts w:ascii="Cambria Math" w:hAnsi="Cambria Math"/>
                    <w:lang w:val="pt-BR"/>
                  </w:rPr>
                  <m:t xml:space="preserve">τ</m:t>
                </m:r>
                <m:d>
                  <m:dPr>
                    <m:begChr m:val="("/>
                    <m:endChr m:val=")"/>
                  </m:dPr>
                  <m:e>
                    <m:sSup>
                      <m:e>
                        <m:r>
                          <w:rPr>
                            <w:rFonts w:ascii="Cambria Math" w:hAnsi="Cambria Math"/>
                            <w:lang w:val="pt-BR"/>
                          </w:rPr>
                          <m:t xml:space="preserve">θ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pt-BR"/>
                          </w:rPr>
                          <m:t xml:space="preserve">∗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 xml:space="preserve">+</m:t>
                </m:r>
                <m:sSub>
                  <m:e>
                    <m:r>
                      <w:rPr>
                        <w:rFonts w:ascii="Cambria Math" w:hAnsi="Cambria Math"/>
                        <w:lang w:val="pt-BR"/>
                      </w:rPr>
                      <m:t xml:space="preserve">τ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 xml:space="preserve">g,s</m:t>
                    </m:r>
                  </m:sub>
                </m:sSub>
                <m:d>
                  <m:dPr>
                    <m:begChr m:val="("/>
                    <m:endChr m:val=")"/>
                  </m:dPr>
                  <m:e>
                    <m:sSup>
                      <m:e>
                        <m:r>
                          <w:rPr>
                            <w:rFonts w:ascii="Cambria Math" w:hAnsi="Cambria Math"/>
                            <w:lang w:val="pt-BR"/>
                          </w:rPr>
                          <m:t xml:space="preserve">θ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pt-BR"/>
                          </w:rPr>
                          <m:t xml:space="preserve">∗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 xml:space="preserve">+</m:t>
                </m:r>
                <m:sSub>
                  <m:e>
                    <m:r>
                      <w:rPr>
                        <w:rFonts w:ascii="Cambria Math" w:hAnsi="Cambria Math"/>
                        <w:lang w:val="pt-BR"/>
                      </w:rPr>
                      <m:t xml:space="preserve">Q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 xml:space="preserve">nc</m:t>
                    </m:r>
                  </m:sub>
                </m:sSub>
              </m:oMath>
            </m:oMathPara>
          </w:p>
        </w:tc>
        <w:tc>
          <w:tcPr>
            <w:tcW w:w="900" w:type="dxa"/>
            <w:vAlign w:val="center"/>
          </w:tcPr>
          <w:p>
            <w:pPr>
              <w:spacing w:before="60" w:after="60"/>
              <w:jc w:val="right"/>
              <w:rPr>
                <w:lang w:val="pt-BR"/>
              </w:rPr>
            </w:pPr>
            <w:r>
              <w:rPr>
                <w:lang w:val="pt-BR"/>
              </w:rPr>
              <w:t xml:space="preserve">(29)</w:t>
            </w:r>
          </w:p>
        </w:tc>
      </w:tr>
    </w:tbl>
    <w:p>
      <w:pPr>
        <w:rPr>
          <w:lang w:val="pt-BR"/>
        </w:rPr>
      </w:pPr>
      <w:r>
        <w:rPr>
          <w:lang w:val="pt-BR"/>
        </w:rPr>
        <w:t xml:space="preserve">em que τ</w:t>
      </w:r>
      <w:r>
        <w:rPr>
          <w:vertAlign w:val="subscript"/>
          <w:lang w:val="pt-BR"/>
        </w:rPr>
        <w:t xml:space="preserve">g,s</w:t>
      </w:r>
      <w:r>
        <w:rPr>
          <w:lang w:val="pt-BR"/>
        </w:rPr>
        <w:t xml:space="preserve"> é o torque gravitacional com sinal e Q</w:t>
      </w:r>
      <w:r>
        <w:rPr>
          <w:vertAlign w:val="subscript"/>
          <w:lang w:val="pt-BR"/>
        </w:rPr>
        <w:t xml:space="preserve">nc</w:t>
      </w:r>
      <w:r>
        <w:rPr>
          <w:lang w:val="pt-BR"/>
        </w:rPr>
        <w:t xml:space="preserve"> reúne os esforços não conservativos, como o atrito. A verificação prevista compreende a conservação da energia na ausência de dissipação, a recuperação do resultado estático quando as velocidades tendem a zero e a consistência entre o braço de momento e a derivada do caminho do cabo, esta última já cumprida no modelo estático (seção 4.3). No acoplamento ao MBDyn, que integra o sistema multicorpos pela formulação de Masarati, Morandini e Mantegazza (2014), o gerador de torque entraria como força externa, com troca de configuração e de torque por socket a cada passo de integração, e a comparação com a integração própria, sob as mesmas condições iniciais, serviria de validação cruzada.</w:t>
      </w:r>
    </w:p>
    <w:p>
      <w:pPr>
        <w:rPr>
          <w:lang w:val="pt-BR"/>
        </w:rPr>
      </w:pPr>
      <w:r>
        <w:rPr>
          <w:lang w:val="pt-BR"/>
        </w:rPr>
        <w:t xml:space="preserve">As duas etapas dependem de um pré-requisito ainda não satisfeito: a Equação (29) soma o torque do cabo ao torque gravitacional e exige ambos na mesma unidade física. Enquanto K estiver referido à ordenada sem unidade da patente, a integração da equação de movimento não tem significado físico.</w:t>
      </w:r>
    </w:p>
    <w:p>
      <w:pPr>
        <w:pStyle w:val="Ttulo2"/>
        <w:rPr>
          <w:lang w:val="pt-BR"/>
        </w:rPr>
      </w:pPr>
      <w:r>
        <w:rPr>
          <w:lang w:val="pt-BR"/>
        </w:rPr>
        <w:t xml:space="preserve">3.13 Ferramentas e delimitação</w:t>
      </w:r>
    </w:p>
    <w:p>
      <w:pPr>
        <w:rPr>
          <w:lang w:val="pt-BR"/>
        </w:rPr>
      </w:pPr>
      <w:r>
        <w:rPr>
          <w:lang w:val="pt-BR"/>
        </w:rPr>
        <w:t xml:space="preserve">Foram empregados o Autodesk Fusion, para a reconstrução geométrica e a extração das propriedades de massa; uma planilha eletrônica, para o transporte de eixos e a composição inercial; e a linguagem Python, com a biblioteca NumPy (HARRIS et al., 2020) para o cálculo vetorizado, a biblioteca Matplotlib (HUNTER, 2007) para as figuras e o pytest para os testes automatizados. A identificação não depende de biblioteca de otimização: K tem forma fechada, Equação (25), e as demais grandezas são obtidas por varredura direta e por bissecção. O MBDyn, previsto para a simulação multicorpos, não foi empregado nesta etapa.</w:t>
      </w:r>
    </w:p>
    <w:p>
      <w:pPr>
        <w:rPr>
          <w:lang w:val="pt-BR"/>
        </w:rPr>
      </w:pPr>
      <w:r>
        <w:rPr>
          <w:lang w:val="pt-BR"/>
        </w:rPr>
        <w:t xml:space="preserve">Não integram o escopo a avaliação experimental com participantes humanos, a eletromiografia, a análise de conforto e usabilidade, a fabricação e o ensaio de protótipo e o dimensionamento estrutural dos elos. O modelo é plano e admite cabo inextensível, tambor sem atrito e mola linear sem tração inicial, F = K δ. Os parâmetros antropométricos correspondem ao indivíduo de referência adotado, e o torque gravitacional é calculado para o membro superior estendido, sem ferramenta na mão. O modelo não representa a protuberância que, na patente, cria a zona neutra após o ângulo de transição.</w:t>
      </w:r>
    </w:p>
    <w:p>
      <w:pPr>
        <w:pStyle w:val="Ttulo2"/>
        <w:rPr>
          <w:lang w:val="pt-BR"/>
        </w:rPr>
      </w:pPr>
      <w:r>
        <w:rPr>
          <w:lang w:val="pt-BR"/>
        </w:rPr>
        <w:t xml:space="preserve">4 RESULTADOS E DISCUSSÃO</w:t>
      </w:r>
    </w:p>
    <w:p>
      <w:pPr>
        <w:rPr>
          <w:lang w:val="pt-BR"/>
        </w:rPr>
      </w:pPr>
      <w:r>
        <w:rPr>
          <w:lang w:val="pt-BR"/>
        </w:rPr>
        <w:t xml:space="preserve">Este capítulo apresenta os resultados das etapas descritas nas seções 3.1 a 3.11, aplicadas ao gerador de torque da US 9.889.554 B2. Salvo indicação em contrário, os números foram obtidos com o modelo vigente e os parâmetros congelados K = 174,68, H</w:t>
      </w:r>
      <w:r>
        <w:rPr>
          <w:vertAlign w:val="subscript"/>
          <w:lang w:val="pt-BR"/>
        </w:rPr>
        <w:t xml:space="preserve">CAL</w:t>
      </w:r>
      <w:r>
        <w:rPr>
          <w:lang w:val="pt-BR"/>
        </w:rPr>
        <w:t xml:space="preserve"> = 22,701 mm e X</w:t>
      </w:r>
      <w:r>
        <w:rPr>
          <w:vertAlign w:val="subscript"/>
          <w:lang w:val="pt-BR"/>
        </w:rPr>
        <w:t xml:space="preserve">pose</w:t>
      </w:r>
      <w:r>
        <w:rPr>
          <w:lang w:val="pt-BR"/>
        </w:rPr>
        <w:t xml:space="preserve"> = 37,383 mm. As etapas dinâmicas da seção 3.12 e a aplicação do procedimento à US 9.737.374 B2 e à EP 3 504 033 B1 não foram executadas.</w:t>
      </w:r>
    </w:p>
    <w:p>
      <w:pPr>
        <w:pStyle w:val="Ttulo2"/>
        <w:rPr>
          <w:lang w:val="pt-BR"/>
        </w:rPr>
      </w:pPr>
      <w:r>
        <w:rPr>
          <w:lang w:val="pt-BR"/>
        </w:rPr>
        <w:t xml:space="preserve">4.1 Geometria reconstruída e propriedades de massa</w:t>
      </w:r>
    </w:p>
    <w:p>
      <w:pPr>
        <w:rPr>
          <w:lang w:val="pt-BR"/>
        </w:rPr>
      </w:pPr>
      <w:r>
        <w:rPr>
          <w:lang w:val="pt-BR"/>
        </w:rPr>
        <w:t xml:space="preserve">A reconstrução da vista em corte do gerador de torque forneceu as grandezas da Tabela 2. O fator de escala único, fixado pela razão entre o comprimento do elo distal reconstruído e o comprimento de segmento do indivíduo de referência, resultou em 0,870. Duas cotas divergem de uma versão anterior do modelo em CAD e permanecem a confirmar: o comprimento útil do alojamento (131,37 mm, contra 140,0 mm) e o comprimento da mola na pose (91,35 mm, contra 90,13 mm). A primeira não entra na cadeia de cálculo; a segunda afeta apenas o comprimento livre da mola a especificar, pois o modelo depende só da diferença X</w:t>
      </w:r>
      <w:r>
        <w:rPr>
          <w:vertAlign w:val="subscript"/>
          <w:lang w:val="pt-BR"/>
        </w:rPr>
        <w:t xml:space="preserve">pose</w:t>
      </w:r>
      <w:r>
        <w:rPr>
          <w:lang w:val="pt-BR"/>
        </w:rPr>
        <w:t xml:space="preserve"> (seção 3.6).</w:t>
      </w:r>
    </w:p>
    <w:p>
      <w:pPr>
        <w:keepNext/>
        <w:spacing w:before="120" w:after="60"/>
        <w:rPr>
          <w:lang w:val="pt-BR"/>
        </w:rPr>
      </w:pPr>
      <w:r>
        <w:rPr>
          <w:b/>
          <w:lang w:val="pt-BR"/>
        </w:rPr>
        <w:t xml:space="preserve">Tabela 2 — Grandezas medidas na reconstrução em CAD</w:t>
      </w:r>
    </w:p>
    <w:tbl>
      <w:tblPr>
        <w:tblStyle w:val="Tabelacomgrade"/>
        <w:tblW w:w="9360" w:type="dxa"/>
        <w:jc w:val="center"/>
        <w:tblLayout w:type="fixed"/>
        <w:tblLook w:val="0420" w:firstRow="1" w:lastRow="0" w:firstColumn="0" w:lastColumn="0" w:noHBand="0" w:noVBand="1"/>
      </w:tblPr>
      <w:tblGrid>
        <w:gridCol w:w="3260"/>
        <w:gridCol w:w="1300"/>
        <w:gridCol w:w="1200"/>
        <w:gridCol w:w="1300"/>
        <w:gridCol w:w="2300"/>
      </w:tblGrid>
      <w:tr>
        <w:trPr>
          <w:cantSplit/>
          <w:tblHeader/>
        </w:trPr>
        <w:tc>
          <w:tcPr>
            <w:tcW w:w="3260" w:type="dxa"/>
            <w:shd w:val="clear" w:color="auto" w:fill="F2F2F2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b/>
                <w:lang w:val="pt-BR"/>
              </w:rPr>
              <w:t xml:space="preserve">Grandeza</w:t>
            </w:r>
          </w:p>
        </w:tc>
        <w:tc>
          <w:tcPr>
            <w:tcW w:w="1300" w:type="dxa"/>
            <w:shd w:val="clear" w:color="auto" w:fill="F2F2F2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b/>
                <w:lang w:val="pt-BR"/>
              </w:rPr>
              <w:t xml:space="preserve">Símbolo</w:t>
            </w:r>
          </w:p>
        </w:tc>
        <w:tc>
          <w:tcPr>
            <w:tcW w:w="1200" w:type="dxa"/>
            <w:shd w:val="clear" w:color="auto" w:fill="F2F2F2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b/>
                <w:lang w:val="pt-BR"/>
              </w:rPr>
              <w:t xml:space="preserve">Valor</w:t>
            </w:r>
          </w:p>
        </w:tc>
        <w:tc>
          <w:tcPr>
            <w:tcW w:w="1300" w:type="dxa"/>
            <w:shd w:val="clear" w:color="auto" w:fill="F2F2F2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b/>
                <w:lang w:val="pt-BR"/>
              </w:rPr>
              <w:t xml:space="preserve">Unidade</w:t>
            </w:r>
          </w:p>
        </w:tc>
        <w:tc>
          <w:tcPr>
            <w:tcW w:w="2300" w:type="dxa"/>
            <w:shd w:val="clear" w:color="auto" w:fill="F2F2F2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b/>
                <w:lang w:val="pt-BR"/>
              </w:rPr>
              <w:t xml:space="preserve">Origem</w:t>
            </w:r>
          </w:p>
        </w:tc>
      </w:tr>
      <w:tr>
        <w:trPr>
          <w:cantSplit/>
        </w:trPr>
        <w:tc>
          <w:tcPr>
            <w:tcW w:w="3260" w:type="dxa"/>
            <w:vAlign w:val="center"/>
          </w:tcPr>
          <w:p>
            <w:pPr>
              <w:keepNext/>
              <w:spacing w:before="20" w:after="20" w:line="240" w:lineRule="auto"/>
              <w:jc w:val="left"/>
              <w:rPr>
                <w:lang w:val="pt-BR"/>
              </w:rPr>
            </w:pPr>
            <w:r>
              <w:rPr>
                <w:lang w:val="pt-BR"/>
              </w:rPr>
              <w:t xml:space="preserve">Componente perpendicular do vetor pivô–ancoragem</w:t>
            </w:r>
          </w:p>
        </w:tc>
        <w:tc>
          <w:tcPr>
            <w:tcW w:w="13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 xml:space="preserve">p</w:t>
            </w:r>
          </w:p>
        </w:tc>
        <w:tc>
          <w:tcPr>
            <w:tcW w:w="12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 xml:space="preserve">3,155</w:t>
            </w:r>
          </w:p>
        </w:tc>
        <w:tc>
          <w:tcPr>
            <w:tcW w:w="13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 xml:space="preserve">mm</w:t>
            </w:r>
          </w:p>
        </w:tc>
        <w:tc>
          <w:tcPr>
            <w:tcW w:w="23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 xml:space="preserve">CAD</w:t>
            </w:r>
          </w:p>
        </w:tc>
      </w:tr>
      <w:tr>
        <w:trPr>
          <w:cantSplit/>
        </w:trPr>
        <w:tc>
          <w:tcPr>
            <w:tcW w:w="3260" w:type="dxa"/>
            <w:vAlign w:val="center"/>
          </w:tcPr>
          <w:p>
            <w:pPr>
              <w:keepNext/>
              <w:spacing w:before="20" w:after="20" w:line="240" w:lineRule="auto"/>
              <w:jc w:val="left"/>
              <w:rPr>
                <w:lang w:val="pt-BR"/>
              </w:rPr>
            </w:pPr>
            <w:r>
              <w:rPr>
                <w:lang w:val="pt-BR"/>
              </w:rPr>
              <w:t xml:space="preserve">Distância do pivô ao centro do tambor</w:t>
            </w:r>
          </w:p>
        </w:tc>
        <w:tc>
          <w:tcPr>
            <w:tcW w:w="13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 xml:space="preserve">C</w:t>
            </w:r>
          </w:p>
        </w:tc>
        <w:tc>
          <w:tcPr>
            <w:tcW w:w="12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 xml:space="preserve">283,438</w:t>
            </w:r>
          </w:p>
        </w:tc>
        <w:tc>
          <w:tcPr>
            <w:tcW w:w="13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 xml:space="preserve">mm</w:t>
            </w:r>
          </w:p>
        </w:tc>
        <w:tc>
          <w:tcPr>
            <w:tcW w:w="23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 xml:space="preserve">CAD</w:t>
            </w:r>
          </w:p>
        </w:tc>
      </w:tr>
      <w:tr>
        <w:trPr>
          <w:cantSplit/>
        </w:trPr>
        <w:tc>
          <w:tcPr>
            <w:tcW w:w="3260" w:type="dxa"/>
            <w:vAlign w:val="center"/>
          </w:tcPr>
          <w:p>
            <w:pPr>
              <w:keepNext/>
              <w:spacing w:before="20" w:after="20" w:line="240" w:lineRule="auto"/>
              <w:jc w:val="left"/>
              <w:rPr>
                <w:lang w:val="pt-BR"/>
              </w:rPr>
            </w:pPr>
            <w:r>
              <w:rPr>
                <w:lang w:val="pt-BR"/>
              </w:rPr>
              <w:t xml:space="preserve">Raio do tambor</w:t>
            </w:r>
          </w:p>
        </w:tc>
        <w:tc>
          <w:tcPr>
            <w:tcW w:w="13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 xml:space="preserve">R</w:t>
            </w:r>
          </w:p>
        </w:tc>
        <w:tc>
          <w:tcPr>
            <w:tcW w:w="12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 xml:space="preserve">22,827</w:t>
            </w:r>
          </w:p>
        </w:tc>
        <w:tc>
          <w:tcPr>
            <w:tcW w:w="13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 xml:space="preserve">mm</w:t>
            </w:r>
          </w:p>
        </w:tc>
        <w:tc>
          <w:tcPr>
            <w:tcW w:w="23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 xml:space="preserve">CAD</w:t>
            </w:r>
          </w:p>
        </w:tc>
      </w:tr>
      <w:tr>
        <w:trPr>
          <w:cantSplit/>
        </w:trPr>
        <w:tc>
          <w:tcPr>
            <w:tcW w:w="3260" w:type="dxa"/>
            <w:vAlign w:val="center"/>
          </w:tcPr>
          <w:p>
            <w:pPr>
              <w:keepNext/>
              <w:spacing w:before="20" w:after="20" w:line="240" w:lineRule="auto"/>
              <w:jc w:val="left"/>
              <w:rPr>
                <w:lang w:val="pt-BR"/>
              </w:rPr>
            </w:pPr>
            <w:r>
              <w:rPr>
                <w:lang w:val="pt-BR"/>
              </w:rPr>
              <w:t xml:space="preserve">Defasagem angular do desenho</w:t>
            </w:r>
          </w:p>
        </w:tc>
        <w:tc>
          <w:tcPr>
            <w:tcW w:w="13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 xml:space="preserve">α</w:t>
            </w:r>
          </w:p>
        </w:tc>
        <w:tc>
          <w:tcPr>
            <w:tcW w:w="12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 xml:space="preserve">20,428</w:t>
            </w:r>
          </w:p>
        </w:tc>
        <w:tc>
          <w:tcPr>
            <w:tcW w:w="13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 xml:space="preserve">graus</w:t>
            </w:r>
          </w:p>
        </w:tc>
        <w:tc>
          <w:tcPr>
            <w:tcW w:w="23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 xml:space="preserve">CAD</w:t>
            </w:r>
          </w:p>
        </w:tc>
      </w:tr>
      <w:tr>
        <w:trPr>
          <w:cantSplit/>
        </w:trPr>
        <w:tc>
          <w:tcPr>
            <w:tcW w:w="3260" w:type="dxa"/>
            <w:vAlign w:val="center"/>
          </w:tcPr>
          <w:p>
            <w:pPr>
              <w:keepNext/>
              <w:spacing w:before="20" w:after="20" w:line="240" w:lineRule="auto"/>
              <w:jc w:val="left"/>
              <w:rPr>
                <w:lang w:val="pt-BR"/>
              </w:rPr>
            </w:pPr>
            <w:r>
              <w:rPr>
                <w:lang w:val="pt-BR"/>
              </w:rPr>
              <w:t xml:space="preserve">Ângulo do mecanismo na pose de referência</w:t>
            </w:r>
          </w:p>
        </w:tc>
        <w:tc>
          <w:tcPr>
            <w:tcW w:w="13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 xml:space="preserve">θ*</w:t>
            </w:r>
            <w:r>
              <w:rPr>
                <w:vertAlign w:val="subscript"/>
                <w:lang w:val="pt-BR"/>
              </w:rPr>
              <w:t xml:space="preserve">pose</w:t>
            </w:r>
          </w:p>
        </w:tc>
        <w:tc>
          <w:tcPr>
            <w:tcW w:w="12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 xml:space="preserve">115,017</w:t>
            </w:r>
          </w:p>
        </w:tc>
        <w:tc>
          <w:tcPr>
            <w:tcW w:w="13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 xml:space="preserve">graus</w:t>
            </w:r>
          </w:p>
        </w:tc>
        <w:tc>
          <w:tcPr>
            <w:tcW w:w="23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 xml:space="preserve">CAD</w:t>
            </w:r>
          </w:p>
        </w:tc>
      </w:tr>
      <w:tr>
        <w:trPr>
          <w:cantSplit/>
        </w:trPr>
        <w:tc>
          <w:tcPr>
            <w:tcW w:w="3260" w:type="dxa"/>
            <w:vAlign w:val="center"/>
          </w:tcPr>
          <w:p>
            <w:pPr>
              <w:keepNext/>
              <w:spacing w:before="20" w:after="20" w:line="240" w:lineRule="auto"/>
              <w:jc w:val="left"/>
              <w:rPr>
                <w:lang w:val="pt-BR"/>
              </w:rPr>
            </w:pPr>
            <w:r>
              <w:rPr>
                <w:lang w:val="pt-BR"/>
              </w:rPr>
              <w:t xml:space="preserve">Comprimento da mola na pose</w:t>
            </w:r>
          </w:p>
        </w:tc>
        <w:tc>
          <w:tcPr>
            <w:tcW w:w="13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 xml:space="preserve">L</w:t>
            </w:r>
            <w:r>
              <w:rPr>
                <w:vertAlign w:val="subscript"/>
                <w:lang w:val="pt-BR"/>
              </w:rPr>
              <w:t xml:space="preserve">pose</w:t>
            </w:r>
          </w:p>
        </w:tc>
        <w:tc>
          <w:tcPr>
            <w:tcW w:w="12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 xml:space="preserve">91,35</w:t>
            </w:r>
          </w:p>
        </w:tc>
        <w:tc>
          <w:tcPr>
            <w:tcW w:w="13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 xml:space="preserve">mm</w:t>
            </w:r>
          </w:p>
        </w:tc>
        <w:tc>
          <w:tcPr>
            <w:tcW w:w="23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 xml:space="preserve">CAD, a confirmar</w:t>
            </w:r>
          </w:p>
        </w:tc>
      </w:tr>
      <w:tr>
        <w:trPr>
          <w:cantSplit/>
        </w:trPr>
        <w:tc>
          <w:tcPr>
            <w:tcW w:w="3260" w:type="dxa"/>
            <w:vAlign w:val="center"/>
          </w:tcPr>
          <w:p>
            <w:pPr>
              <w:keepNext/>
              <w:spacing w:before="20" w:after="20" w:line="240" w:lineRule="auto"/>
              <w:jc w:val="left"/>
              <w:rPr>
                <w:lang w:val="pt-BR"/>
              </w:rPr>
            </w:pPr>
            <w:r>
              <w:rPr>
                <w:lang w:val="pt-BR"/>
              </w:rPr>
              <w:t xml:space="preserve">Comprimento útil do alojamento</w:t>
            </w:r>
          </w:p>
        </w:tc>
        <w:tc>
          <w:tcPr>
            <w:tcW w:w="13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 xml:space="preserve">L</w:t>
            </w:r>
            <w:r>
              <w:rPr>
                <w:vertAlign w:val="subscript"/>
                <w:lang w:val="pt-BR"/>
              </w:rPr>
              <w:t xml:space="preserve">carc</w:t>
            </w:r>
          </w:p>
        </w:tc>
        <w:tc>
          <w:tcPr>
            <w:tcW w:w="12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 xml:space="preserve">131,37</w:t>
            </w:r>
          </w:p>
        </w:tc>
        <w:tc>
          <w:tcPr>
            <w:tcW w:w="13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 xml:space="preserve">mm</w:t>
            </w:r>
          </w:p>
        </w:tc>
        <w:tc>
          <w:tcPr>
            <w:tcW w:w="23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 xml:space="preserve">CAD, a confirmar</w:t>
            </w:r>
          </w:p>
        </w:tc>
      </w:tr>
      <w:tr>
        <w:trPr>
          <w:cantSplit/>
        </w:trPr>
        <w:tc>
          <w:tcPr>
            <w:tcW w:w="3260" w:type="dxa"/>
            <w:vAlign w:val="center"/>
          </w:tcPr>
          <w:p>
            <w:pPr>
              <w:keepNext/>
              <w:spacing w:before="20" w:after="20" w:line="240" w:lineRule="auto"/>
              <w:jc w:val="left"/>
              <w:rPr>
                <w:lang w:val="pt-BR"/>
              </w:rPr>
            </w:pPr>
            <w:r>
              <w:rPr>
                <w:lang w:val="pt-BR"/>
              </w:rPr>
              <w:t xml:space="preserve">Posição da ancoragem conforme desenhada</w:t>
            </w:r>
          </w:p>
        </w:tc>
        <w:tc>
          <w:tcPr>
            <w:tcW w:w="13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 xml:space="preserve">H</w:t>
            </w:r>
            <w:r>
              <w:rPr>
                <w:vertAlign w:val="subscript"/>
                <w:lang w:val="pt-BR"/>
              </w:rPr>
              <w:t xml:space="preserve">CAD</w:t>
            </w:r>
          </w:p>
        </w:tc>
        <w:tc>
          <w:tcPr>
            <w:tcW w:w="12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 xml:space="preserve">34,785</w:t>
            </w:r>
          </w:p>
        </w:tc>
        <w:tc>
          <w:tcPr>
            <w:tcW w:w="13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 xml:space="preserve">mm</w:t>
            </w:r>
          </w:p>
        </w:tc>
        <w:tc>
          <w:tcPr>
            <w:tcW w:w="23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 xml:space="preserve">Documental</w:t>
            </w:r>
          </w:p>
        </w:tc>
      </w:tr>
    </w:tbl>
    <w:p>
      <w:pPr>
        <w:spacing w:before="60" w:after="60"/>
        <w:rPr>
          <w:lang w:val="pt-BR"/>
        </w:rPr>
      </w:pPr>
      <w:r>
        <w:rPr>
          <w:sz w:val="20"/>
          <w:szCs w:val="20"/>
          <w:lang w:val="pt-BR"/>
        </w:rPr>
        <w:t xml:space="preserve">Fonte: elaborada pelo autor.</w:t>
      </w:r>
    </w:p>
    <w:p>
      <w:pPr>
        <w:rPr>
          <w:lang w:val="pt-BR"/>
        </w:rPr>
      </w:pPr>
      <w:r>
        <w:rPr>
          <w:lang w:val="pt-BR"/>
        </w:rPr>
        <w:t xml:space="preserve">A composição inercial do conjunto braço–exoesqueleto, obtida pelo transporte dos momentos ao eixo da junta, consta da Tabela 3. Os segmentos do membro seguem de Leva (1996) para o indivíduo masculino de referência, de 73,0 kg e 1,741 m, com o cotovelo estendido; as peças do exoesqueleto provêm do modelo em CAD, escaladas pelo fator único.</w:t>
      </w:r>
    </w:p>
    <w:p>
      <w:pPr>
        <w:keepNext/>
        <w:spacing w:before="120" w:after="60"/>
        <w:rPr>
          <w:lang w:val="pt-BR"/>
        </w:rPr>
      </w:pPr>
      <w:r>
        <w:rPr>
          <w:b/>
          <w:lang w:val="pt-BR"/>
        </w:rPr>
        <w:t xml:space="preserve">Tabela 3 — Propriedades de massa do conjunto braço–exoesqueleto</w:t>
      </w:r>
    </w:p>
    <w:tbl>
      <w:tblPr>
        <w:tblStyle w:val="Tabelacomgrade"/>
        <w:tblW w:w="9360" w:type="dxa"/>
        <w:jc w:val="center"/>
        <w:tblLayout w:type="fixed"/>
        <w:tblLook w:val="0420" w:firstRow="1" w:lastRow="0" w:firstColumn="0" w:lastColumn="0" w:noHBand="0" w:noVBand="1"/>
      </w:tblPr>
      <w:tblGrid>
        <w:gridCol w:w="4560"/>
        <w:gridCol w:w="2800"/>
        <w:gridCol w:w="2000"/>
      </w:tblGrid>
      <w:tr>
        <w:trPr>
          <w:cantSplit/>
          <w:tblHeader/>
        </w:trPr>
        <w:tc>
          <w:tcPr>
            <w:tcW w:w="4560" w:type="dxa"/>
            <w:shd w:val="clear" w:color="auto" w:fill="F2F2F2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b/>
                <w:lang w:val="pt-BR"/>
              </w:rPr>
              <w:t xml:space="preserve">Grandeza</w:t>
            </w:r>
          </w:p>
        </w:tc>
        <w:tc>
          <w:tcPr>
            <w:tcW w:w="2800" w:type="dxa"/>
            <w:shd w:val="clear" w:color="auto" w:fill="F2F2F2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b/>
                <w:lang w:val="pt-BR"/>
              </w:rPr>
              <w:t xml:space="preserve">Valor</w:t>
            </w:r>
          </w:p>
        </w:tc>
        <w:tc>
          <w:tcPr>
            <w:tcW w:w="2000" w:type="dxa"/>
            <w:shd w:val="clear" w:color="auto" w:fill="F2F2F2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b/>
                <w:lang w:val="pt-BR"/>
              </w:rPr>
              <w:t xml:space="preserve">Unidade</w:t>
            </w:r>
          </w:p>
        </w:tc>
      </w:tr>
      <w:tr>
        <w:trPr>
          <w:cantSplit/>
        </w:trPr>
        <w:tc>
          <w:tcPr>
            <w:tcW w:w="4560" w:type="dxa"/>
            <w:vAlign w:val="center"/>
          </w:tcPr>
          <w:p>
            <w:pPr>
              <w:keepNext/>
              <w:spacing w:before="20" w:after="20" w:line="240" w:lineRule="auto"/>
              <w:jc w:val="left"/>
              <w:rPr>
                <w:lang w:val="pt-BR"/>
              </w:rPr>
            </w:pPr>
            <w:r>
              <w:rPr>
                <w:lang w:val="pt-BR"/>
              </w:rPr>
              <w:t xml:space="preserve">Massa total do conjunto, M</w:t>
            </w:r>
          </w:p>
        </w:tc>
        <w:tc>
          <w:tcPr>
            <w:tcW w:w="28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 xml:space="preserve">4,034309</w:t>
            </w:r>
          </w:p>
        </w:tc>
        <w:tc>
          <w:tcPr>
            <w:tcW w:w="20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 xml:space="preserve">kg</w:t>
            </w:r>
          </w:p>
        </w:tc>
      </w:tr>
      <w:tr>
        <w:trPr>
          <w:cantSplit/>
        </w:trPr>
        <w:tc>
          <w:tcPr>
            <w:tcW w:w="4560" w:type="dxa"/>
            <w:vAlign w:val="center"/>
          </w:tcPr>
          <w:p>
            <w:pPr>
              <w:keepNext/>
              <w:spacing w:before="20" w:after="20" w:line="240" w:lineRule="auto"/>
              <w:jc w:val="left"/>
              <w:rPr>
                <w:lang w:val="pt-BR"/>
              </w:rPr>
            </w:pPr>
            <w:r>
              <w:rPr>
                <w:lang w:val="pt-BR"/>
              </w:rPr>
              <w:t xml:space="preserve">Centro de massa na pose de referência, (x</w:t>
            </w:r>
            <w:r>
              <w:rPr>
                <w:vertAlign w:val="subscript"/>
                <w:lang w:val="pt-BR"/>
              </w:rPr>
              <w:t xml:space="preserve">cm</w:t>
            </w:r>
            <w:r>
              <w:rPr>
                <w:lang w:val="pt-BR"/>
              </w:rPr>
              <w:t xml:space="preserve">; y</w:t>
            </w:r>
            <w:r>
              <w:rPr>
                <w:vertAlign w:val="subscript"/>
                <w:lang w:val="pt-BR"/>
              </w:rPr>
              <w:t xml:space="preserve">cm</w:t>
            </w:r>
            <w:r>
              <w:rPr>
                <w:lang w:val="pt-BR"/>
              </w:rPr>
              <w:t xml:space="preserve">)</w:t>
            </w:r>
          </w:p>
        </w:tc>
        <w:tc>
          <w:tcPr>
            <w:tcW w:w="28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 xml:space="preserve">(−281,432; −19,812)</w:t>
            </w:r>
          </w:p>
        </w:tc>
        <w:tc>
          <w:tcPr>
            <w:tcW w:w="20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 xml:space="preserve">mm</w:t>
            </w:r>
          </w:p>
        </w:tc>
      </w:tr>
      <w:tr>
        <w:trPr>
          <w:cantSplit/>
        </w:trPr>
        <w:tc>
          <w:tcPr>
            <w:tcW w:w="4560" w:type="dxa"/>
            <w:vAlign w:val="center"/>
          </w:tcPr>
          <w:p>
            <w:pPr>
              <w:keepNext/>
              <w:spacing w:before="20" w:after="20" w:line="240" w:lineRule="auto"/>
              <w:jc w:val="left"/>
              <w:rPr>
                <w:lang w:val="pt-BR"/>
              </w:rPr>
            </w:pPr>
            <w:r>
              <w:rPr>
                <w:lang w:val="pt-BR"/>
              </w:rPr>
              <w:t xml:space="preserve">Distância do centro de massa ao eixo, d</w:t>
            </w:r>
          </w:p>
        </w:tc>
        <w:tc>
          <w:tcPr>
            <w:tcW w:w="28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 xml:space="preserve">282,128</w:t>
            </w:r>
          </w:p>
        </w:tc>
        <w:tc>
          <w:tcPr>
            <w:tcW w:w="20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 xml:space="preserve">mm</w:t>
            </w:r>
          </w:p>
        </w:tc>
      </w:tr>
      <w:tr>
        <w:trPr>
          <w:cantSplit/>
        </w:trPr>
        <w:tc>
          <w:tcPr>
            <w:tcW w:w="4560" w:type="dxa"/>
            <w:vAlign w:val="center"/>
          </w:tcPr>
          <w:p>
            <w:pPr>
              <w:keepNext/>
              <w:spacing w:before="20" w:after="20" w:line="240" w:lineRule="auto"/>
              <w:jc w:val="left"/>
              <w:rPr>
                <w:lang w:val="pt-BR"/>
              </w:rPr>
            </w:pPr>
            <w:r>
              <w:rPr>
                <w:lang w:val="pt-BR"/>
              </w:rPr>
              <w:t xml:space="preserve">Momento de inércia no eixo da junta, I</w:t>
            </w:r>
            <w:r>
              <w:rPr>
                <w:vertAlign w:val="subscript"/>
                <w:lang w:val="pt-BR"/>
              </w:rPr>
              <w:t xml:space="preserve">O</w:t>
            </w:r>
          </w:p>
        </w:tc>
        <w:tc>
          <w:tcPr>
            <w:tcW w:w="28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 xml:space="preserve">0,448227</w:t>
            </w:r>
          </w:p>
        </w:tc>
        <w:tc>
          <w:tcPr>
            <w:tcW w:w="20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 xml:space="preserve">kg·m</w:t>
            </w:r>
            <w:r>
              <w:rPr>
                <w:vertAlign w:val="superscript"/>
                <w:lang w:val="pt-BR"/>
              </w:rPr>
              <w:t xml:space="preserve">2</w:t>
            </w:r>
          </w:p>
        </w:tc>
      </w:tr>
      <w:tr>
        <w:trPr>
          <w:cantSplit/>
        </w:trPr>
        <w:tc>
          <w:tcPr>
            <w:tcW w:w="4560" w:type="dxa"/>
            <w:vAlign w:val="center"/>
          </w:tcPr>
          <w:p>
            <w:pPr>
              <w:keepNext/>
              <w:spacing w:before="20" w:after="20" w:line="240" w:lineRule="auto"/>
              <w:jc w:val="left"/>
              <w:rPr>
                <w:lang w:val="pt-BR"/>
              </w:rPr>
            </w:pPr>
            <w:r>
              <w:rPr>
                <w:lang w:val="pt-BR"/>
              </w:rPr>
              <w:t xml:space="preserve">Momento de inércia no centro de massa, I</w:t>
            </w:r>
            <w:r>
              <w:rPr>
                <w:vertAlign w:val="subscript"/>
                <w:lang w:val="pt-BR"/>
              </w:rPr>
              <w:t xml:space="preserve">cm</w:t>
            </w:r>
          </w:p>
        </w:tc>
        <w:tc>
          <w:tcPr>
            <w:tcW w:w="28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 xml:space="preserve">0,127111</w:t>
            </w:r>
          </w:p>
        </w:tc>
        <w:tc>
          <w:tcPr>
            <w:tcW w:w="20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 xml:space="preserve">kg·m</w:t>
            </w:r>
            <w:r>
              <w:rPr>
                <w:vertAlign w:val="superscript"/>
                <w:lang w:val="pt-BR"/>
              </w:rPr>
              <w:t xml:space="preserve">2</w:t>
            </w:r>
          </w:p>
        </w:tc>
      </w:tr>
      <w:tr>
        <w:trPr>
          <w:cantSplit/>
        </w:trPr>
        <w:tc>
          <w:tcPr>
            <w:tcW w:w="4560" w:type="dxa"/>
            <w:vAlign w:val="center"/>
          </w:tcPr>
          <w:p>
            <w:pPr>
              <w:keepNext/>
              <w:spacing w:before="20" w:after="20" w:line="240" w:lineRule="auto"/>
              <w:jc w:val="left"/>
              <w:rPr>
                <w:lang w:val="pt-BR"/>
              </w:rPr>
            </w:pPr>
            <w:r>
              <w:rPr>
                <w:lang w:val="pt-BR"/>
              </w:rPr>
              <w:t xml:space="preserve">Amplitude do momento gravitacional, M g d</w:t>
            </w:r>
          </w:p>
        </w:tc>
        <w:tc>
          <w:tcPr>
            <w:tcW w:w="28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 xml:space="preserve">11,1619</w:t>
            </w:r>
          </w:p>
        </w:tc>
        <w:tc>
          <w:tcPr>
            <w:tcW w:w="20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 xml:space="preserve">N·m</w:t>
            </w:r>
          </w:p>
        </w:tc>
      </w:tr>
    </w:tbl>
    <w:p>
      <w:pPr>
        <w:spacing w:before="60" w:after="60"/>
        <w:rPr>
          <w:lang w:val="pt-BR"/>
        </w:rPr>
      </w:pPr>
      <w:r>
        <w:rPr>
          <w:sz w:val="20"/>
          <w:szCs w:val="20"/>
          <w:lang w:val="pt-BR"/>
        </w:rPr>
        <w:t xml:space="preserve">Fonte: elaborada pelo autor.</w:t>
      </w:r>
    </w:p>
    <w:p>
      <w:pPr>
        <w:rPr>
          <w:lang w:val="pt-BR"/>
        </w:rPr>
      </w:pPr>
      <w:r>
        <w:rPr>
          <w:lang w:val="pt-BR"/>
        </w:rPr>
        <w:t xml:space="preserve">A consistência interna da Tabela 3 foi conferida: I</w:t>
      </w:r>
      <w:r>
        <w:rPr>
          <w:vertAlign w:val="subscript"/>
          <w:lang w:val="pt-BR"/>
        </w:rPr>
        <w:t xml:space="preserve">cm</w:t>
      </w:r>
      <w:r>
        <w:rPr>
          <w:lang w:val="pt-BR"/>
        </w:rPr>
        <w:t xml:space="preserve"> + M d</w:t>
      </w:r>
      <w:r>
        <w:rPr>
          <w:vertAlign w:val="superscript"/>
          <w:lang w:val="pt-BR"/>
        </w:rPr>
        <w:t xml:space="preserve">2</w:t>
      </w:r>
      <w:r>
        <w:rPr>
          <w:lang w:val="pt-BR"/>
        </w:rPr>
        <w:t xml:space="preserve"> = 0,127111 + 0,321116 = 0,448227 kg·m</w:t>
      </w:r>
      <w:r>
        <w:rPr>
          <w:vertAlign w:val="superscript"/>
          <w:lang w:val="pt-BR"/>
        </w:rPr>
        <w:t xml:space="preserve">2</w:t>
      </w:r>
      <w:r>
        <w:rPr>
          <w:lang w:val="pt-BR"/>
        </w:rPr>
        <w:t xml:space="preserve">, igual ao momento de inércia no eixo da junta, conforme a Equação (1); e M g d = 11,1619 N·m coincide com o pico do torque gravitacional calculado pela Equação (24) (seção 4.8). O momento de inércia destina-se à etapa dinâmica, não executada, e não participa do cálculo do torque estático.</w:t>
      </w:r>
    </w:p>
    <w:p>
      <w:pPr>
        <w:pStyle w:val="Ttulo2"/>
        <w:rPr>
          <w:lang w:val="pt-BR"/>
        </w:rPr>
      </w:pPr>
      <w:r>
        <w:rPr>
          <w:lang w:val="pt-BR"/>
        </w:rPr>
        <w:t xml:space="preserve">4.2 Dados extraídos da patente</w:t>
      </w:r>
    </w:p>
    <w:p>
      <w:pPr>
        <w:rPr>
          <w:lang w:val="pt-BR"/>
        </w:rPr>
      </w:pPr>
      <w:r>
        <w:rPr>
          <w:lang w:val="pt-BR"/>
        </w:rPr>
        <w:t xml:space="preserve">A Tabela 4 reúne os 29 pontos extraídos da curva da patente, na ordem da extração, com os ângulos correspondentes nas convenções da seção 3.3, o torque calculado pelo modelo com os parâmetros congelados e o resíduo. Os pontos cobrem θ* de 42,909° a 193,017°, isto é, elevação de 180,1° a 30,0°, com espaçamento irregular, de 2,87° a 8,03° em θ*. O maior valor extraído, 147,310 u.p., ocorre em θ* = 123,196° (elevação de 99,8°), e a média dos 29 valores é 81,840 u.p. Os valores são expressos em u.p. porque a figura de origem não declara unidade (seção 2.10).</w:t>
      </w:r>
    </w:p>
    <w:p>
      <w:pPr>
        <w:keepNext/>
        <w:spacing w:before="120" w:after="60"/>
        <w:rPr>
          <w:lang w:val="pt-BR"/>
        </w:rPr>
      </w:pPr>
      <w:r>
        <w:rPr>
          <w:b/>
          <w:lang w:val="pt-BR"/>
        </w:rPr>
        <w:t xml:space="preserve">Tabela 4 — Pontos extraídos da curva da patente e torque calculado pelo modelo</w:t>
      </w:r>
    </w:p>
    <w:tbl>
      <w:tblPr>
        <w:tblStyle w:val="Tabelacomgrade"/>
        <w:tblW w:w="9360" w:type="dxa"/>
        <w:jc w:val="center"/>
        <w:tblLayout w:type="fixed"/>
        <w:tblLook w:val="0420" w:firstRow="1" w:lastRow="0" w:firstColumn="0" w:lastColumn="0" w:noHBand="0" w:noVBand="1"/>
      </w:tblPr>
      <w:tblGrid>
        <w:gridCol w:w="700"/>
        <w:gridCol w:w="1300"/>
        <w:gridCol w:w="1300"/>
        <w:gridCol w:w="1300"/>
        <w:gridCol w:w="1600"/>
        <w:gridCol w:w="1580"/>
        <w:gridCol w:w="1580"/>
      </w:tblGrid>
      <w:tr>
        <w:trPr>
          <w:cantSplit/>
          <w:tblHeader/>
        </w:trPr>
        <w:tc>
          <w:tcPr>
            <w:tcW w:w="700" w:type="dxa"/>
            <w:shd w:val="clear" w:color="auto" w:fill="F2F2F2"/>
            <w:vAlign w:val="center"/>
          </w:tcPr>
          <w:p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b/>
                <w:sz w:val="20"/>
                <w:szCs w:val="20"/>
                <w:lang w:val="pt-BR"/>
              </w:rPr>
              <w:t xml:space="preserve">Nº</w:t>
            </w:r>
          </w:p>
        </w:tc>
        <w:tc>
          <w:tcPr>
            <w:tcW w:w="1300" w:type="dxa"/>
            <w:shd w:val="clear" w:color="auto" w:fill="F2F2F2"/>
            <w:vAlign w:val="center"/>
          </w:tcPr>
          <w:p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b/>
                <w:sz w:val="20"/>
                <w:szCs w:val="20"/>
                <w:lang w:val="pt-BR"/>
              </w:rPr>
              <w:t xml:space="preserve">θ* (°)</w:t>
            </w:r>
          </w:p>
        </w:tc>
        <w:tc>
          <w:tcPr>
            <w:tcW w:w="1300" w:type="dxa"/>
            <w:shd w:val="clear" w:color="auto" w:fill="F2F2F2"/>
            <w:vAlign w:val="center"/>
          </w:tcPr>
          <w:p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b/>
                <w:sz w:val="20"/>
                <w:szCs w:val="20"/>
                <w:lang w:val="pt-BR"/>
              </w:rPr>
              <w:t xml:space="preserve">φ</w:t>
            </w:r>
            <w:r>
              <w:rPr>
                <w:b/>
                <w:sz w:val="20"/>
                <w:szCs w:val="20"/>
                <w:vertAlign w:val="subscript"/>
                <w:lang w:val="pt-BR"/>
              </w:rPr>
              <w:t xml:space="preserve">pat</w:t>
            </w:r>
            <w:r>
              <w:rPr>
                <w:b/>
                <w:sz w:val="20"/>
                <w:szCs w:val="20"/>
                <w:lang w:val="pt-BR"/>
              </w:rPr>
              <w:t xml:space="preserve"> (°)</w:t>
            </w:r>
          </w:p>
        </w:tc>
        <w:tc>
          <w:tcPr>
            <w:tcW w:w="1300" w:type="dxa"/>
            <w:shd w:val="clear" w:color="auto" w:fill="F2F2F2"/>
            <w:vAlign w:val="center"/>
          </w:tcPr>
          <w:p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b/>
                <w:sz w:val="20"/>
                <w:szCs w:val="20"/>
                <w:lang w:val="pt-BR"/>
              </w:rPr>
              <w:t xml:space="preserve">θ</w:t>
            </w:r>
            <w:r>
              <w:rPr>
                <w:b/>
                <w:sz w:val="20"/>
                <w:szCs w:val="20"/>
                <w:vertAlign w:val="subscript"/>
                <w:lang w:val="pt-BR"/>
              </w:rPr>
              <w:t xml:space="preserve">el</w:t>
            </w:r>
            <w:r>
              <w:rPr>
                <w:b/>
                <w:sz w:val="20"/>
                <w:szCs w:val="20"/>
                <w:lang w:val="pt-BR"/>
              </w:rPr>
              <w:t xml:space="preserve"> (°)</w:t>
            </w:r>
          </w:p>
        </w:tc>
        <w:tc>
          <w:tcPr>
            <w:tcW w:w="1600" w:type="dxa"/>
            <w:shd w:val="clear" w:color="auto" w:fill="F2F2F2"/>
            <w:vAlign w:val="center"/>
          </w:tcPr>
          <w:p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b/>
                <w:sz w:val="20"/>
                <w:szCs w:val="20"/>
                <w:lang w:val="pt-BR"/>
              </w:rPr>
              <w:t xml:space="preserve">Extraído (u.p.)</w:t>
            </w:r>
          </w:p>
        </w:tc>
        <w:tc>
          <w:tcPr>
            <w:tcW w:w="1580" w:type="dxa"/>
            <w:shd w:val="clear" w:color="auto" w:fill="F2F2F2"/>
            <w:vAlign w:val="center"/>
          </w:tcPr>
          <w:p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b/>
                <w:sz w:val="20"/>
                <w:szCs w:val="20"/>
                <w:lang w:val="pt-BR"/>
              </w:rPr>
              <w:t xml:space="preserve">Modelo, −τ (u.p.)</w:t>
            </w:r>
          </w:p>
        </w:tc>
        <w:tc>
          <w:tcPr>
            <w:tcW w:w="1580" w:type="dxa"/>
            <w:shd w:val="clear" w:color="auto" w:fill="F2F2F2"/>
            <w:vAlign w:val="center"/>
          </w:tcPr>
          <w:p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b/>
                <w:sz w:val="20"/>
                <w:szCs w:val="20"/>
                <w:lang w:val="pt-BR"/>
              </w:rPr>
              <w:t xml:space="preserve">Resíduo (u.p.)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1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193,017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−60,000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30,000</w:t>
            </w:r>
          </w:p>
        </w:tc>
        <w:tc>
          <w:tcPr>
            <w:tcW w:w="1600" w:type="dxa"/>
            <w:vAlign w:val="center"/>
          </w:tcPr>
          <w:p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0,443</w:t>
            </w:r>
          </w:p>
        </w:tc>
        <w:tc>
          <w:tcPr>
            <w:tcW w:w="1580" w:type="dxa"/>
            <w:vAlign w:val="center"/>
          </w:tcPr>
          <w:p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−1,709</w:t>
            </w:r>
          </w:p>
        </w:tc>
        <w:tc>
          <w:tcPr>
            <w:tcW w:w="1580" w:type="dxa"/>
            <w:vAlign w:val="center"/>
          </w:tcPr>
          <w:p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−2,152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2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189,146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−56,129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33,871</w:t>
            </w:r>
          </w:p>
        </w:tc>
        <w:tc>
          <w:tcPr>
            <w:tcW w:w="1600" w:type="dxa"/>
            <w:vAlign w:val="center"/>
          </w:tcPr>
          <w:p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11,519</w:t>
            </w:r>
          </w:p>
        </w:tc>
        <w:tc>
          <w:tcPr>
            <w:tcW w:w="1580" w:type="dxa"/>
            <w:vAlign w:val="center"/>
          </w:tcPr>
          <w:p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+11,908</w:t>
            </w:r>
          </w:p>
        </w:tc>
        <w:tc>
          <w:tcPr>
            <w:tcW w:w="1580" w:type="dxa"/>
            <w:vAlign w:val="center"/>
          </w:tcPr>
          <w:p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+0,389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3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185,849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−52,832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37,168</w:t>
            </w:r>
          </w:p>
        </w:tc>
        <w:tc>
          <w:tcPr>
            <w:tcW w:w="1600" w:type="dxa"/>
            <w:vAlign w:val="center"/>
          </w:tcPr>
          <w:p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23,703</w:t>
            </w:r>
          </w:p>
        </w:tc>
        <w:tc>
          <w:tcPr>
            <w:tcW w:w="1580" w:type="dxa"/>
            <w:vAlign w:val="center"/>
          </w:tcPr>
          <w:p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+23,428</w:t>
            </w:r>
          </w:p>
        </w:tc>
        <w:tc>
          <w:tcPr>
            <w:tcW w:w="1580" w:type="dxa"/>
            <w:vAlign w:val="center"/>
          </w:tcPr>
          <w:p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−0,274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4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181,691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−48,674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41,326</w:t>
            </w:r>
          </w:p>
        </w:tc>
        <w:tc>
          <w:tcPr>
            <w:tcW w:w="1600" w:type="dxa"/>
            <w:vAlign w:val="center"/>
          </w:tcPr>
          <w:p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38,101</w:t>
            </w:r>
          </w:p>
        </w:tc>
        <w:tc>
          <w:tcPr>
            <w:tcW w:w="1580" w:type="dxa"/>
            <w:vAlign w:val="center"/>
          </w:tcPr>
          <w:p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+37,729</w:t>
            </w:r>
          </w:p>
        </w:tc>
        <w:tc>
          <w:tcPr>
            <w:tcW w:w="1580" w:type="dxa"/>
            <w:vAlign w:val="center"/>
          </w:tcPr>
          <w:p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−0,372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5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177,677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−44,660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45,340</w:t>
            </w:r>
          </w:p>
        </w:tc>
        <w:tc>
          <w:tcPr>
            <w:tcW w:w="1600" w:type="dxa"/>
            <w:vAlign w:val="center"/>
          </w:tcPr>
          <w:p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50,506</w:t>
            </w:r>
          </w:p>
        </w:tc>
        <w:tc>
          <w:tcPr>
            <w:tcW w:w="1580" w:type="dxa"/>
            <w:vAlign w:val="center"/>
          </w:tcPr>
          <w:p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+51,171</w:t>
            </w:r>
          </w:p>
        </w:tc>
        <w:tc>
          <w:tcPr>
            <w:tcW w:w="1580" w:type="dxa"/>
            <w:vAlign w:val="center"/>
          </w:tcPr>
          <w:p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+0,664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6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171,368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−38,351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51,649</w:t>
            </w:r>
          </w:p>
        </w:tc>
        <w:tc>
          <w:tcPr>
            <w:tcW w:w="1600" w:type="dxa"/>
            <w:vAlign w:val="center"/>
          </w:tcPr>
          <w:p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70,000</w:t>
            </w:r>
          </w:p>
        </w:tc>
        <w:tc>
          <w:tcPr>
            <w:tcW w:w="1580" w:type="dxa"/>
            <w:vAlign w:val="center"/>
          </w:tcPr>
          <w:p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+71,259</w:t>
            </w:r>
          </w:p>
        </w:tc>
        <w:tc>
          <w:tcPr>
            <w:tcW w:w="1580" w:type="dxa"/>
            <w:vAlign w:val="center"/>
          </w:tcPr>
          <w:p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+1,259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7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167,354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−34,337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55,663</w:t>
            </w:r>
          </w:p>
        </w:tc>
        <w:tc>
          <w:tcPr>
            <w:tcW w:w="1600" w:type="dxa"/>
            <w:vAlign w:val="center"/>
          </w:tcPr>
          <w:p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81,962</w:t>
            </w:r>
          </w:p>
        </w:tc>
        <w:tc>
          <w:tcPr>
            <w:tcW w:w="1580" w:type="dxa"/>
            <w:vAlign w:val="center"/>
          </w:tcPr>
          <w:p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+83,202</w:t>
            </w:r>
          </w:p>
        </w:tc>
        <w:tc>
          <w:tcPr>
            <w:tcW w:w="1580" w:type="dxa"/>
            <w:vAlign w:val="center"/>
          </w:tcPr>
          <w:p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+1,240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8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162,766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−29,749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60,251</w:t>
            </w:r>
          </w:p>
        </w:tc>
        <w:tc>
          <w:tcPr>
            <w:tcW w:w="1600" w:type="dxa"/>
            <w:vAlign w:val="center"/>
          </w:tcPr>
          <w:p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94,146</w:t>
            </w:r>
          </w:p>
        </w:tc>
        <w:tc>
          <w:tcPr>
            <w:tcW w:w="1580" w:type="dxa"/>
            <w:vAlign w:val="center"/>
          </w:tcPr>
          <w:p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+95,882</w:t>
            </w:r>
          </w:p>
        </w:tc>
        <w:tc>
          <w:tcPr>
            <w:tcW w:w="1580" w:type="dxa"/>
            <w:vAlign w:val="center"/>
          </w:tcPr>
          <w:p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+1,736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9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155,311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−22,294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67,706</w:t>
            </w:r>
          </w:p>
        </w:tc>
        <w:tc>
          <w:tcPr>
            <w:tcW w:w="1600" w:type="dxa"/>
            <w:vAlign w:val="center"/>
          </w:tcPr>
          <w:p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111,867</w:t>
            </w:r>
          </w:p>
        </w:tc>
        <w:tc>
          <w:tcPr>
            <w:tcW w:w="1580" w:type="dxa"/>
            <w:vAlign w:val="center"/>
          </w:tcPr>
          <w:p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+113,925</w:t>
            </w:r>
          </w:p>
        </w:tc>
        <w:tc>
          <w:tcPr>
            <w:tcW w:w="1580" w:type="dxa"/>
            <w:vAlign w:val="center"/>
          </w:tcPr>
          <w:p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+2,058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10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148,429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−15,412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74,588</w:t>
            </w:r>
          </w:p>
        </w:tc>
        <w:tc>
          <w:tcPr>
            <w:tcW w:w="1600" w:type="dxa"/>
            <w:vAlign w:val="center"/>
          </w:tcPr>
          <w:p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125,158</w:t>
            </w:r>
          </w:p>
        </w:tc>
        <w:tc>
          <w:tcPr>
            <w:tcW w:w="1580" w:type="dxa"/>
            <w:vAlign w:val="center"/>
          </w:tcPr>
          <w:p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+127,378</w:t>
            </w:r>
          </w:p>
        </w:tc>
        <w:tc>
          <w:tcPr>
            <w:tcW w:w="1580" w:type="dxa"/>
            <w:vAlign w:val="center"/>
          </w:tcPr>
          <w:p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+2,220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11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143,268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−10,251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79,749</w:t>
            </w:r>
          </w:p>
        </w:tc>
        <w:tc>
          <w:tcPr>
            <w:tcW w:w="1600" w:type="dxa"/>
            <w:vAlign w:val="center"/>
          </w:tcPr>
          <w:p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133,354</w:t>
            </w:r>
          </w:p>
        </w:tc>
        <w:tc>
          <w:tcPr>
            <w:tcW w:w="1580" w:type="dxa"/>
            <w:vAlign w:val="center"/>
          </w:tcPr>
          <w:p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+135,260</w:t>
            </w:r>
          </w:p>
        </w:tc>
        <w:tc>
          <w:tcPr>
            <w:tcW w:w="1580" w:type="dxa"/>
            <w:vAlign w:val="center"/>
          </w:tcPr>
          <w:p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+1,906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12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135,239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−2,222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87,778</w:t>
            </w:r>
          </w:p>
        </w:tc>
        <w:tc>
          <w:tcPr>
            <w:tcW w:w="1600" w:type="dxa"/>
            <w:vAlign w:val="center"/>
          </w:tcPr>
          <w:p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142,437</w:t>
            </w:r>
          </w:p>
        </w:tc>
        <w:tc>
          <w:tcPr>
            <w:tcW w:w="1580" w:type="dxa"/>
            <w:vAlign w:val="center"/>
          </w:tcPr>
          <w:p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+143,561</w:t>
            </w:r>
          </w:p>
        </w:tc>
        <w:tc>
          <w:tcPr>
            <w:tcW w:w="1580" w:type="dxa"/>
            <w:vAlign w:val="center"/>
          </w:tcPr>
          <w:p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+1,124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13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128,931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+4,086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94,086</w:t>
            </w:r>
          </w:p>
        </w:tc>
        <w:tc>
          <w:tcPr>
            <w:tcW w:w="1600" w:type="dxa"/>
            <w:vAlign w:val="center"/>
          </w:tcPr>
          <w:p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146,202</w:t>
            </w:r>
          </w:p>
        </w:tc>
        <w:tc>
          <w:tcPr>
            <w:tcW w:w="1580" w:type="dxa"/>
            <w:vAlign w:val="center"/>
          </w:tcPr>
          <w:p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+146,647</w:t>
            </w:r>
          </w:p>
        </w:tc>
        <w:tc>
          <w:tcPr>
            <w:tcW w:w="1580" w:type="dxa"/>
            <w:vAlign w:val="center"/>
          </w:tcPr>
          <w:p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+0,445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14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123,196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+9,821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99,821</w:t>
            </w:r>
          </w:p>
        </w:tc>
        <w:tc>
          <w:tcPr>
            <w:tcW w:w="1600" w:type="dxa"/>
            <w:vAlign w:val="center"/>
          </w:tcPr>
          <w:p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147,310</w:t>
            </w:r>
          </w:p>
        </w:tc>
        <w:tc>
          <w:tcPr>
            <w:tcW w:w="1580" w:type="dxa"/>
            <w:vAlign w:val="center"/>
          </w:tcPr>
          <w:p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+146,874</w:t>
            </w:r>
          </w:p>
        </w:tc>
        <w:tc>
          <w:tcPr>
            <w:tcW w:w="1580" w:type="dxa"/>
            <w:vAlign w:val="center"/>
          </w:tcPr>
          <w:p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−0,436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15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115,168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+17,849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107,849</w:t>
            </w:r>
          </w:p>
        </w:tc>
        <w:tc>
          <w:tcPr>
            <w:tcW w:w="1600" w:type="dxa"/>
            <w:vAlign w:val="center"/>
          </w:tcPr>
          <w:p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144,652</w:t>
            </w:r>
          </w:p>
        </w:tc>
        <w:tc>
          <w:tcPr>
            <w:tcW w:w="1580" w:type="dxa"/>
            <w:vAlign w:val="center"/>
          </w:tcPr>
          <w:p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+143,291</w:t>
            </w:r>
          </w:p>
        </w:tc>
        <w:tc>
          <w:tcPr>
            <w:tcW w:w="1580" w:type="dxa"/>
            <w:vAlign w:val="center"/>
          </w:tcPr>
          <w:p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−1,361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16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108,286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+24,731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114,731</w:t>
            </w:r>
          </w:p>
        </w:tc>
        <w:tc>
          <w:tcPr>
            <w:tcW w:w="1600" w:type="dxa"/>
            <w:vAlign w:val="center"/>
          </w:tcPr>
          <w:p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138,892</w:t>
            </w:r>
          </w:p>
        </w:tc>
        <w:tc>
          <w:tcPr>
            <w:tcW w:w="1580" w:type="dxa"/>
            <w:vAlign w:val="center"/>
          </w:tcPr>
          <w:p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+136,943</w:t>
            </w:r>
          </w:p>
        </w:tc>
        <w:tc>
          <w:tcPr>
            <w:tcW w:w="1580" w:type="dxa"/>
            <w:vAlign w:val="center"/>
          </w:tcPr>
          <w:p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−1,950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17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100,831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+32,186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122,186</w:t>
            </w:r>
          </w:p>
        </w:tc>
        <w:tc>
          <w:tcPr>
            <w:tcW w:w="1600" w:type="dxa"/>
            <w:vAlign w:val="center"/>
          </w:tcPr>
          <w:p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130,032</w:t>
            </w:r>
          </w:p>
        </w:tc>
        <w:tc>
          <w:tcPr>
            <w:tcW w:w="1580" w:type="dxa"/>
            <w:vAlign w:val="center"/>
          </w:tcPr>
          <w:p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+127,175</w:t>
            </w:r>
          </w:p>
        </w:tc>
        <w:tc>
          <w:tcPr>
            <w:tcW w:w="1580" w:type="dxa"/>
            <w:vAlign w:val="center"/>
          </w:tcPr>
          <w:p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−2,856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18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94,809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+38,208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128,208</w:t>
            </w:r>
          </w:p>
        </w:tc>
        <w:tc>
          <w:tcPr>
            <w:tcW w:w="1600" w:type="dxa"/>
            <w:vAlign w:val="center"/>
          </w:tcPr>
          <w:p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120,063</w:t>
            </w:r>
          </w:p>
        </w:tc>
        <w:tc>
          <w:tcPr>
            <w:tcW w:w="1580" w:type="dxa"/>
            <w:vAlign w:val="center"/>
          </w:tcPr>
          <w:p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+117,532</w:t>
            </w:r>
          </w:p>
        </w:tc>
        <w:tc>
          <w:tcPr>
            <w:tcW w:w="1580" w:type="dxa"/>
            <w:vAlign w:val="center"/>
          </w:tcPr>
          <w:p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−2,532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19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88,501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+44,516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134,516</w:t>
            </w:r>
          </w:p>
        </w:tc>
        <w:tc>
          <w:tcPr>
            <w:tcW w:w="1600" w:type="dxa"/>
            <w:vAlign w:val="center"/>
          </w:tcPr>
          <w:p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108,987</w:t>
            </w:r>
          </w:p>
        </w:tc>
        <w:tc>
          <w:tcPr>
            <w:tcW w:w="1580" w:type="dxa"/>
            <w:vAlign w:val="center"/>
          </w:tcPr>
          <w:p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+106,203</w:t>
            </w:r>
          </w:p>
        </w:tc>
        <w:tc>
          <w:tcPr>
            <w:tcW w:w="1580" w:type="dxa"/>
            <w:vAlign w:val="center"/>
          </w:tcPr>
          <w:p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−2,784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20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83,340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+49,677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139,677</w:t>
            </w:r>
          </w:p>
        </w:tc>
        <w:tc>
          <w:tcPr>
            <w:tcW w:w="1600" w:type="dxa"/>
            <w:vAlign w:val="center"/>
          </w:tcPr>
          <w:p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98,354</w:t>
            </w:r>
          </w:p>
        </w:tc>
        <w:tc>
          <w:tcPr>
            <w:tcW w:w="1580" w:type="dxa"/>
            <w:vAlign w:val="center"/>
          </w:tcPr>
          <w:p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+96,324</w:t>
            </w:r>
          </w:p>
        </w:tc>
        <w:tc>
          <w:tcPr>
            <w:tcW w:w="1580" w:type="dxa"/>
            <w:vAlign w:val="center"/>
          </w:tcPr>
          <w:p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−2,030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21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78,035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+54,982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144,982</w:t>
            </w:r>
          </w:p>
        </w:tc>
        <w:tc>
          <w:tcPr>
            <w:tcW w:w="1600" w:type="dxa"/>
            <w:vAlign w:val="center"/>
          </w:tcPr>
          <w:p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87,500</w:t>
            </w:r>
          </w:p>
        </w:tc>
        <w:tc>
          <w:tcPr>
            <w:tcW w:w="1580" w:type="dxa"/>
            <w:vAlign w:val="center"/>
          </w:tcPr>
          <w:p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+85,889</w:t>
            </w:r>
          </w:p>
        </w:tc>
        <w:tc>
          <w:tcPr>
            <w:tcW w:w="1580" w:type="dxa"/>
            <w:vAlign w:val="center"/>
          </w:tcPr>
          <w:p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−1,611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22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72,587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+60,430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150,430</w:t>
            </w:r>
          </w:p>
        </w:tc>
        <w:tc>
          <w:tcPr>
            <w:tcW w:w="1600" w:type="dxa"/>
            <w:vAlign w:val="center"/>
          </w:tcPr>
          <w:p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75,981</w:t>
            </w:r>
          </w:p>
        </w:tc>
        <w:tc>
          <w:tcPr>
            <w:tcW w:w="1580" w:type="dxa"/>
            <w:vAlign w:val="center"/>
          </w:tcPr>
          <w:p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+75,155</w:t>
            </w:r>
          </w:p>
        </w:tc>
        <w:tc>
          <w:tcPr>
            <w:tcW w:w="1580" w:type="dxa"/>
            <w:vAlign w:val="center"/>
          </w:tcPr>
          <w:p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−0,826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23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68,142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+64,875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154,875</w:t>
            </w:r>
          </w:p>
        </w:tc>
        <w:tc>
          <w:tcPr>
            <w:tcW w:w="1600" w:type="dxa"/>
            <w:vAlign w:val="center"/>
          </w:tcPr>
          <w:p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66,456</w:t>
            </w:r>
          </w:p>
        </w:tc>
        <w:tc>
          <w:tcPr>
            <w:tcW w:w="1580" w:type="dxa"/>
            <w:vAlign w:val="center"/>
          </w:tcPr>
          <w:p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+66,572</w:t>
            </w:r>
          </w:p>
        </w:tc>
        <w:tc>
          <w:tcPr>
            <w:tcW w:w="1580" w:type="dxa"/>
            <w:vAlign w:val="center"/>
          </w:tcPr>
          <w:p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+0,117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24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62,408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+70,609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160,609</w:t>
            </w:r>
          </w:p>
        </w:tc>
        <w:tc>
          <w:tcPr>
            <w:tcW w:w="1600" w:type="dxa"/>
            <w:vAlign w:val="center"/>
          </w:tcPr>
          <w:p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55,158</w:t>
            </w:r>
          </w:p>
        </w:tc>
        <w:tc>
          <w:tcPr>
            <w:tcW w:w="1580" w:type="dxa"/>
            <w:vAlign w:val="center"/>
          </w:tcPr>
          <w:p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+55,955</w:t>
            </w:r>
          </w:p>
        </w:tc>
        <w:tc>
          <w:tcPr>
            <w:tcW w:w="1580" w:type="dxa"/>
            <w:vAlign w:val="center"/>
          </w:tcPr>
          <w:p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+0,797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25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57,820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+75,197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165,197</w:t>
            </w:r>
          </w:p>
        </w:tc>
        <w:tc>
          <w:tcPr>
            <w:tcW w:w="1600" w:type="dxa"/>
            <w:vAlign w:val="center"/>
          </w:tcPr>
          <w:p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46,519</w:t>
            </w:r>
          </w:p>
        </w:tc>
        <w:tc>
          <w:tcPr>
            <w:tcW w:w="1580" w:type="dxa"/>
            <w:vAlign w:val="center"/>
          </w:tcPr>
          <w:p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+47,977</w:t>
            </w:r>
          </w:p>
        </w:tc>
        <w:tc>
          <w:tcPr>
            <w:tcW w:w="1580" w:type="dxa"/>
            <w:vAlign w:val="center"/>
          </w:tcPr>
          <w:p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+1,458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26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54,379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+78,638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168,638</w:t>
            </w:r>
          </w:p>
        </w:tc>
        <w:tc>
          <w:tcPr>
            <w:tcW w:w="1600" w:type="dxa"/>
            <w:vAlign w:val="center"/>
          </w:tcPr>
          <w:p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39,873</w:t>
            </w:r>
          </w:p>
        </w:tc>
        <w:tc>
          <w:tcPr>
            <w:tcW w:w="1580" w:type="dxa"/>
            <w:vAlign w:val="center"/>
          </w:tcPr>
          <w:p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+42,356</w:t>
            </w:r>
          </w:p>
        </w:tc>
        <w:tc>
          <w:tcPr>
            <w:tcW w:w="1580" w:type="dxa"/>
            <w:vAlign w:val="center"/>
          </w:tcPr>
          <w:p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+2,482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27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50,938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+82,079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172,079</w:t>
            </w:r>
          </w:p>
        </w:tc>
        <w:tc>
          <w:tcPr>
            <w:tcW w:w="1600" w:type="dxa"/>
            <w:vAlign w:val="center"/>
          </w:tcPr>
          <w:p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34,335</w:t>
            </w:r>
          </w:p>
        </w:tc>
        <w:tc>
          <w:tcPr>
            <w:tcW w:w="1580" w:type="dxa"/>
            <w:vAlign w:val="center"/>
          </w:tcPr>
          <w:p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+37,078</w:t>
            </w:r>
          </w:p>
        </w:tc>
        <w:tc>
          <w:tcPr>
            <w:tcW w:w="1580" w:type="dxa"/>
            <w:vAlign w:val="center"/>
          </w:tcPr>
          <w:p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+2,743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28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45,777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+87,240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177,240</w:t>
            </w:r>
          </w:p>
        </w:tc>
        <w:tc>
          <w:tcPr>
            <w:tcW w:w="1600" w:type="dxa"/>
            <w:vAlign w:val="center"/>
          </w:tcPr>
          <w:p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27,025</w:t>
            </w:r>
          </w:p>
        </w:tc>
        <w:tc>
          <w:tcPr>
            <w:tcW w:w="1580" w:type="dxa"/>
            <w:vAlign w:val="center"/>
          </w:tcPr>
          <w:p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+29,845</w:t>
            </w:r>
          </w:p>
        </w:tc>
        <w:tc>
          <w:tcPr>
            <w:tcW w:w="1580" w:type="dxa"/>
            <w:vAlign w:val="center"/>
          </w:tcPr>
          <w:p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+2,819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29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42,909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+90,108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180,108</w:t>
            </w:r>
          </w:p>
        </w:tc>
        <w:tc>
          <w:tcPr>
            <w:tcW w:w="1600" w:type="dxa"/>
            <w:vAlign w:val="center"/>
          </w:tcPr>
          <w:p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22,816</w:t>
            </w:r>
          </w:p>
        </w:tc>
        <w:tc>
          <w:tcPr>
            <w:tcW w:w="1580" w:type="dxa"/>
            <w:vAlign w:val="center"/>
          </w:tcPr>
          <w:p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+26,188</w:t>
            </w:r>
          </w:p>
        </w:tc>
        <w:tc>
          <w:tcPr>
            <w:tcW w:w="1580" w:type="dxa"/>
            <w:vAlign w:val="center"/>
          </w:tcPr>
          <w:p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+3,371</w:t>
            </w:r>
          </w:p>
        </w:tc>
      </w:tr>
    </w:tbl>
    <w:p>
      <w:pPr>
        <w:spacing w:before="60" w:after="60"/>
        <w:rPr>
          <w:lang w:val="pt-BR"/>
        </w:rPr>
      </w:pPr>
      <w:r>
        <w:rPr>
          <w:sz w:val="20"/>
          <w:szCs w:val="20"/>
          <w:lang w:val="pt-BR"/>
        </w:rPr>
        <w:t xml:space="preserve">Fonte: elaborada pelo autor, a partir da US 9.889.554 B2 (VAN ENGELHOVEN; KAZEROONI, 2018).</w:t>
      </w:r>
    </w:p>
    <w:p>
      <w:pPr>
        <w:spacing w:after="160"/>
        <w:rPr>
          <w:lang w:val="pt-BR"/>
        </w:rPr>
      </w:pPr>
      <w:r>
        <w:rPr>
          <w:sz w:val="20"/>
          <w:szCs w:val="20"/>
          <w:lang w:val="pt-BR"/>
        </w:rPr>
        <w:t xml:space="preserve">Nota: resíduo = modelo − extraído; modelo com K = 174,68, h = 22,701 mm e X</w:t>
      </w:r>
      <w:r>
        <w:rPr>
          <w:sz w:val="20"/>
          <w:szCs w:val="20"/>
          <w:vertAlign w:val="subscript"/>
          <w:lang w:val="pt-BR"/>
        </w:rPr>
        <w:t xml:space="preserve">pose</w:t>
      </w:r>
      <w:r>
        <w:rPr>
          <w:sz w:val="20"/>
          <w:szCs w:val="20"/>
          <w:lang w:val="pt-BR"/>
        </w:rPr>
        <w:t xml:space="preserve"> = 37,383 mm.</w:t>
      </w:r>
    </w:p>
    <w:p>
      <w:pPr>
        <w:pStyle w:val="Ttulo2"/>
        <w:rPr>
          <w:lang w:val="pt-BR"/>
        </w:rPr>
      </w:pPr>
      <w:r>
        <w:rPr>
          <w:lang w:val="pt-BR"/>
        </w:rPr>
        <w:t xml:space="preserve">4.3 Verificação da cadeia de cálculo</w:t>
      </w:r>
    </w:p>
    <w:p>
      <w:pPr>
        <w:rPr>
          <w:lang w:val="pt-BR"/>
        </w:rPr>
      </w:pPr>
      <w:r>
        <w:rPr>
          <w:lang w:val="pt-BR"/>
        </w:rPr>
        <w:t xml:space="preserve">As verificações automáticas da seção 3.11 resultaram nos resíduos da Tabela 5, todos da ordem do erro de arredondamento da aritmética de ponto flutuante, exceto o do trabalho virtual, limitado pelo truncamento da diferença finita.</w:t>
      </w:r>
    </w:p>
    <w:p>
      <w:pPr>
        <w:keepNext/>
        <w:spacing w:before="120" w:after="60"/>
        <w:rPr>
          <w:lang w:val="pt-BR"/>
        </w:rPr>
      </w:pPr>
      <w:r>
        <w:rPr>
          <w:b/>
          <w:lang w:val="pt-BR"/>
        </w:rPr>
        <w:t xml:space="preserve">Tabela 5 — Verificações da cadeia de cálculo (h = 22,701 mm)</w:t>
      </w:r>
    </w:p>
    <w:tbl>
      <w:tblPr>
        <w:tblStyle w:val="Tabelacomgrade"/>
        <w:tblW w:w="9360" w:type="dxa"/>
        <w:jc w:val="center"/>
        <w:tblLayout w:type="fixed"/>
        <w:tblLook w:val="0420" w:firstRow="1" w:lastRow="0" w:firstColumn="0" w:lastColumn="0" w:noHBand="0" w:noVBand="1"/>
      </w:tblPr>
      <w:tblGrid>
        <w:gridCol w:w="6260"/>
        <w:gridCol w:w="3100"/>
      </w:tblGrid>
      <w:tr>
        <w:trPr>
          <w:cantSplit/>
          <w:tblHeader/>
        </w:trPr>
        <w:tc>
          <w:tcPr>
            <w:tcW w:w="6260" w:type="dxa"/>
            <w:shd w:val="clear" w:color="auto" w:fill="F2F2F2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b/>
                <w:lang w:val="pt-BR"/>
              </w:rPr>
              <w:t xml:space="preserve">Verificação</w:t>
            </w:r>
          </w:p>
        </w:tc>
        <w:tc>
          <w:tcPr>
            <w:tcW w:w="3100" w:type="dxa"/>
            <w:shd w:val="clear" w:color="auto" w:fill="F2F2F2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b/>
                <w:lang w:val="pt-BR"/>
              </w:rPr>
              <w:t xml:space="preserve">Resíduo máximo</w:t>
            </w:r>
          </w:p>
        </w:tc>
      </w:tr>
      <w:tr>
        <w:trPr>
          <w:cantSplit/>
        </w:trPr>
        <w:tc>
          <w:tcPr>
            <w:tcW w:w="6260" w:type="dxa"/>
            <w:vAlign w:val="center"/>
          </w:tcPr>
          <w:p>
            <w:pPr>
              <w:keepNext/>
              <w:spacing w:before="20" w:after="20" w:line="240" w:lineRule="auto"/>
              <w:jc w:val="left"/>
              <w:rPr>
                <w:lang w:val="pt-BR"/>
              </w:rPr>
            </w:pPr>
            <w:r>
              <w:rPr>
                <w:lang w:val="pt-BR"/>
              </w:rPr>
              <w:t xml:space="preserve">Equações de fechamento f</w:t>
            </w:r>
            <w:r>
              <w:rPr>
                <w:vertAlign w:val="subscript"/>
                <w:lang w:val="pt-BR"/>
              </w:rPr>
              <w:t xml:space="preserve">1</w:t>
            </w:r>
            <w:r>
              <w:rPr>
                <w:lang w:val="pt-BR"/>
              </w:rPr>
              <w:t xml:space="preserve"> e f</w:t>
            </w:r>
            <w:r>
              <w:rPr>
                <w:vertAlign w:val="subscript"/>
                <w:lang w:val="pt-BR"/>
              </w:rPr>
              <w:t xml:space="preserve">2</w:t>
            </w:r>
            <w:r>
              <w:rPr>
                <w:lang w:val="pt-BR"/>
              </w:rPr>
              <w:t xml:space="preserve">, Equação (6)</w:t>
            </w:r>
          </w:p>
        </w:tc>
        <w:tc>
          <w:tcPr>
            <w:tcW w:w="31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 xml:space="preserve">1,4 × 10</w:t>
            </w:r>
            <w:r>
              <w:rPr>
                <w:vertAlign w:val="superscript"/>
                <w:lang w:val="pt-BR"/>
              </w:rPr>
              <w:t xml:space="preserve">−13</w:t>
            </w:r>
            <w:r>
              <w:rPr>
                <w:lang w:val="pt-BR"/>
              </w:rPr>
              <w:t xml:space="preserve"> mm</w:t>
            </w:r>
          </w:p>
        </w:tc>
      </w:tr>
      <w:tr>
        <w:trPr>
          <w:cantSplit/>
        </w:trPr>
        <w:tc>
          <w:tcPr>
            <w:tcW w:w="6260" w:type="dxa"/>
            <w:vAlign w:val="center"/>
          </w:tcPr>
          <w:p>
            <w:pPr>
              <w:keepNext/>
              <w:spacing w:before="20" w:after="20" w:line="240" w:lineRule="auto"/>
              <w:jc w:val="left"/>
              <w:rPr>
                <w:lang w:val="pt-BR"/>
              </w:rPr>
            </w:pPr>
            <w:r>
              <w:rPr>
                <w:lang w:val="pt-BR"/>
              </w:rPr>
              <w:t xml:space="preserve">Identidade τ = −F m/1000, Equação (20), com força unitária</w:t>
            </w:r>
          </w:p>
        </w:tc>
        <w:tc>
          <w:tcPr>
            <w:tcW w:w="31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 xml:space="preserve">1,6 × 10</w:t>
            </w:r>
            <w:r>
              <w:rPr>
                <w:vertAlign w:val="superscript"/>
                <w:lang w:val="pt-BR"/>
              </w:rPr>
              <w:t xml:space="preserve">−13</w:t>
            </w:r>
            <w:r>
              <w:rPr>
                <w:lang w:val="pt-BR"/>
              </w:rPr>
              <w:t xml:space="preserve"> mm</w:t>
            </w:r>
          </w:p>
        </w:tc>
      </w:tr>
      <w:tr>
        <w:trPr>
          <w:cantSplit/>
        </w:trPr>
        <w:tc>
          <w:tcPr>
            <w:tcW w:w="6260" w:type="dxa"/>
            <w:vAlign w:val="center"/>
          </w:tcPr>
          <w:p>
            <w:pPr>
              <w:keepNext/>
              <w:spacing w:before="20" w:after="20" w:line="240" w:lineRule="auto"/>
              <w:jc w:val="left"/>
              <w:rPr>
                <w:lang w:val="pt-BR"/>
              </w:rPr>
            </w:pPr>
            <w:r>
              <w:rPr>
                <w:lang w:val="pt-BR"/>
              </w:rPr>
              <w:t xml:space="preserve">Ponto de tangência pelas Equações (10) e (13)</w:t>
            </w:r>
          </w:p>
        </w:tc>
        <w:tc>
          <w:tcPr>
            <w:tcW w:w="31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 xml:space="preserve">8,0 × 10</w:t>
            </w:r>
            <w:r>
              <w:rPr>
                <w:vertAlign w:val="superscript"/>
                <w:lang w:val="pt-BR"/>
              </w:rPr>
              <w:t xml:space="preserve">−13</w:t>
            </w:r>
            <w:r>
              <w:rPr>
                <w:lang w:val="pt-BR"/>
              </w:rPr>
              <w:t xml:space="preserve"> mm</w:t>
            </w:r>
          </w:p>
        </w:tc>
      </w:tr>
      <w:tr>
        <w:trPr>
          <w:cantSplit/>
        </w:trPr>
        <w:tc>
          <w:tcPr>
            <w:tcW w:w="6260" w:type="dxa"/>
            <w:vAlign w:val="center"/>
          </w:tcPr>
          <w:p>
            <w:pPr>
              <w:keepNext/>
              <w:spacing w:before="20" w:after="20" w:line="240" w:lineRule="auto"/>
              <w:jc w:val="left"/>
              <w:rPr>
                <w:lang w:val="pt-BR"/>
              </w:rPr>
            </w:pPr>
            <w:r>
              <w:rPr>
                <w:lang w:val="pt-BR"/>
              </w:rPr>
              <w:t xml:space="preserve">Ponto morto, Equação (21) contra bissecção</w:t>
            </w:r>
          </w:p>
        </w:tc>
        <w:tc>
          <w:tcPr>
            <w:tcW w:w="31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 xml:space="preserve">1,3 × 10</w:t>
            </w:r>
            <w:r>
              <w:rPr>
                <w:vertAlign w:val="superscript"/>
                <w:lang w:val="pt-BR"/>
              </w:rPr>
              <w:t xml:space="preserve">−11</w:t>
            </w:r>
            <w:r>
              <w:rPr>
                <w:lang w:val="pt-BR"/>
              </w:rPr>
              <w:t xml:space="preserve"> grau</w:t>
            </w:r>
          </w:p>
        </w:tc>
      </w:tr>
      <w:tr>
        <w:trPr>
          <w:cantSplit/>
        </w:trPr>
        <w:tc>
          <w:tcPr>
            <w:tcW w:w="6260" w:type="dxa"/>
            <w:vAlign w:val="center"/>
          </w:tcPr>
          <w:p>
            <w:pPr>
              <w:keepNext/>
              <w:spacing w:before="20" w:after="20" w:line="240" w:lineRule="auto"/>
              <w:jc w:val="left"/>
              <w:rPr>
                <w:lang w:val="pt-BR"/>
              </w:rPr>
            </w:pPr>
            <w:r>
              <w:rPr>
                <w:lang w:val="pt-BR"/>
              </w:rPr>
              <w:t xml:space="preserve">Trabalho virtual, Equação (17)</w:t>
            </w:r>
          </w:p>
        </w:tc>
        <w:tc>
          <w:tcPr>
            <w:tcW w:w="31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 xml:space="preserve">4,7 × 10</w:t>
            </w:r>
            <w:r>
              <w:rPr>
                <w:vertAlign w:val="superscript"/>
                <w:lang w:val="pt-BR"/>
              </w:rPr>
              <w:t xml:space="preserve">−8</w:t>
            </w:r>
            <w:r>
              <w:rPr>
                <w:lang w:val="pt-BR"/>
              </w:rPr>
              <w:t xml:space="preserve"> mm</w:t>
            </w:r>
          </w:p>
        </w:tc>
      </w:tr>
      <w:tr>
        <w:trPr>
          <w:cantSplit/>
        </w:trPr>
        <w:tc>
          <w:tcPr>
            <w:tcW w:w="6260" w:type="dxa"/>
            <w:vAlign w:val="center"/>
          </w:tcPr>
          <w:p>
            <w:pPr>
              <w:keepNext/>
              <w:spacing w:before="20" w:after="20" w:line="240" w:lineRule="auto"/>
              <w:jc w:val="left"/>
              <w:rPr>
                <w:lang w:val="pt-BR"/>
              </w:rPr>
            </w:pPr>
            <w:r>
              <w:rPr>
                <w:lang w:val="pt-BR"/>
              </w:rPr>
              <w:t xml:space="preserve">Par da mola, X</w:t>
            </w:r>
            <w:r>
              <w:rPr>
                <w:vertAlign w:val="subscript"/>
                <w:lang w:val="pt-BR"/>
              </w:rPr>
              <w:t xml:space="preserve">pose</w:t>
            </w:r>
            <w:r>
              <w:rPr>
                <w:lang w:val="pt-BR"/>
              </w:rPr>
              <w:t xml:space="preserve"> = L</w:t>
            </w:r>
            <w:r>
              <w:rPr>
                <w:vertAlign w:val="subscript"/>
                <w:lang w:val="pt-BR"/>
              </w:rPr>
              <w:t xml:space="preserve">pose</w:t>
            </w:r>
            <w:r>
              <w:rPr>
                <w:lang w:val="pt-BR"/>
              </w:rPr>
              <w:t xml:space="preserve"> − L</w:t>
            </w:r>
            <w:r>
              <w:rPr>
                <w:vertAlign w:val="subscript"/>
                <w:lang w:val="pt-BR"/>
              </w:rPr>
              <w:t xml:space="preserve">livre</w:t>
            </w:r>
          </w:p>
        </w:tc>
        <w:tc>
          <w:tcPr>
            <w:tcW w:w="31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 xml:space="preserve">7,1 × 10</w:t>
            </w:r>
            <w:r>
              <w:rPr>
                <w:vertAlign w:val="superscript"/>
                <w:lang w:val="pt-BR"/>
              </w:rPr>
              <w:t xml:space="preserve">−15</w:t>
            </w:r>
            <w:r>
              <w:rPr>
                <w:lang w:val="pt-BR"/>
              </w:rPr>
              <w:t xml:space="preserve"> mm</w:t>
            </w:r>
          </w:p>
        </w:tc>
      </w:tr>
    </w:tbl>
    <w:p>
      <w:pPr>
        <w:spacing w:before="60" w:after="60"/>
        <w:rPr>
          <w:lang w:val="pt-BR"/>
        </w:rPr>
      </w:pPr>
      <w:r>
        <w:rPr>
          <w:sz w:val="20"/>
          <w:szCs w:val="20"/>
          <w:lang w:val="pt-BR"/>
        </w:rPr>
        <w:t xml:space="preserve">Fonte: elaborada pelo autor.</w:t>
      </w:r>
    </w:p>
    <w:p>
      <w:pPr>
        <w:rPr>
          <w:lang w:val="pt-BR"/>
        </w:rPr>
      </w:pPr>
      <w:r>
        <w:rPr>
          <w:lang w:val="pt-BR"/>
        </w:rPr>
        <w:t xml:space="preserve">A verificação do trabalho virtual decidiu a formulação do caminho do cabo. Com a extensão da mola acompanhando apenas o vão livre s, como na formulação inicialmente adotada, o resíduo da Equação (17) é de 1,7129 mm; com o arco somado ao vão, s + Rψ, é de 3,4258 mm; somente com ℓ = s − Rψ, Equação (16), ele cai a 4,7 × 10</w:t>
      </w:r>
      <w:r>
        <w:rPr>
          <w:vertAlign w:val="superscript"/>
          <w:lang w:val="pt-BR"/>
        </w:rPr>
        <w:t xml:space="preserve">−8</w:t>
      </w:r>
      <w:r>
        <w:rPr>
          <w:lang w:val="pt-BR"/>
        </w:rPr>
        <w:t xml:space="preserve"> mm. Um resíduo da ordem do milímetro significa que o modelo entregaria torque sem a correspondente variação de energia da mola, o que viola a conservação de energia em um mecanismo sem atrito.</w:t>
      </w:r>
    </w:p>
    <w:p>
      <w:pPr>
        <w:rPr>
          <w:lang w:val="pt-BR"/>
        </w:rPr>
      </w:pPr>
      <w:r>
        <w:rPr>
          <w:lang w:val="pt-BR"/>
        </w:rPr>
        <w:t xml:space="preserve">O efeito do arco é pequeno em valor absoluto e sistemático em distribuição. O arco varia 1,862 mm na faixa de operação, contra 42,435 mm de variação do caminho total (4,4%). Com a mesma ancoragem na pose, sua incorporação altera a extensão da mola em até 1,782 mm, em θ* = 193,017° (elevação de 30°), onde a extensão está próxima do máximo e o desvio relativo é de 3,3%. Em termos relativos, o efeito é maior no extremo oposto, em θ* = 42,917° (elevação de 180,1°), onde a extensão cai a 12,044 mm e o desvio chega a 6,3%.</w:t>
      </w:r>
    </w:p>
    <w:p>
      <w:pPr>
        <w:pStyle w:val="Ttulo2"/>
        <w:rPr>
          <w:lang w:val="pt-BR"/>
        </w:rPr>
      </w:pPr>
      <w:r>
        <w:rPr>
          <w:lang w:val="pt-BR"/>
        </w:rPr>
        <w:t xml:space="preserve">4.4 Parâmetros do modelo e reprodução da identificação</w:t>
      </w:r>
    </w:p>
    <w:p>
      <w:pPr>
        <w:rPr>
          <w:lang w:val="pt-BR"/>
        </w:rPr>
      </w:pPr>
      <w:r>
        <w:rPr>
          <w:lang w:val="pt-BR"/>
        </w:rPr>
        <w:t xml:space="preserve">A Tabela 6 reúne os parâmetros não publicados pela patente, com seus valores congelados e a situação de cada um nesta revisão.</w:t>
      </w:r>
    </w:p>
    <w:p>
      <w:pPr>
        <w:keepNext/>
        <w:spacing w:before="120" w:after="60"/>
        <w:rPr>
          <w:lang w:val="pt-BR"/>
        </w:rPr>
      </w:pPr>
      <w:r>
        <w:rPr>
          <w:b/>
          <w:lang w:val="pt-BR"/>
        </w:rPr>
        <w:t xml:space="preserve">Tabela 6 — Parâmetros não publicados, origem e verificação</w:t>
      </w:r>
    </w:p>
    <w:tbl>
      <w:tblPr>
        <w:tblStyle w:val="Tabelacomgrade"/>
        <w:tblW w:w="9360" w:type="dxa"/>
        <w:jc w:val="center"/>
        <w:tblLayout w:type="fixed"/>
        <w:tblLook w:val="0420" w:firstRow="1" w:lastRow="0" w:firstColumn="0" w:lastColumn="0" w:noHBand="0" w:noVBand="1"/>
      </w:tblPr>
      <w:tblGrid>
        <w:gridCol w:w="1900"/>
        <w:gridCol w:w="1300"/>
        <w:gridCol w:w="1600"/>
        <w:gridCol w:w="2260"/>
        <w:gridCol w:w="2300"/>
      </w:tblGrid>
      <w:tr>
        <w:trPr>
          <w:cantSplit/>
          <w:tblHeader/>
        </w:trPr>
        <w:tc>
          <w:tcPr>
            <w:tcW w:w="1900" w:type="dxa"/>
            <w:shd w:val="clear" w:color="auto" w:fill="F2F2F2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b/>
                <w:lang w:val="pt-BR"/>
              </w:rPr>
              <w:t xml:space="preserve">Parâmetro</w:t>
            </w:r>
          </w:p>
        </w:tc>
        <w:tc>
          <w:tcPr>
            <w:tcW w:w="1300" w:type="dxa"/>
            <w:shd w:val="clear" w:color="auto" w:fill="F2F2F2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b/>
                <w:lang w:val="pt-BR"/>
              </w:rPr>
              <w:t xml:space="preserve">Símbolo</w:t>
            </w:r>
          </w:p>
        </w:tc>
        <w:tc>
          <w:tcPr>
            <w:tcW w:w="1600" w:type="dxa"/>
            <w:shd w:val="clear" w:color="auto" w:fill="F2F2F2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b/>
                <w:lang w:val="pt-BR"/>
              </w:rPr>
              <w:t xml:space="preserve">Valor</w:t>
            </w:r>
          </w:p>
        </w:tc>
        <w:tc>
          <w:tcPr>
            <w:tcW w:w="2260" w:type="dxa"/>
            <w:shd w:val="clear" w:color="auto" w:fill="F2F2F2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b/>
                <w:lang w:val="pt-BR"/>
              </w:rPr>
              <w:t xml:space="preserve">Origem</w:t>
            </w:r>
          </w:p>
        </w:tc>
        <w:tc>
          <w:tcPr>
            <w:tcW w:w="2300" w:type="dxa"/>
            <w:shd w:val="clear" w:color="auto" w:fill="F2F2F2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b/>
                <w:lang w:val="pt-BR"/>
              </w:rPr>
              <w:t xml:space="preserve">Verificação nesta revisão</w:t>
            </w:r>
          </w:p>
        </w:tc>
      </w:tr>
      <w:tr>
        <w:trPr>
          <w:cantSplit/>
        </w:trPr>
        <w:tc>
          <w:tcPr>
            <w:tcW w:w="1900" w:type="dxa"/>
            <w:vAlign w:val="center"/>
          </w:tcPr>
          <w:p>
            <w:pPr>
              <w:keepNext/>
              <w:spacing w:before="20" w:after="20" w:line="240" w:lineRule="auto"/>
              <w:jc w:val="left"/>
              <w:rPr>
                <w:lang w:val="pt-BR"/>
              </w:rPr>
            </w:pPr>
            <w:r>
              <w:rPr>
                <w:lang w:val="pt-BR"/>
              </w:rPr>
              <w:t xml:space="preserve">Calibração angular</w:t>
            </w:r>
          </w:p>
        </w:tc>
        <w:tc>
          <w:tcPr>
            <w:tcW w:w="13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 xml:space="preserve">θ</w:t>
            </w:r>
            <w:r>
              <w:rPr>
                <w:vertAlign w:val="subscript"/>
                <w:lang w:val="pt-BR"/>
              </w:rPr>
              <w:t xml:space="preserve">off</w:t>
            </w:r>
          </w:p>
        </w:tc>
        <w:tc>
          <w:tcPr>
            <w:tcW w:w="16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 xml:space="preserve">133,017°</w:t>
            </w:r>
          </w:p>
        </w:tc>
        <w:tc>
          <w:tcPr>
            <w:tcW w:w="2260" w:type="dxa"/>
            <w:vAlign w:val="center"/>
          </w:tcPr>
          <w:p>
            <w:pPr>
              <w:keepNext/>
              <w:spacing w:before="20" w:after="20" w:line="240" w:lineRule="auto"/>
              <w:jc w:val="left"/>
              <w:rPr>
                <w:lang w:val="pt-BR"/>
              </w:rPr>
            </w:pPr>
            <w:r>
              <w:rPr>
                <w:lang w:val="pt-BR"/>
              </w:rPr>
              <w:t xml:space="preserve">Identificado em etapa anterior</w:t>
            </w:r>
          </w:p>
        </w:tc>
        <w:tc>
          <w:tcPr>
            <w:tcW w:w="2300" w:type="dxa"/>
            <w:vAlign w:val="center"/>
          </w:tcPr>
          <w:p>
            <w:pPr>
              <w:keepNext/>
              <w:spacing w:before="20" w:after="20" w:line="240" w:lineRule="auto"/>
              <w:jc w:val="left"/>
              <w:rPr>
                <w:lang w:val="pt-BR"/>
              </w:rPr>
            </w:pPr>
            <w:r>
              <w:rPr>
                <w:lang w:val="pt-BR"/>
              </w:rPr>
              <w:t xml:space="preserve">Não reproduzida: script não registrado</w:t>
            </w:r>
          </w:p>
        </w:tc>
      </w:tr>
      <w:tr>
        <w:trPr>
          <w:cantSplit/>
        </w:trPr>
        <w:tc>
          <w:tcPr>
            <w:tcW w:w="1900" w:type="dxa"/>
            <w:vAlign w:val="center"/>
          </w:tcPr>
          <w:p>
            <w:pPr>
              <w:keepNext/>
              <w:spacing w:before="20" w:after="20" w:line="240" w:lineRule="auto"/>
              <w:jc w:val="left"/>
              <w:rPr>
                <w:lang w:val="pt-BR"/>
              </w:rPr>
            </w:pPr>
            <w:r>
              <w:rPr>
                <w:lang w:val="pt-BR"/>
              </w:rPr>
              <w:t xml:space="preserve">Posição da ancoragem</w:t>
            </w:r>
          </w:p>
        </w:tc>
        <w:tc>
          <w:tcPr>
            <w:tcW w:w="13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 xml:space="preserve">H</w:t>
            </w:r>
            <w:r>
              <w:rPr>
                <w:vertAlign w:val="subscript"/>
                <w:lang w:val="pt-BR"/>
              </w:rPr>
              <w:t xml:space="preserve">CAL</w:t>
            </w:r>
          </w:p>
        </w:tc>
        <w:tc>
          <w:tcPr>
            <w:tcW w:w="16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 xml:space="preserve">22,701 mm</w:t>
            </w:r>
          </w:p>
        </w:tc>
        <w:tc>
          <w:tcPr>
            <w:tcW w:w="2260" w:type="dxa"/>
            <w:vAlign w:val="center"/>
          </w:tcPr>
          <w:p>
            <w:pPr>
              <w:keepNext/>
              <w:spacing w:before="20" w:after="20" w:line="240" w:lineRule="auto"/>
              <w:jc w:val="left"/>
              <w:rPr>
                <w:lang w:val="pt-BR"/>
              </w:rPr>
            </w:pPr>
            <w:r>
              <w:rPr>
                <w:lang w:val="pt-BR"/>
              </w:rPr>
              <w:t xml:space="preserve">Identificado em etapa anterior, sob restrição não registrada</w:t>
            </w:r>
          </w:p>
        </w:tc>
        <w:tc>
          <w:tcPr>
            <w:tcW w:w="2300" w:type="dxa"/>
            <w:vAlign w:val="center"/>
          </w:tcPr>
          <w:p>
            <w:pPr>
              <w:keepNext/>
              <w:spacing w:before="20" w:after="20" w:line="240" w:lineRule="auto"/>
              <w:jc w:val="left"/>
              <w:rPr>
                <w:lang w:val="pt-BR"/>
              </w:rPr>
            </w:pPr>
            <w:r>
              <w:rPr>
                <w:lang w:val="pt-BR"/>
              </w:rPr>
              <w:t xml:space="preserve">Não reproduzida (ver texto)</w:t>
            </w:r>
          </w:p>
        </w:tc>
      </w:tr>
      <w:tr>
        <w:trPr>
          <w:cantSplit/>
        </w:trPr>
        <w:tc>
          <w:tcPr>
            <w:tcW w:w="1900" w:type="dxa"/>
            <w:vAlign w:val="center"/>
          </w:tcPr>
          <w:p>
            <w:pPr>
              <w:keepNext/>
              <w:spacing w:before="20" w:after="20" w:line="240" w:lineRule="auto"/>
              <w:jc w:val="left"/>
              <w:rPr>
                <w:lang w:val="pt-BR"/>
              </w:rPr>
            </w:pPr>
            <w:r>
              <w:rPr>
                <w:lang w:val="pt-BR"/>
              </w:rPr>
              <w:t xml:space="preserve">Extensão da mola na pose</w:t>
            </w:r>
          </w:p>
        </w:tc>
        <w:tc>
          <w:tcPr>
            <w:tcW w:w="13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 xml:space="preserve">X</w:t>
            </w:r>
            <w:r>
              <w:rPr>
                <w:vertAlign w:val="subscript"/>
                <w:lang w:val="pt-BR"/>
              </w:rPr>
              <w:t xml:space="preserve">pose</w:t>
            </w:r>
          </w:p>
        </w:tc>
        <w:tc>
          <w:tcPr>
            <w:tcW w:w="16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 xml:space="preserve">37,383 mm</w:t>
            </w:r>
          </w:p>
        </w:tc>
        <w:tc>
          <w:tcPr>
            <w:tcW w:w="2260" w:type="dxa"/>
            <w:vAlign w:val="center"/>
          </w:tcPr>
          <w:p>
            <w:pPr>
              <w:keepNext/>
              <w:spacing w:before="20" w:after="20" w:line="240" w:lineRule="auto"/>
              <w:jc w:val="left"/>
              <w:rPr>
                <w:lang w:val="pt-BR"/>
              </w:rPr>
            </w:pPr>
            <w:r>
              <w:rPr>
                <w:lang w:val="pt-BR"/>
              </w:rPr>
              <w:t xml:space="preserve">Identificado</w:t>
            </w:r>
          </w:p>
        </w:tc>
        <w:tc>
          <w:tcPr>
            <w:tcW w:w="2300" w:type="dxa"/>
            <w:vAlign w:val="center"/>
          </w:tcPr>
          <w:p>
            <w:pPr>
              <w:keepNext/>
              <w:spacing w:before="20" w:after="20" w:line="240" w:lineRule="auto"/>
              <w:jc w:val="left"/>
              <w:rPr>
                <w:lang w:val="pt-BR"/>
              </w:rPr>
            </w:pPr>
            <w:r>
              <w:rPr>
                <w:lang w:val="pt-BR"/>
              </w:rPr>
              <w:t xml:space="preserve">Reproduzida: 37,383 mm</w:t>
            </w:r>
          </w:p>
        </w:tc>
      </w:tr>
      <w:tr>
        <w:trPr>
          <w:cantSplit/>
        </w:trPr>
        <w:tc>
          <w:tcPr>
            <w:tcW w:w="1900" w:type="dxa"/>
            <w:vAlign w:val="center"/>
          </w:tcPr>
          <w:p>
            <w:pPr>
              <w:keepNext/>
              <w:spacing w:before="20" w:after="20" w:line="240" w:lineRule="auto"/>
              <w:jc w:val="left"/>
              <w:rPr>
                <w:lang w:val="pt-BR"/>
              </w:rPr>
            </w:pPr>
            <w:r>
              <w:rPr>
                <w:lang w:val="pt-BR"/>
              </w:rPr>
              <w:t xml:space="preserve">Rigidez da mola</w:t>
            </w:r>
          </w:p>
        </w:tc>
        <w:tc>
          <w:tcPr>
            <w:tcW w:w="13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 xml:space="preserve">K</w:t>
            </w:r>
          </w:p>
        </w:tc>
        <w:tc>
          <w:tcPr>
            <w:tcW w:w="16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 xml:space="preserve">174,68</w:t>
            </w:r>
          </w:p>
        </w:tc>
        <w:tc>
          <w:tcPr>
            <w:tcW w:w="2260" w:type="dxa"/>
            <w:vAlign w:val="center"/>
          </w:tcPr>
          <w:p>
            <w:pPr>
              <w:keepNext/>
              <w:spacing w:before="20" w:after="20" w:line="240" w:lineRule="auto"/>
              <w:jc w:val="left"/>
              <w:rPr>
                <w:lang w:val="pt-BR"/>
              </w:rPr>
            </w:pPr>
            <w:r>
              <w:rPr>
                <w:lang w:val="pt-BR"/>
              </w:rPr>
              <w:t xml:space="preserve">Identificado</w:t>
            </w:r>
          </w:p>
        </w:tc>
        <w:tc>
          <w:tcPr>
            <w:tcW w:w="2300" w:type="dxa"/>
            <w:vAlign w:val="center"/>
          </w:tcPr>
          <w:p>
            <w:pPr>
              <w:keepNext/>
              <w:spacing w:before="20" w:after="20" w:line="240" w:lineRule="auto"/>
              <w:jc w:val="left"/>
              <w:rPr>
                <w:lang w:val="pt-BR"/>
              </w:rPr>
            </w:pPr>
            <w:r>
              <w:rPr>
                <w:lang w:val="pt-BR"/>
              </w:rPr>
              <w:t xml:space="preserve">Reproduzida: 174,676, Equação (25)</w:t>
            </w:r>
          </w:p>
        </w:tc>
      </w:tr>
      <w:tr>
        <w:trPr>
          <w:cantSplit/>
        </w:trPr>
        <w:tc>
          <w:tcPr>
            <w:tcW w:w="1900" w:type="dxa"/>
            <w:vAlign w:val="center"/>
          </w:tcPr>
          <w:p>
            <w:pPr>
              <w:keepNext/>
              <w:spacing w:before="20" w:after="20" w:line="240" w:lineRule="auto"/>
              <w:jc w:val="left"/>
              <w:rPr>
                <w:lang w:val="pt-BR"/>
              </w:rPr>
            </w:pPr>
            <w:r>
              <w:rPr>
                <w:lang w:val="pt-BR"/>
              </w:rPr>
              <w:t xml:space="preserve">Comprimento livre da mola</w:t>
            </w:r>
          </w:p>
        </w:tc>
        <w:tc>
          <w:tcPr>
            <w:tcW w:w="13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 xml:space="preserve">L</w:t>
            </w:r>
            <w:r>
              <w:rPr>
                <w:vertAlign w:val="subscript"/>
                <w:lang w:val="pt-BR"/>
              </w:rPr>
              <w:t xml:space="preserve">livre</w:t>
            </w:r>
          </w:p>
        </w:tc>
        <w:tc>
          <w:tcPr>
            <w:tcW w:w="16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 xml:space="preserve">53,967 mm</w:t>
            </w:r>
          </w:p>
        </w:tc>
        <w:tc>
          <w:tcPr>
            <w:tcW w:w="2260" w:type="dxa"/>
            <w:vAlign w:val="center"/>
          </w:tcPr>
          <w:p>
            <w:pPr>
              <w:keepNext/>
              <w:spacing w:before="20" w:after="20" w:line="240" w:lineRule="auto"/>
              <w:jc w:val="left"/>
              <w:rPr>
                <w:lang w:val="pt-BR"/>
              </w:rPr>
            </w:pPr>
            <w:r>
              <w:rPr>
                <w:lang w:val="pt-BR"/>
              </w:rPr>
              <w:t xml:space="preserve">Derivado: L</w:t>
            </w:r>
            <w:r>
              <w:rPr>
                <w:vertAlign w:val="subscript"/>
                <w:lang w:val="pt-BR"/>
              </w:rPr>
              <w:t xml:space="preserve">pose</w:t>
            </w:r>
            <w:r>
              <w:rPr>
                <w:lang w:val="pt-BR"/>
              </w:rPr>
              <w:t xml:space="preserve"> − X</w:t>
            </w:r>
            <w:r>
              <w:rPr>
                <w:vertAlign w:val="subscript"/>
                <w:lang w:val="pt-BR"/>
              </w:rPr>
              <w:t xml:space="preserve">pose</w:t>
            </w:r>
          </w:p>
        </w:tc>
        <w:tc>
          <w:tcPr>
            <w:tcW w:w="2300" w:type="dxa"/>
            <w:vAlign w:val="center"/>
          </w:tcPr>
          <w:p>
            <w:pPr>
              <w:keepNext/>
              <w:spacing w:before="20" w:after="20" w:line="240" w:lineRule="auto"/>
              <w:jc w:val="left"/>
              <w:rPr>
                <w:lang w:val="pt-BR"/>
              </w:rPr>
            </w:pPr>
            <w:r>
              <w:rPr>
                <w:lang w:val="pt-BR"/>
              </w:rPr>
              <w:t xml:space="preserve">Identidade verificada</w:t>
            </w:r>
          </w:p>
        </w:tc>
      </w:tr>
    </w:tbl>
    <w:p>
      <w:pPr>
        <w:spacing w:before="60" w:after="60"/>
        <w:rPr>
          <w:lang w:val="pt-BR"/>
        </w:rPr>
      </w:pPr>
      <w:r>
        <w:rPr>
          <w:sz w:val="20"/>
          <w:szCs w:val="20"/>
          <w:lang w:val="pt-BR"/>
        </w:rPr>
        <w:t xml:space="preserve">Fonte: elaborada pelo autor.</w:t>
      </w:r>
    </w:p>
    <w:p>
      <w:pPr>
        <w:spacing w:after="160"/>
        <w:rPr>
          <w:lang w:val="pt-BR"/>
        </w:rPr>
      </w:pPr>
      <w:r>
        <w:rPr>
          <w:sz w:val="20"/>
          <w:szCs w:val="20"/>
          <w:lang w:val="pt-BR"/>
        </w:rPr>
        <w:t xml:space="preserve">Nota: K tem a unidade que faz K δ m/1000 resultar em u.p. (seção 3.6).</w:t>
      </w:r>
    </w:p>
    <w:p>
      <w:pPr>
        <w:rPr>
          <w:lang w:val="pt-BR"/>
        </w:rPr>
      </w:pPr>
      <w:r>
        <w:rPr>
          <w:lang w:val="pt-BR"/>
        </w:rPr>
        <w:t xml:space="preserve">Com h = 22,701 mm e θ</w:t>
      </w:r>
      <w:r>
        <w:rPr>
          <w:vertAlign w:val="subscript"/>
          <w:lang w:val="pt-BR"/>
        </w:rPr>
        <w:t xml:space="preserve">off</w:t>
      </w:r>
      <w:r>
        <w:rPr>
          <w:lang w:val="pt-BR"/>
        </w:rPr>
        <w:t xml:space="preserve"> congelados, a varredura de X</w:t>
      </w:r>
      <w:r>
        <w:rPr>
          <w:vertAlign w:val="subscript"/>
          <w:lang w:val="pt-BR"/>
        </w:rPr>
        <w:t xml:space="preserve">pose</w:t>
      </w:r>
      <w:r>
        <w:rPr>
          <w:lang w:val="pt-BR"/>
        </w:rPr>
        <w:t xml:space="preserve"> com K dado pela Equação (25) reproduz o par identificado: X</w:t>
      </w:r>
      <w:r>
        <w:rPr>
          <w:vertAlign w:val="subscript"/>
          <w:lang w:val="pt-BR"/>
        </w:rPr>
        <w:t xml:space="preserve">pose</w:t>
      </w:r>
      <w:r>
        <w:rPr>
          <w:lang w:val="pt-BR"/>
        </w:rPr>
        <w:t xml:space="preserve"> = 37,383 mm, K = 174,676 e RMSE de 1,8305 u.p., coincidentes com os valores congelados até a resolução da varredura. O valor 174,68 é, portanto, o arredondamento do K de mínimos quadrados no h adotado, e o par (K, h) é consistente.</w:t>
      </w:r>
    </w:p>
    <w:p>
      <w:pPr>
        <w:rPr>
          <w:lang w:val="pt-BR"/>
        </w:rPr>
      </w:pPr>
      <w:r>
        <w:rPr>
          <w:lang w:val="pt-BR"/>
        </w:rPr>
        <w:t xml:space="preserve">A origem de H</w:t>
      </w:r>
      <w:r>
        <w:rPr>
          <w:vertAlign w:val="subscript"/>
          <w:lang w:val="pt-BR"/>
        </w:rPr>
        <w:t xml:space="preserve">CAL</w:t>
      </w:r>
      <w:r>
        <w:rPr>
          <w:lang w:val="pt-BR"/>
        </w:rPr>
        <w:t xml:space="preserve"> = 22,701 mm, ao contrário, não pôde ser reproduzida. A versão anterior deste texto afirmava que o RMSE decresce monotonicamente com h, sem mínimo interior, e que 22,701 mm corresponde ao ponto em que uma restrição sobre a extensão máxima da mola se torna ativa. Para auditar essa afirmação, foi executada uma análise complementar em que X</w:t>
      </w:r>
      <w:r>
        <w:rPr>
          <w:vertAlign w:val="subscript"/>
          <w:lang w:val="pt-BR"/>
        </w:rPr>
        <w:t xml:space="preserve">pose</w:t>
      </w:r>
      <w:r>
        <w:rPr>
          <w:lang w:val="pt-BR"/>
        </w:rPr>
        <w:t xml:space="preserve"> e K são reidentificados para cada h, de 8 a 60 mm em passo de 0,25 mm. Essa análise não é o procedimento principal deste trabalho, que mantém K congelado (seção 3.10), e serve apenas para conferir a afirmação anterior. O RMSE resultante apresenta mínimo interior em h ≈ 24,0 mm, com RMSE de 1,682 u.p., X</w:t>
      </w:r>
      <w:r>
        <w:rPr>
          <w:vertAlign w:val="subscript"/>
          <w:lang w:val="pt-BR"/>
        </w:rPr>
        <w:t xml:space="preserve">pose</w:t>
      </w:r>
      <w:r>
        <w:rPr>
          <w:lang w:val="pt-BR"/>
        </w:rPr>
        <w:t xml:space="preserve"> = 38,83 mm e K = 160,46, e cresce para valores maiores de h. A razão entre a extensão máxima e o comprimento livre vale 1,0095 em h = 22,701 mm, iguala 1 em h ≈ 22,52 mm e só ultrapassa 10 próximo do extremo superior da varredura, em h = 60 mm. Com a formulação anterior do caminho do cabo, sem o arco, o comportamento é análogo, com mínimo em h ≈ 23,0 mm e RMSE de 1,146 u.p. A afirmação de decrescimento monotônico não é reproduzida por nenhuma das duas formulações, e o critério que levou a 22,701 mm não pode ser reconstituído a partir dos registros disponíveis.</w:t>
      </w:r>
    </w:p>
    <w:p>
      <w:pPr>
        <w:rPr>
          <w:lang w:val="pt-BR"/>
        </w:rPr>
      </w:pPr>
      <w:r>
        <w:rPr>
          <w:lang w:val="pt-BR"/>
        </w:rPr>
        <w:t xml:space="preserve">Em consequência, H</w:t>
      </w:r>
      <w:r>
        <w:rPr>
          <w:vertAlign w:val="subscript"/>
          <w:lang w:val="pt-BR"/>
        </w:rPr>
        <w:t xml:space="preserve">CAL</w:t>
      </w:r>
      <w:r>
        <w:rPr>
          <w:lang w:val="pt-BR"/>
        </w:rPr>
        <w:t xml:space="preserve"> é tratado neste trabalho como parâmetro congelado de origem não reproduzida, e não como ótimo identificado. Ele é mantido porque o par (K, X</w:t>
      </w:r>
      <w:r>
        <w:rPr>
          <w:vertAlign w:val="subscript"/>
          <w:lang w:val="pt-BR"/>
        </w:rPr>
        <w:t xml:space="preserve">pose</w:t>
      </w:r>
      <w:r>
        <w:rPr>
          <w:lang w:val="pt-BR"/>
        </w:rPr>
        <w:t xml:space="preserve">) foi identificado nesse valor e porque o ponto morto correspondente, na elevação de 30,485°, fica a 0,485° do início da zona neutra indicado na patente, ao passo que h = 24,0 mm o deslocaria para 30,909°. A escolha de h que maximiza o torque devolvido é examinada na seção 4.7.</w:t>
      </w:r>
    </w:p>
    <w:p>
      <w:pPr>
        <w:rPr>
          <w:lang w:val="pt-BR"/>
        </w:rPr>
      </w:pPr>
      <w:r>
        <w:rPr>
          <w:lang w:val="pt-BR"/>
        </w:rPr>
        <w:t xml:space="preserve">A comparação entre formulações obedece à regra da seção 3.9. Com o caminho do cabo igual ao vão livre, a formulação anterior alcança RMSE de 1,152 u.p. no mesmo h, com X</w:t>
      </w:r>
      <w:r>
        <w:rPr>
          <w:vertAlign w:val="subscript"/>
          <w:lang w:val="pt-BR"/>
        </w:rPr>
        <w:t xml:space="preserve">pose</w:t>
      </w:r>
      <w:r>
        <w:rPr>
          <w:lang w:val="pt-BR"/>
        </w:rPr>
        <w:t xml:space="preserve"> = 37,44 mm e K = 175,50 reidentificados; com o caminho completo, o RMSE é de 1,830 u.p. A formulação anterior ajusta melhor a curva publicada, mas viola a conservação de energia (seção 4.3) e, por isso, foi abandonada: o menor RMSE não é critério de validade física.</w:t>
      </w:r>
    </w:p>
    <w:p>
      <w:pPr>
        <w:pStyle w:val="Ttulo2"/>
        <w:rPr>
          <w:lang w:val="pt-BR"/>
        </w:rPr>
      </w:pPr>
      <w:r>
        <w:rPr>
          <w:lang w:val="pt-BR"/>
        </w:rPr>
        <w:t xml:space="preserve">4.5 Qualidade do ajuste à curva da patente</w:t>
      </w:r>
    </w:p>
    <w:p>
      <w:pPr>
        <w:rPr>
          <w:lang w:val="pt-BR"/>
        </w:rPr>
      </w:pPr>
      <w:r>
        <w:rPr>
          <w:lang w:val="pt-BR"/>
        </w:rPr>
        <w:t xml:space="preserve">A Figura 2 sobrepõe o torque calculado com os parâmetros congelados aos 29 pontos extraídos, e a Tabela 7 reúne os indicadores do ajuste.</w:t>
      </w:r>
    </w:p>
    <w:p>
      <w:pPr>
        <w:keepNext/>
        <w:spacing w:before="120" w:after="60"/>
        <w:rPr>
          <w:lang w:val="pt-BR"/>
        </w:rPr>
      </w:pPr>
      <w:r>
        <w:rPr>
          <w:b/>
          <w:lang w:val="pt-BR"/>
        </w:rPr>
        <w:t xml:space="preserve">Figura 2 — Torque do cabo calculado (−τ) e pontos extraídos da patente, com os resíduos no painel inferior (K = 174,68; h = 22,701 mm; X</w:t>
      </w:r>
      <w:r>
        <w:rPr>
          <w:b/>
          <w:vertAlign w:val="subscript"/>
          <w:lang w:val="pt-BR"/>
        </w:rPr>
        <w:t xml:space="preserve">pose</w:t>
      </w:r>
      <w:r>
        <w:rPr>
          <w:b/>
          <w:lang w:val="pt-BR"/>
        </w:rPr>
        <w:t xml:space="preserve"> = 37,383 mm)</w:t>
      </w:r>
    </w:p>
    <w:p xmlns:a="http://schemas.openxmlformats.org/drawingml/2006/main" xmlns:pic="http://schemas.openxmlformats.org/drawingml/2006/picture">
      <w:pPr>
        <w:keepNext/>
        <w:spacing w:after="60"/>
        <w:jc w:val="center"/>
        <w:rPr>
          <w:lang w:val="pt-BR"/>
        </w:rPr>
      </w:pPr>
      <w:r>
        <w:rPr>
          <w:noProof/>
          <w:lang w:val="pt-BR"/>
        </w:rPr>
        <w:drawing>
          <wp:inline distT="0" distB="0" distL="0" distR="0">
            <wp:extent cx="5029200" cy="3520440"/>
            <wp:effectExtent l="0" t="0" r="0" b="0"/>
            <wp:docPr id="902" name="Figura 2" descr="Torque do cabo calculado e 29 pontos extraídos da patente em função de θ*, com os resíduos em painel inferior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2" name="Figura 2" descr="Torque do cabo calculado e 29 pontos extraídos da patente em função de θ*, com os resíduos em painel inferior."/>
                    <pic:cNvPicPr/>
                  </pic:nvPicPr>
                  <pic:blipFill>
                    <a:blip r:embed="rIdTccFig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60"/>
        <w:rPr>
          <w:lang w:val="pt-BR"/>
        </w:rPr>
      </w:pPr>
      <w:r>
        <w:rPr>
          <w:sz w:val="20"/>
          <w:szCs w:val="20"/>
          <w:lang w:val="pt-BR"/>
        </w:rPr>
        <w:t xml:space="preserve">Fonte: elaborada pelo autor.</w:t>
      </w:r>
    </w:p>
    <w:p>
      <w:pPr>
        <w:spacing w:after="160"/>
        <w:rPr>
          <w:lang w:val="pt-BR"/>
        </w:rPr>
      </w:pPr>
      <w:r>
        <w:rPr>
          <w:sz w:val="20"/>
          <w:szCs w:val="20"/>
          <w:lang w:val="pt-BR"/>
        </w:rPr>
        <w:t xml:space="preserve">Nota: resíduo = modelo − extraído.</w:t>
      </w:r>
    </w:p>
    <w:p>
      <w:pPr>
        <w:keepNext/>
        <w:spacing w:before="120" w:after="60"/>
        <w:rPr>
          <w:lang w:val="pt-BR"/>
        </w:rPr>
      </w:pPr>
      <w:r>
        <w:rPr>
          <w:b/>
          <w:lang w:val="pt-BR"/>
        </w:rPr>
        <w:t xml:space="preserve">Tabela 7 — Indicadores de qualidade do ajuste à curva da patente</w:t>
      </w:r>
    </w:p>
    <w:tbl>
      <w:tblPr>
        <w:tblStyle w:val="Tabelacomgrade"/>
        <w:tblW w:w="9360" w:type="dxa"/>
        <w:jc w:val="center"/>
        <w:tblLayout w:type="fixed"/>
        <w:tblLook w:val="0420" w:firstRow="1" w:lastRow="0" w:firstColumn="0" w:lastColumn="0" w:noHBand="0" w:noVBand="1"/>
      </w:tblPr>
      <w:tblGrid>
        <w:gridCol w:w="4960"/>
        <w:gridCol w:w="4400"/>
      </w:tblGrid>
      <w:tr>
        <w:trPr>
          <w:cantSplit/>
          <w:tblHeader/>
        </w:trPr>
        <w:tc>
          <w:tcPr>
            <w:tcW w:w="4960" w:type="dxa"/>
            <w:shd w:val="clear" w:color="auto" w:fill="F2F2F2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b/>
                <w:lang w:val="pt-BR"/>
              </w:rPr>
              <w:t xml:space="preserve">Indicador</w:t>
            </w:r>
          </w:p>
        </w:tc>
        <w:tc>
          <w:tcPr>
            <w:tcW w:w="4400" w:type="dxa"/>
            <w:shd w:val="clear" w:color="auto" w:fill="F2F2F2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b/>
                <w:lang w:val="pt-BR"/>
              </w:rPr>
              <w:t xml:space="preserve">Valor</w:t>
            </w:r>
          </w:p>
        </w:tc>
      </w:tr>
      <w:tr>
        <w:trPr>
          <w:cantSplit/>
        </w:trPr>
        <w:tc>
          <w:tcPr>
            <w:tcW w:w="4960" w:type="dxa"/>
            <w:vAlign w:val="center"/>
          </w:tcPr>
          <w:p>
            <w:pPr>
              <w:keepNext/>
              <w:spacing w:before="20" w:after="20" w:line="240" w:lineRule="auto"/>
              <w:jc w:val="left"/>
              <w:rPr>
                <w:lang w:val="pt-BR"/>
              </w:rPr>
            </w:pPr>
            <w:r>
              <w:rPr>
                <w:lang w:val="pt-BR"/>
              </w:rPr>
              <w:t xml:space="preserve">Raiz do erro quadrático médio, RMSE</w:t>
            </w:r>
          </w:p>
        </w:tc>
        <w:tc>
          <w:tcPr>
            <w:tcW w:w="4400" w:type="dxa"/>
            <w:vAlign w:val="center"/>
          </w:tcPr>
          <w:p>
            <w:pPr>
              <w:keepNext/>
              <w:spacing w:before="20" w:after="20" w:line="240" w:lineRule="auto"/>
              <w:jc w:val="left"/>
              <w:rPr>
                <w:lang w:val="pt-BR"/>
              </w:rPr>
            </w:pPr>
            <w:r>
              <w:rPr>
                <w:lang w:val="pt-BR"/>
              </w:rPr>
              <w:t xml:space="preserve">1,8305 u.p.</w:t>
            </w:r>
          </w:p>
        </w:tc>
      </w:tr>
      <w:tr>
        <w:trPr>
          <w:cantSplit/>
        </w:trPr>
        <w:tc>
          <w:tcPr>
            <w:tcW w:w="4960" w:type="dxa"/>
            <w:vAlign w:val="center"/>
          </w:tcPr>
          <w:p>
            <w:pPr>
              <w:keepNext/>
              <w:spacing w:before="20" w:after="20" w:line="240" w:lineRule="auto"/>
              <w:jc w:val="left"/>
              <w:rPr>
                <w:lang w:val="pt-BR"/>
              </w:rPr>
            </w:pPr>
            <w:r>
              <w:rPr>
                <w:lang w:val="pt-BR"/>
              </w:rPr>
              <w:t xml:space="preserve">Erro absoluto médio, MAE</w:t>
            </w:r>
          </w:p>
        </w:tc>
        <w:tc>
          <w:tcPr>
            <w:tcW w:w="4400" w:type="dxa"/>
            <w:vAlign w:val="center"/>
          </w:tcPr>
          <w:p>
            <w:pPr>
              <w:keepNext/>
              <w:spacing w:before="20" w:after="20" w:line="240" w:lineRule="auto"/>
              <w:jc w:val="left"/>
              <w:rPr>
                <w:lang w:val="pt-BR"/>
              </w:rPr>
            </w:pPr>
            <w:r>
              <w:rPr>
                <w:lang w:val="pt-BR"/>
              </w:rPr>
              <w:t xml:space="preserve">1,5866 u.p.</w:t>
            </w:r>
          </w:p>
        </w:tc>
      </w:tr>
      <w:tr>
        <w:trPr>
          <w:cantSplit/>
        </w:trPr>
        <w:tc>
          <w:tcPr>
            <w:tcW w:w="4960" w:type="dxa"/>
            <w:vAlign w:val="center"/>
          </w:tcPr>
          <w:p>
            <w:pPr>
              <w:keepNext/>
              <w:spacing w:before="20" w:after="20" w:line="240" w:lineRule="auto"/>
              <w:jc w:val="left"/>
              <w:rPr>
                <w:lang w:val="pt-BR"/>
              </w:rPr>
            </w:pPr>
            <w:r>
              <w:rPr>
                <w:lang w:val="pt-BR"/>
              </w:rPr>
              <w:t xml:space="preserve">Erro máximo</w:t>
            </w:r>
          </w:p>
        </w:tc>
        <w:tc>
          <w:tcPr>
            <w:tcW w:w="4400" w:type="dxa"/>
            <w:vAlign w:val="center"/>
          </w:tcPr>
          <w:p>
            <w:pPr>
              <w:keepNext/>
              <w:spacing w:before="20" w:after="20" w:line="240" w:lineRule="auto"/>
              <w:jc w:val="left"/>
              <w:rPr>
                <w:lang w:val="pt-BR"/>
              </w:rPr>
            </w:pPr>
            <w:r>
              <w:rPr>
                <w:lang w:val="pt-BR"/>
              </w:rPr>
              <w:t xml:space="preserve">3,3712 u.p., em θ* = 42,909° (elevação de 180,1°)</w:t>
            </w:r>
          </w:p>
        </w:tc>
      </w:tr>
      <w:tr>
        <w:trPr>
          <w:cantSplit/>
        </w:trPr>
        <w:tc>
          <w:tcPr>
            <w:tcW w:w="4960" w:type="dxa"/>
            <w:vAlign w:val="center"/>
          </w:tcPr>
          <w:p>
            <w:pPr>
              <w:keepNext/>
              <w:spacing w:before="20" w:after="20" w:line="240" w:lineRule="auto"/>
              <w:jc w:val="left"/>
              <w:rPr>
                <w:lang w:val="pt-BR"/>
              </w:rPr>
            </w:pPr>
            <w:r>
              <w:rPr>
                <w:lang w:val="pt-BR"/>
              </w:rPr>
              <w:t xml:space="preserve">Coeficiente de determinação, R</w:t>
            </w:r>
            <w:r>
              <w:rPr>
                <w:vertAlign w:val="superscript"/>
                <w:lang w:val="pt-BR"/>
              </w:rPr>
              <w:t xml:space="preserve">2</w:t>
            </w:r>
          </w:p>
        </w:tc>
        <w:tc>
          <w:tcPr>
            <w:tcW w:w="4400" w:type="dxa"/>
            <w:vAlign w:val="center"/>
          </w:tcPr>
          <w:p>
            <w:pPr>
              <w:keepNext/>
              <w:spacing w:before="20" w:after="20" w:line="240" w:lineRule="auto"/>
              <w:jc w:val="left"/>
              <w:rPr>
                <w:lang w:val="pt-BR"/>
              </w:rPr>
            </w:pPr>
            <w:r>
              <w:rPr>
                <w:lang w:val="pt-BR"/>
              </w:rPr>
              <w:t xml:space="preserve">0,99839</w:t>
            </w:r>
          </w:p>
        </w:tc>
      </w:tr>
      <w:tr>
        <w:trPr>
          <w:cantSplit/>
        </w:trPr>
        <w:tc>
          <w:tcPr>
            <w:tcW w:w="4960" w:type="dxa"/>
            <w:vAlign w:val="center"/>
          </w:tcPr>
          <w:p>
            <w:pPr>
              <w:keepNext/>
              <w:spacing w:before="20" w:after="20" w:line="240" w:lineRule="auto"/>
              <w:jc w:val="left"/>
              <w:rPr>
                <w:lang w:val="pt-BR"/>
              </w:rPr>
            </w:pPr>
            <w:r>
              <w:rPr>
                <w:lang w:val="pt-BR"/>
              </w:rPr>
              <w:t xml:space="preserve">MAE relativo à média dos valores extraídos</w:t>
            </w:r>
          </w:p>
        </w:tc>
        <w:tc>
          <w:tcPr>
            <w:tcW w:w="4400" w:type="dxa"/>
            <w:vAlign w:val="center"/>
          </w:tcPr>
          <w:p>
            <w:pPr>
              <w:keepNext/>
              <w:spacing w:before="20" w:after="20" w:line="240" w:lineRule="auto"/>
              <w:jc w:val="left"/>
              <w:rPr>
                <w:lang w:val="pt-BR"/>
              </w:rPr>
            </w:pPr>
            <w:r>
              <w:rPr>
                <w:lang w:val="pt-BR"/>
              </w:rPr>
              <w:t xml:space="preserve">1,94%</w:t>
            </w:r>
          </w:p>
        </w:tc>
      </w:tr>
      <w:tr>
        <w:trPr>
          <w:cantSplit/>
        </w:trPr>
        <w:tc>
          <w:tcPr>
            <w:tcW w:w="4960" w:type="dxa"/>
            <w:vAlign w:val="center"/>
          </w:tcPr>
          <w:p>
            <w:pPr>
              <w:keepNext/>
              <w:spacing w:before="20" w:after="20" w:line="240" w:lineRule="auto"/>
              <w:jc w:val="left"/>
              <w:rPr>
                <w:lang w:val="pt-BR"/>
              </w:rPr>
            </w:pPr>
            <w:r>
              <w:rPr>
                <w:lang w:val="pt-BR"/>
              </w:rPr>
              <w:t xml:space="preserve">RMSE relativo ao maior valor extraído</w:t>
            </w:r>
          </w:p>
        </w:tc>
        <w:tc>
          <w:tcPr>
            <w:tcW w:w="4400" w:type="dxa"/>
            <w:vAlign w:val="center"/>
          </w:tcPr>
          <w:p>
            <w:pPr>
              <w:keepNext/>
              <w:spacing w:before="20" w:after="20" w:line="240" w:lineRule="auto"/>
              <w:jc w:val="left"/>
              <w:rPr>
                <w:lang w:val="pt-BR"/>
              </w:rPr>
            </w:pPr>
            <w:r>
              <w:rPr>
                <w:lang w:val="pt-BR"/>
              </w:rPr>
              <w:t xml:space="preserve">1,24%</w:t>
            </w:r>
          </w:p>
        </w:tc>
      </w:tr>
      <w:tr>
        <w:trPr>
          <w:cantSplit/>
        </w:trPr>
        <w:tc>
          <w:tcPr>
            <w:tcW w:w="4960" w:type="dxa"/>
            <w:vAlign w:val="center"/>
          </w:tcPr>
          <w:p>
            <w:pPr>
              <w:keepNext/>
              <w:spacing w:before="20" w:after="20" w:line="240" w:lineRule="auto"/>
              <w:jc w:val="left"/>
              <w:rPr>
                <w:lang w:val="pt-BR"/>
              </w:rPr>
            </w:pPr>
            <w:r>
              <w:rPr>
                <w:lang w:val="pt-BR"/>
              </w:rPr>
              <w:t xml:space="preserve">Resíduo médio</w:t>
            </w:r>
          </w:p>
        </w:tc>
        <w:tc>
          <w:tcPr>
            <w:tcW w:w="4400" w:type="dxa"/>
            <w:vAlign w:val="center"/>
          </w:tcPr>
          <w:p>
            <w:pPr>
              <w:keepNext/>
              <w:spacing w:before="20" w:after="20" w:line="240" w:lineRule="auto"/>
              <w:jc w:val="left"/>
              <w:rPr>
                <w:lang w:val="pt-BR"/>
              </w:rPr>
            </w:pPr>
            <w:r>
              <w:rPr>
                <w:lang w:val="pt-BR"/>
              </w:rPr>
              <w:t xml:space="preserve">+0,264 u.p.</w:t>
            </w:r>
          </w:p>
        </w:tc>
      </w:tr>
      <w:tr>
        <w:trPr>
          <w:cantSplit/>
        </w:trPr>
        <w:tc>
          <w:tcPr>
            <w:tcW w:w="4960" w:type="dxa"/>
            <w:vAlign w:val="center"/>
          </w:tcPr>
          <w:p>
            <w:pPr>
              <w:keepNext/>
              <w:spacing w:before="20" w:after="20" w:line="240" w:lineRule="auto"/>
              <w:jc w:val="left"/>
              <w:rPr>
                <w:lang w:val="pt-BR"/>
              </w:rPr>
            </w:pPr>
            <w:r>
              <w:rPr>
                <w:lang w:val="pt-BR"/>
              </w:rPr>
              <w:t xml:space="preserve">Pico calculado, curva contínua</w:t>
            </w:r>
          </w:p>
        </w:tc>
        <w:tc>
          <w:tcPr>
            <w:tcW w:w="4400" w:type="dxa"/>
            <w:vAlign w:val="center"/>
          </w:tcPr>
          <w:p>
            <w:pPr>
              <w:keepNext/>
              <w:spacing w:before="20" w:after="20" w:line="240" w:lineRule="auto"/>
              <w:jc w:val="left"/>
              <w:rPr>
                <w:lang w:val="pt-BR"/>
              </w:rPr>
            </w:pPr>
            <w:r>
              <w:rPr>
                <w:lang w:val="pt-BR"/>
              </w:rPr>
              <w:t xml:space="preserve">147,072 u.p., em θ* = 125,533° (elevação de 97,48°)</w:t>
            </w:r>
          </w:p>
        </w:tc>
      </w:tr>
      <w:tr>
        <w:trPr>
          <w:cantSplit/>
        </w:trPr>
        <w:tc>
          <w:tcPr>
            <w:tcW w:w="4960" w:type="dxa"/>
            <w:vAlign w:val="center"/>
          </w:tcPr>
          <w:p>
            <w:pPr>
              <w:keepNext/>
              <w:spacing w:before="20" w:after="20" w:line="240" w:lineRule="auto"/>
              <w:jc w:val="left"/>
              <w:rPr>
                <w:lang w:val="pt-BR"/>
              </w:rPr>
            </w:pPr>
            <w:r>
              <w:rPr>
                <w:lang w:val="pt-BR"/>
              </w:rPr>
              <w:t xml:space="preserve">Pico calculado nos pontos extraídos</w:t>
            </w:r>
          </w:p>
        </w:tc>
        <w:tc>
          <w:tcPr>
            <w:tcW w:w="4400" w:type="dxa"/>
            <w:vAlign w:val="center"/>
          </w:tcPr>
          <w:p>
            <w:pPr>
              <w:keepNext/>
              <w:spacing w:before="20" w:after="20" w:line="240" w:lineRule="auto"/>
              <w:jc w:val="left"/>
              <w:rPr>
                <w:lang w:val="pt-BR"/>
              </w:rPr>
            </w:pPr>
            <w:r>
              <w:rPr>
                <w:lang w:val="pt-BR"/>
              </w:rPr>
              <w:t xml:space="preserve">146,874 u.p., em θ* = 123,196°</w:t>
            </w:r>
          </w:p>
        </w:tc>
      </w:tr>
      <w:tr>
        <w:trPr>
          <w:cantSplit/>
        </w:trPr>
        <w:tc>
          <w:tcPr>
            <w:tcW w:w="4960" w:type="dxa"/>
            <w:vAlign w:val="center"/>
          </w:tcPr>
          <w:p>
            <w:pPr>
              <w:keepNext/>
              <w:spacing w:before="20" w:after="20" w:line="240" w:lineRule="auto"/>
              <w:jc w:val="left"/>
              <w:rPr>
                <w:lang w:val="pt-BR"/>
              </w:rPr>
            </w:pPr>
            <w:r>
              <w:rPr>
                <w:lang w:val="pt-BR"/>
              </w:rPr>
              <w:t xml:space="preserve">Maior valor extraído</w:t>
            </w:r>
          </w:p>
        </w:tc>
        <w:tc>
          <w:tcPr>
            <w:tcW w:w="4400" w:type="dxa"/>
            <w:vAlign w:val="center"/>
          </w:tcPr>
          <w:p>
            <w:pPr>
              <w:keepNext/>
              <w:spacing w:before="20" w:after="20" w:line="240" w:lineRule="auto"/>
              <w:jc w:val="left"/>
              <w:rPr>
                <w:lang w:val="pt-BR"/>
              </w:rPr>
            </w:pPr>
            <w:r>
              <w:rPr>
                <w:lang w:val="pt-BR"/>
              </w:rPr>
              <w:t xml:space="preserve">147,310 u.p., em θ* = 123,196°</w:t>
            </w:r>
          </w:p>
        </w:tc>
      </w:tr>
    </w:tbl>
    <w:p>
      <w:pPr>
        <w:spacing w:before="60" w:after="60"/>
        <w:rPr>
          <w:lang w:val="pt-BR"/>
        </w:rPr>
      </w:pPr>
      <w:r>
        <w:rPr>
          <w:sz w:val="20"/>
          <w:szCs w:val="20"/>
          <w:lang w:val="pt-BR"/>
        </w:rPr>
        <w:t xml:space="preserve">Fonte: elaborada pelo autor.</w:t>
      </w:r>
    </w:p>
    <w:p>
      <w:pPr>
        <w:rPr>
          <w:lang w:val="pt-BR"/>
        </w:rPr>
      </w:pPr>
      <w:r>
        <w:rPr>
          <w:lang w:val="pt-BR"/>
        </w:rPr>
        <w:t xml:space="preserve">O coeficiente de determinação de 0,99839 e o erro absoluto médio de 1,94% da média indicam que a forma do perfil é reproduzida com fidelidade, apesar de os parâmetros construtivos não constarem da patente. O resultado deve ser lido com duas ressalvas. Primeiro, os quatro parâmetros não publicados foram identificados contra os mesmos 29 pontos usados na avaliação, de modo que a aderência não constitui validação independente do modelo. Segundo, a incerteza da extração não é conhecida, o que impede afirmar se os resíduos estão ou não dentro dela.</w:t>
      </w:r>
    </w:p>
    <w:p>
      <w:pPr>
        <w:rPr>
          <w:lang w:val="pt-BR"/>
        </w:rPr>
      </w:pPr>
      <w:r>
        <w:rPr>
          <w:lang w:val="pt-BR"/>
        </w:rPr>
        <w:t xml:space="preserve">Os resíduos não se distribuem aleatoriamente (Tabela 8). Ordenados por θ*, eles formam três zonas extensas de sinal alternado, que reúnem 25 dos 29 pontos, seguidas de quatro pontos próximos ao ponto morto.</w:t>
      </w:r>
    </w:p>
    <w:p>
      <w:pPr>
        <w:keepNext/>
        <w:spacing w:before="120" w:after="60"/>
        <w:rPr>
          <w:lang w:val="pt-BR"/>
        </w:rPr>
      </w:pPr>
      <w:r>
        <w:rPr>
          <w:b/>
          <w:lang w:val="pt-BR"/>
        </w:rPr>
        <w:t xml:space="preserve">Tabela 8 — Zonas de sinal dos resíduos (modelo − extraído), em ordem de θ*</w:t>
      </w:r>
    </w:p>
    <w:tbl>
      <w:tblPr>
        <w:tblStyle w:val="Tabelacomgrade"/>
        <w:tblW w:w="9360" w:type="dxa"/>
        <w:jc w:val="center"/>
        <w:tblLayout w:type="fixed"/>
        <w:tblLook w:val="0420" w:firstRow="1" w:lastRow="0" w:firstColumn="0" w:lastColumn="0" w:noHBand="0" w:noVBand="1"/>
      </w:tblPr>
      <w:tblGrid>
        <w:gridCol w:w="900"/>
        <w:gridCol w:w="2700"/>
        <w:gridCol w:w="2300"/>
        <w:gridCol w:w="1260"/>
        <w:gridCol w:w="2200"/>
      </w:tblGrid>
      <w:tr>
        <w:trPr>
          <w:cantSplit/>
          <w:tblHeader/>
        </w:trPr>
        <w:tc>
          <w:tcPr>
            <w:tcW w:w="900" w:type="dxa"/>
            <w:shd w:val="clear" w:color="auto" w:fill="F2F2F2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b/>
                <w:lang w:val="pt-BR"/>
              </w:rPr>
              <w:t xml:space="preserve">Zona</w:t>
            </w:r>
          </w:p>
        </w:tc>
        <w:tc>
          <w:tcPr>
            <w:tcW w:w="2700" w:type="dxa"/>
            <w:shd w:val="clear" w:color="auto" w:fill="F2F2F2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b/>
                <w:lang w:val="pt-BR"/>
              </w:rPr>
              <w:t xml:space="preserve">Faixa de θ* (°)</w:t>
            </w:r>
          </w:p>
        </w:tc>
        <w:tc>
          <w:tcPr>
            <w:tcW w:w="2300" w:type="dxa"/>
            <w:shd w:val="clear" w:color="auto" w:fill="F2F2F2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b/>
                <w:lang w:val="pt-BR"/>
              </w:rPr>
              <w:t xml:space="preserve">Faixa de elevação (°)</w:t>
            </w:r>
          </w:p>
        </w:tc>
        <w:tc>
          <w:tcPr>
            <w:tcW w:w="1260" w:type="dxa"/>
            <w:shd w:val="clear" w:color="auto" w:fill="F2F2F2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b/>
                <w:lang w:val="pt-BR"/>
              </w:rPr>
              <w:t xml:space="preserve">Pontos</w:t>
            </w:r>
          </w:p>
        </w:tc>
        <w:tc>
          <w:tcPr>
            <w:tcW w:w="2200" w:type="dxa"/>
            <w:shd w:val="clear" w:color="auto" w:fill="F2F2F2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b/>
                <w:lang w:val="pt-BR"/>
              </w:rPr>
              <w:t xml:space="preserve">Resíduo médio (u.p.)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keepNext/>
              <w:spacing w:before="20" w:after="20" w:line="240" w:lineRule="auto"/>
              <w:jc w:val="left"/>
              <w:rPr>
                <w:lang w:val="pt-BR"/>
              </w:rPr>
            </w:pPr>
            <w:r>
              <w:rPr>
                <w:lang w:val="pt-BR"/>
              </w:rPr>
              <w:t xml:space="preserve">1</w:t>
            </w:r>
          </w:p>
        </w:tc>
        <w:tc>
          <w:tcPr>
            <w:tcW w:w="27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 xml:space="preserve">42,909 a 68,142</w:t>
            </w:r>
          </w:p>
        </w:tc>
        <w:tc>
          <w:tcPr>
            <w:tcW w:w="23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 xml:space="preserve">180,1 a 154,9</w:t>
            </w:r>
          </w:p>
        </w:tc>
        <w:tc>
          <w:tcPr>
            <w:tcW w:w="126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 xml:space="preserve">7</w:t>
            </w:r>
          </w:p>
        </w:tc>
        <w:tc>
          <w:tcPr>
            <w:tcW w:w="22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 xml:space="preserve">+1,970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keepNext/>
              <w:spacing w:before="20" w:after="20" w:line="240" w:lineRule="auto"/>
              <w:jc w:val="left"/>
              <w:rPr>
                <w:lang w:val="pt-BR"/>
              </w:rPr>
            </w:pPr>
            <w:r>
              <w:rPr>
                <w:lang w:val="pt-BR"/>
              </w:rPr>
              <w:t xml:space="preserve">2</w:t>
            </w:r>
          </w:p>
        </w:tc>
        <w:tc>
          <w:tcPr>
            <w:tcW w:w="27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 xml:space="preserve">72,587 a 123,196</w:t>
            </w:r>
          </w:p>
        </w:tc>
        <w:tc>
          <w:tcPr>
            <w:tcW w:w="23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 xml:space="preserve">150,4 a 99,8</w:t>
            </w:r>
          </w:p>
        </w:tc>
        <w:tc>
          <w:tcPr>
            <w:tcW w:w="126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 xml:space="preserve">9</w:t>
            </w:r>
          </w:p>
        </w:tc>
        <w:tc>
          <w:tcPr>
            <w:tcW w:w="22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 xml:space="preserve">−1,821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keepNext/>
              <w:spacing w:before="20" w:after="20" w:line="240" w:lineRule="auto"/>
              <w:jc w:val="left"/>
              <w:rPr>
                <w:lang w:val="pt-BR"/>
              </w:rPr>
            </w:pPr>
            <w:r>
              <w:rPr>
                <w:lang w:val="pt-BR"/>
              </w:rPr>
              <w:t xml:space="preserve">3</w:t>
            </w:r>
          </w:p>
        </w:tc>
        <w:tc>
          <w:tcPr>
            <w:tcW w:w="27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 xml:space="preserve">128,931 a 177,677</w:t>
            </w:r>
          </w:p>
        </w:tc>
        <w:tc>
          <w:tcPr>
            <w:tcW w:w="23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 xml:space="preserve">94,1 a 45,3</w:t>
            </w:r>
          </w:p>
        </w:tc>
        <w:tc>
          <w:tcPr>
            <w:tcW w:w="126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 xml:space="preserve">9</w:t>
            </w:r>
          </w:p>
        </w:tc>
        <w:tc>
          <w:tcPr>
            <w:tcW w:w="22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 xml:space="preserve">+1,406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keepNext/>
              <w:spacing w:before="20" w:after="20" w:line="240" w:lineRule="auto"/>
              <w:jc w:val="left"/>
              <w:rPr>
                <w:lang w:val="pt-BR"/>
              </w:rPr>
            </w:pPr>
            <w:r>
              <w:rPr>
                <w:lang w:val="pt-BR"/>
              </w:rPr>
              <w:t xml:space="preserve">4</w:t>
            </w:r>
          </w:p>
        </w:tc>
        <w:tc>
          <w:tcPr>
            <w:tcW w:w="27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 xml:space="preserve">181,691 a 185,849</w:t>
            </w:r>
          </w:p>
        </w:tc>
        <w:tc>
          <w:tcPr>
            <w:tcW w:w="23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 xml:space="preserve">41,3 a 37,2</w:t>
            </w:r>
          </w:p>
        </w:tc>
        <w:tc>
          <w:tcPr>
            <w:tcW w:w="126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 xml:space="preserve">2</w:t>
            </w:r>
          </w:p>
        </w:tc>
        <w:tc>
          <w:tcPr>
            <w:tcW w:w="22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 xml:space="preserve">−0,323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keepNext/>
              <w:spacing w:before="20" w:after="20" w:line="240" w:lineRule="auto"/>
              <w:jc w:val="left"/>
              <w:rPr>
                <w:lang w:val="pt-BR"/>
              </w:rPr>
            </w:pPr>
            <w:r>
              <w:rPr>
                <w:lang w:val="pt-BR"/>
              </w:rPr>
              <w:t xml:space="preserve">5</w:t>
            </w:r>
          </w:p>
        </w:tc>
        <w:tc>
          <w:tcPr>
            <w:tcW w:w="27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 xml:space="preserve">189,146</w:t>
            </w:r>
          </w:p>
        </w:tc>
        <w:tc>
          <w:tcPr>
            <w:tcW w:w="23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 xml:space="preserve">33,9</w:t>
            </w:r>
          </w:p>
        </w:tc>
        <w:tc>
          <w:tcPr>
            <w:tcW w:w="126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 xml:space="preserve">1</w:t>
            </w:r>
          </w:p>
        </w:tc>
        <w:tc>
          <w:tcPr>
            <w:tcW w:w="22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 xml:space="preserve">+0,389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keepNext/>
              <w:spacing w:before="20" w:after="20" w:line="240" w:lineRule="auto"/>
              <w:jc w:val="left"/>
              <w:rPr>
                <w:lang w:val="pt-BR"/>
              </w:rPr>
            </w:pPr>
            <w:r>
              <w:rPr>
                <w:lang w:val="pt-BR"/>
              </w:rPr>
              <w:t xml:space="preserve">6</w:t>
            </w:r>
          </w:p>
        </w:tc>
        <w:tc>
          <w:tcPr>
            <w:tcW w:w="27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 xml:space="preserve">193,017</w:t>
            </w:r>
          </w:p>
        </w:tc>
        <w:tc>
          <w:tcPr>
            <w:tcW w:w="23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 xml:space="preserve">30,0</w:t>
            </w:r>
          </w:p>
        </w:tc>
        <w:tc>
          <w:tcPr>
            <w:tcW w:w="126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 xml:space="preserve">1</w:t>
            </w:r>
          </w:p>
        </w:tc>
        <w:tc>
          <w:tcPr>
            <w:tcW w:w="22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 xml:space="preserve">−2,152</w:t>
            </w:r>
          </w:p>
        </w:tc>
      </w:tr>
    </w:tbl>
    <w:p>
      <w:pPr>
        <w:spacing w:before="60" w:after="60"/>
        <w:rPr>
          <w:lang w:val="pt-BR"/>
        </w:rPr>
      </w:pPr>
      <w:r>
        <w:rPr>
          <w:sz w:val="20"/>
          <w:szCs w:val="20"/>
          <w:lang w:val="pt-BR"/>
        </w:rPr>
        <w:t xml:space="preserve">Fonte: elaborada pelo autor.</w:t>
      </w:r>
    </w:p>
    <w:p>
      <w:pPr>
        <w:rPr>
          <w:lang w:val="pt-BR"/>
        </w:rPr>
      </w:pPr>
      <w:r>
        <w:rPr>
          <w:lang w:val="pt-BR"/>
        </w:rPr>
        <w:t xml:space="preserve">O modelo superestima o torque com o braço alto, acima de 155° de elevação (zona 1), e entre 45° e 94° (zona 3), e o subestima entre 100° e 150° (zona 2). Resíduo estruturado dessa natureza indica diferença sistemática de forma entre o modelo e a curva, e não apenas dispersão de digitalização. As causas possíveis — imprecisão da geometria reconstruída, erro sistemático na extração ou diferença entre a formulação do modelo e a que gerou a figura da patente — não podem ser separadas com os dados disponíveis. O fato de a formulação sem o arco reproduzir a curva com RMSE menor é compatível com a última hipótese, mas não a demonstra.</w:t>
      </w:r>
    </w:p>
    <w:p>
      <w:pPr>
        <w:rPr>
          <w:lang w:val="pt-BR"/>
        </w:rPr>
      </w:pPr>
      <w:r>
        <w:rPr>
          <w:lang w:val="pt-BR"/>
        </w:rPr>
        <w:t xml:space="preserve">O último ponto, em θ* = 193,017°, está além do ponto morto calculado (θ*</w:t>
      </w:r>
      <w:r>
        <w:rPr>
          <w:vertAlign w:val="subscript"/>
          <w:lang w:val="pt-BR"/>
        </w:rPr>
        <w:t xml:space="preserve">pm</w:t>
      </w:r>
      <w:r>
        <w:rPr>
          <w:lang w:val="pt-BR"/>
        </w:rPr>
        <w:t xml:space="preserve"> = 192,532°). Ali o modelo prevê torque de −1,709 u.p., com sinal invertido, ao passo que a curva extraída registra 0,443 u.p. A diferença, que responde pelo resíduo da zona 6, é coerente com a ausência, no modelo, da protuberância que mantém o torque residual aproximadamente nulo no dispositivo real (seção 4.9).</w:t>
      </w:r>
    </w:p>
    <w:p>
      <w:pPr>
        <w:pStyle w:val="Ttulo2"/>
        <w:rPr>
          <w:lang w:val="pt-BR"/>
        </w:rPr>
      </w:pPr>
      <w:r>
        <w:rPr>
          <w:lang w:val="pt-BR"/>
        </w:rPr>
        <w:t xml:space="preserve">4.6 Comportamento da mola e do mecanismo</w:t>
      </w:r>
    </w:p>
    <w:p>
      <w:pPr>
        <w:rPr>
          <w:lang w:val="pt-BR"/>
        </w:rPr>
      </w:pPr>
      <w:r>
        <w:rPr>
          <w:lang w:val="pt-BR"/>
        </w:rPr>
        <w:t xml:space="preserve">A Tabela 9 caracteriza o funcionamento do mecanismo na faixa de operação, de θ* = 42,917° a 193,017°, que corresponde a 150,1° de elevação anatômica, de 30° a 180,1°. As grandezas foram calculadas em malha de 0,001° com os parâmetros congelados.</w:t>
      </w:r>
    </w:p>
    <w:p>
      <w:pPr>
        <w:keepNext/>
        <w:spacing w:before="120" w:after="60"/>
        <w:rPr>
          <w:lang w:val="pt-BR"/>
        </w:rPr>
      </w:pPr>
      <w:r>
        <w:rPr>
          <w:b/>
          <w:lang w:val="pt-BR"/>
        </w:rPr>
        <w:t xml:space="preserve">Tabela 9 — Grandezas do mecanismo na faixa de operação</w:t>
      </w:r>
    </w:p>
    <w:tbl>
      <w:tblPr>
        <w:tblStyle w:val="Tabelacomgrade"/>
        <w:tblW w:w="9360" w:type="dxa"/>
        <w:jc w:val="center"/>
        <w:tblLayout w:type="fixed"/>
        <w:tblLook w:val="0420" w:firstRow="1" w:lastRow="0" w:firstColumn="0" w:lastColumn="0" w:noHBand="0" w:noVBand="1"/>
      </w:tblPr>
      <w:tblGrid>
        <w:gridCol w:w="5160"/>
        <w:gridCol w:w="4200"/>
      </w:tblGrid>
      <w:tr>
        <w:trPr>
          <w:cantSplit/>
          <w:tblHeader/>
        </w:trPr>
        <w:tc>
          <w:tcPr>
            <w:tcW w:w="5160" w:type="dxa"/>
            <w:shd w:val="clear" w:color="auto" w:fill="F2F2F2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b/>
                <w:lang w:val="pt-BR"/>
              </w:rPr>
              <w:t xml:space="preserve">Grandeza</w:t>
            </w:r>
          </w:p>
        </w:tc>
        <w:tc>
          <w:tcPr>
            <w:tcW w:w="4200" w:type="dxa"/>
            <w:shd w:val="clear" w:color="auto" w:fill="F2F2F2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b/>
                <w:lang w:val="pt-BR"/>
              </w:rPr>
              <w:t xml:space="preserve">Valor</w:t>
            </w:r>
          </w:p>
        </w:tc>
      </w:tr>
      <w:tr>
        <w:trPr>
          <w:cantSplit/>
        </w:trPr>
        <w:tc>
          <w:tcPr>
            <w:tcW w:w="5160" w:type="dxa"/>
            <w:vAlign w:val="center"/>
          </w:tcPr>
          <w:p>
            <w:pPr>
              <w:keepNext/>
              <w:spacing w:before="20" w:after="20" w:line="240" w:lineRule="auto"/>
              <w:jc w:val="left"/>
              <w:rPr>
                <w:lang w:val="pt-BR"/>
              </w:rPr>
            </w:pPr>
            <w:r>
              <w:rPr>
                <w:lang w:val="pt-BR"/>
              </w:rPr>
              <w:t xml:space="preserve">Caminho do cabo na pose de referência, ℓ(θ*</w:t>
            </w:r>
            <w:r>
              <w:rPr>
                <w:vertAlign w:val="subscript"/>
                <w:lang w:val="pt-BR"/>
              </w:rPr>
              <w:t xml:space="preserve">pose</w:t>
            </w:r>
            <w:r>
              <w:rPr>
                <w:lang w:val="pt-BR"/>
              </w:rPr>
              <w:t xml:space="preserve">)</w:t>
            </w:r>
          </w:p>
        </w:tc>
        <w:tc>
          <w:tcPr>
            <w:tcW w:w="4200" w:type="dxa"/>
            <w:vAlign w:val="center"/>
          </w:tcPr>
          <w:p>
            <w:pPr>
              <w:keepNext/>
              <w:spacing w:before="20" w:after="20" w:line="240" w:lineRule="auto"/>
              <w:jc w:val="left"/>
              <w:rPr>
                <w:lang w:val="pt-BR"/>
              </w:rPr>
            </w:pPr>
            <w:r>
              <w:rPr>
                <w:lang w:val="pt-BR"/>
              </w:rPr>
              <w:t xml:space="preserve">290,180 mm</w:t>
            </w:r>
          </w:p>
        </w:tc>
      </w:tr>
      <w:tr>
        <w:trPr>
          <w:cantSplit/>
        </w:trPr>
        <w:tc>
          <w:tcPr>
            <w:tcW w:w="5160" w:type="dxa"/>
            <w:vAlign w:val="center"/>
          </w:tcPr>
          <w:p>
            <w:pPr>
              <w:keepNext/>
              <w:spacing w:before="20" w:after="20" w:line="240" w:lineRule="auto"/>
              <w:jc w:val="left"/>
              <w:rPr>
                <w:lang w:val="pt-BR"/>
              </w:rPr>
            </w:pPr>
            <w:r>
              <w:rPr>
                <w:lang w:val="pt-BR"/>
              </w:rPr>
              <w:t xml:space="preserve">Referência da extensão, s</w:t>
            </w:r>
            <w:r>
              <w:rPr>
                <w:vertAlign w:val="subscript"/>
                <w:lang w:val="pt-BR"/>
              </w:rPr>
              <w:t xml:space="preserve">0</w:t>
            </w:r>
          </w:p>
        </w:tc>
        <w:tc>
          <w:tcPr>
            <w:tcW w:w="4200" w:type="dxa"/>
            <w:vAlign w:val="center"/>
          </w:tcPr>
          <w:p>
            <w:pPr>
              <w:keepNext/>
              <w:spacing w:before="20" w:after="20" w:line="240" w:lineRule="auto"/>
              <w:jc w:val="left"/>
              <w:rPr>
                <w:lang w:val="pt-BR"/>
              </w:rPr>
            </w:pPr>
            <w:r>
              <w:rPr>
                <w:lang w:val="pt-BR"/>
              </w:rPr>
              <w:t xml:space="preserve">252,797 mm</w:t>
            </w:r>
          </w:p>
        </w:tc>
      </w:tr>
      <w:tr>
        <w:trPr>
          <w:cantSplit/>
        </w:trPr>
        <w:tc>
          <w:tcPr>
            <w:tcW w:w="5160" w:type="dxa"/>
            <w:vAlign w:val="center"/>
          </w:tcPr>
          <w:p>
            <w:pPr>
              <w:keepNext/>
              <w:spacing w:before="20" w:after="20" w:line="240" w:lineRule="auto"/>
              <w:jc w:val="left"/>
              <w:rPr>
                <w:lang w:val="pt-BR"/>
              </w:rPr>
            </w:pPr>
            <w:r>
              <w:rPr>
                <w:lang w:val="pt-BR"/>
              </w:rPr>
              <w:t xml:space="preserve">Comprimento livre da mola, L</w:t>
            </w:r>
            <w:r>
              <w:rPr>
                <w:vertAlign w:val="subscript"/>
                <w:lang w:val="pt-BR"/>
              </w:rPr>
              <w:t xml:space="preserve">livre</w:t>
            </w:r>
          </w:p>
        </w:tc>
        <w:tc>
          <w:tcPr>
            <w:tcW w:w="4200" w:type="dxa"/>
            <w:vAlign w:val="center"/>
          </w:tcPr>
          <w:p>
            <w:pPr>
              <w:keepNext/>
              <w:spacing w:before="20" w:after="20" w:line="240" w:lineRule="auto"/>
              <w:jc w:val="left"/>
              <w:rPr>
                <w:lang w:val="pt-BR"/>
              </w:rPr>
            </w:pPr>
            <w:r>
              <w:rPr>
                <w:lang w:val="pt-BR"/>
              </w:rPr>
              <w:t xml:space="preserve">53,967 mm</w:t>
            </w:r>
          </w:p>
        </w:tc>
      </w:tr>
      <w:tr>
        <w:trPr>
          <w:cantSplit/>
        </w:trPr>
        <w:tc>
          <w:tcPr>
            <w:tcW w:w="5160" w:type="dxa"/>
            <w:vAlign w:val="center"/>
          </w:tcPr>
          <w:p>
            <w:pPr>
              <w:keepNext/>
              <w:spacing w:before="20" w:after="20" w:line="240" w:lineRule="auto"/>
              <w:jc w:val="left"/>
              <w:rPr>
                <w:lang w:val="pt-BR"/>
              </w:rPr>
            </w:pPr>
            <w:r>
              <w:rPr>
                <w:lang w:val="pt-BR"/>
              </w:rPr>
              <w:t xml:space="preserve">Extensão da mola, δ</w:t>
            </w:r>
          </w:p>
        </w:tc>
        <w:tc>
          <w:tcPr>
            <w:tcW w:w="4200" w:type="dxa"/>
            <w:vAlign w:val="center"/>
          </w:tcPr>
          <w:p>
            <w:pPr>
              <w:keepNext/>
              <w:spacing w:before="20" w:after="20" w:line="240" w:lineRule="auto"/>
              <w:jc w:val="left"/>
              <w:rPr>
                <w:lang w:val="pt-BR"/>
              </w:rPr>
            </w:pPr>
            <w:r>
              <w:rPr>
                <w:lang w:val="pt-BR"/>
              </w:rPr>
              <w:t xml:space="preserve">12,044 mm (θ* = 42,917°) a 54,479 mm (θ* = 192,532°)</w:t>
            </w:r>
          </w:p>
        </w:tc>
      </w:tr>
      <w:tr>
        <w:trPr>
          <w:cantSplit/>
        </w:trPr>
        <w:tc>
          <w:tcPr>
            <w:tcW w:w="5160" w:type="dxa"/>
            <w:vAlign w:val="center"/>
          </w:tcPr>
          <w:p>
            <w:pPr>
              <w:keepNext/>
              <w:spacing w:before="20" w:after="20" w:line="240" w:lineRule="auto"/>
              <w:jc w:val="left"/>
              <w:rPr>
                <w:lang w:val="pt-BR"/>
              </w:rPr>
            </w:pPr>
            <w:r>
              <w:rPr>
                <w:lang w:val="pt-BR"/>
              </w:rPr>
              <w:t xml:space="preserve">Curso da mola na faixa</w:t>
            </w:r>
          </w:p>
        </w:tc>
        <w:tc>
          <w:tcPr>
            <w:tcW w:w="4200" w:type="dxa"/>
            <w:vAlign w:val="center"/>
          </w:tcPr>
          <w:p>
            <w:pPr>
              <w:keepNext/>
              <w:spacing w:before="20" w:after="20" w:line="240" w:lineRule="auto"/>
              <w:jc w:val="left"/>
              <w:rPr>
                <w:lang w:val="pt-BR"/>
              </w:rPr>
            </w:pPr>
            <w:r>
              <w:rPr>
                <w:lang w:val="pt-BR"/>
              </w:rPr>
              <w:t xml:space="preserve">42,435 mm</w:t>
            </w:r>
          </w:p>
        </w:tc>
      </w:tr>
      <w:tr>
        <w:trPr>
          <w:cantSplit/>
        </w:trPr>
        <w:tc>
          <w:tcPr>
            <w:tcW w:w="5160" w:type="dxa"/>
            <w:vAlign w:val="center"/>
          </w:tcPr>
          <w:p>
            <w:pPr>
              <w:keepNext/>
              <w:spacing w:before="20" w:after="20" w:line="240" w:lineRule="auto"/>
              <w:jc w:val="left"/>
              <w:rPr>
                <w:lang w:val="pt-BR"/>
              </w:rPr>
            </w:pPr>
            <w:r>
              <w:rPr>
                <w:lang w:val="pt-BR"/>
              </w:rPr>
              <w:t xml:space="preserve">Comprimento da mola, L</w:t>
            </w:r>
            <w:r>
              <w:rPr>
                <w:vertAlign w:val="subscript"/>
                <w:lang w:val="pt-BR"/>
              </w:rPr>
              <w:t xml:space="preserve">livre</w:t>
            </w:r>
            <w:r>
              <w:rPr>
                <w:lang w:val="pt-BR"/>
              </w:rPr>
              <w:t xml:space="preserve"> + δ</w:t>
            </w:r>
          </w:p>
        </w:tc>
        <w:tc>
          <w:tcPr>
            <w:tcW w:w="4200" w:type="dxa"/>
            <w:vAlign w:val="center"/>
          </w:tcPr>
          <w:p>
            <w:pPr>
              <w:keepNext/>
              <w:spacing w:before="20" w:after="20" w:line="240" w:lineRule="auto"/>
              <w:jc w:val="left"/>
              <w:rPr>
                <w:lang w:val="pt-BR"/>
              </w:rPr>
            </w:pPr>
            <w:r>
              <w:rPr>
                <w:lang w:val="pt-BR"/>
              </w:rPr>
              <w:t xml:space="preserve">66,011 a 108,446 mm</w:t>
            </w:r>
          </w:p>
        </w:tc>
      </w:tr>
      <w:tr>
        <w:trPr>
          <w:cantSplit/>
        </w:trPr>
        <w:tc>
          <w:tcPr>
            <w:tcW w:w="5160" w:type="dxa"/>
            <w:vAlign w:val="center"/>
          </w:tcPr>
          <w:p>
            <w:pPr>
              <w:keepNext/>
              <w:spacing w:before="20" w:after="20" w:line="240" w:lineRule="auto"/>
              <w:jc w:val="left"/>
              <w:rPr>
                <w:lang w:val="pt-BR"/>
              </w:rPr>
            </w:pPr>
            <w:r>
              <w:rPr>
                <w:lang w:val="pt-BR"/>
              </w:rPr>
              <w:t xml:space="preserve">Razão entre extensão máxima e comprimento livre</w:t>
            </w:r>
          </w:p>
        </w:tc>
        <w:tc>
          <w:tcPr>
            <w:tcW w:w="4200" w:type="dxa"/>
            <w:vAlign w:val="center"/>
          </w:tcPr>
          <w:p>
            <w:pPr>
              <w:keepNext/>
              <w:spacing w:before="20" w:after="20" w:line="240" w:lineRule="auto"/>
              <w:jc w:val="left"/>
              <w:rPr>
                <w:lang w:val="pt-BR"/>
              </w:rPr>
            </w:pPr>
            <w:r>
              <w:rPr>
                <w:lang w:val="pt-BR"/>
              </w:rPr>
              <w:t xml:space="preserve">1,0095</w:t>
            </w:r>
          </w:p>
        </w:tc>
      </w:tr>
      <w:tr>
        <w:trPr>
          <w:cantSplit/>
        </w:trPr>
        <w:tc>
          <w:tcPr>
            <w:tcW w:w="5160" w:type="dxa"/>
            <w:vAlign w:val="center"/>
          </w:tcPr>
          <w:p>
            <w:pPr>
              <w:keepNext/>
              <w:spacing w:before="20" w:after="20" w:line="240" w:lineRule="auto"/>
              <w:jc w:val="left"/>
              <w:rPr>
                <w:lang w:val="pt-BR"/>
              </w:rPr>
            </w:pPr>
            <w:r>
              <w:rPr>
                <w:lang w:val="pt-BR"/>
              </w:rPr>
              <w:t xml:space="preserve">Força máxima no cabo, K δ</w:t>
            </w:r>
            <w:r>
              <w:rPr>
                <w:vertAlign w:val="subscript"/>
                <w:lang w:val="pt-BR"/>
              </w:rPr>
              <w:t xml:space="preserve">máx</w:t>
            </w:r>
          </w:p>
        </w:tc>
        <w:tc>
          <w:tcPr>
            <w:tcW w:w="4200" w:type="dxa"/>
            <w:vAlign w:val="center"/>
          </w:tcPr>
          <w:p>
            <w:pPr>
              <w:keepNext/>
              <w:spacing w:before="20" w:after="20" w:line="240" w:lineRule="auto"/>
              <w:jc w:val="left"/>
              <w:rPr>
                <w:lang w:val="pt-BR"/>
              </w:rPr>
            </w:pPr>
            <w:r>
              <w:rPr>
                <w:lang w:val="pt-BR"/>
              </w:rPr>
              <w:t xml:space="preserve">9.516,5 (unidade de K × mm)</w:t>
            </w:r>
          </w:p>
        </w:tc>
      </w:tr>
      <w:tr>
        <w:trPr>
          <w:cantSplit/>
        </w:trPr>
        <w:tc>
          <w:tcPr>
            <w:tcW w:w="5160" w:type="dxa"/>
            <w:vAlign w:val="center"/>
          </w:tcPr>
          <w:p>
            <w:pPr>
              <w:keepNext/>
              <w:spacing w:before="20" w:after="20" w:line="240" w:lineRule="auto"/>
              <w:jc w:val="left"/>
              <w:rPr>
                <w:lang w:val="pt-BR"/>
              </w:rPr>
            </w:pPr>
            <w:r>
              <w:rPr>
                <w:lang w:val="pt-BR"/>
              </w:rPr>
              <w:t xml:space="preserve">Braço de momento, m</w:t>
            </w:r>
          </w:p>
        </w:tc>
        <w:tc>
          <w:tcPr>
            <w:tcW w:w="4200" w:type="dxa"/>
            <w:vAlign w:val="center"/>
          </w:tcPr>
          <w:p>
            <w:pPr>
              <w:keepNext/>
              <w:spacing w:before="20" w:after="20" w:line="240" w:lineRule="auto"/>
              <w:jc w:val="left"/>
              <w:rPr>
                <w:lang w:val="pt-BR"/>
              </w:rPr>
            </w:pPr>
            <w:r>
              <w:rPr>
                <w:lang w:val="pt-BR"/>
              </w:rPr>
              <w:t xml:space="preserve">−0,180 a 22,919 mm</w:t>
            </w:r>
          </w:p>
        </w:tc>
      </w:tr>
      <w:tr>
        <w:trPr>
          <w:cantSplit/>
        </w:trPr>
        <w:tc>
          <w:tcPr>
            <w:tcW w:w="5160" w:type="dxa"/>
            <w:vAlign w:val="center"/>
          </w:tcPr>
          <w:p>
            <w:pPr>
              <w:keepNext/>
              <w:spacing w:before="20" w:after="20" w:line="240" w:lineRule="auto"/>
              <w:jc w:val="left"/>
              <w:rPr>
                <w:lang w:val="pt-BR"/>
              </w:rPr>
            </w:pPr>
            <w:r>
              <w:rPr>
                <w:lang w:val="pt-BR"/>
              </w:rPr>
              <w:t xml:space="preserve">Teto geométrico do braço, |OA| = √(h</w:t>
            </w:r>
            <w:r>
              <w:rPr>
                <w:vertAlign w:val="superscript"/>
                <w:lang w:val="pt-BR"/>
              </w:rPr>
              <w:t xml:space="preserve">2</w:t>
            </w:r>
            <w:r>
              <w:rPr>
                <w:lang w:val="pt-BR"/>
              </w:rPr>
              <w:t xml:space="preserve"> + p</w:t>
            </w:r>
            <w:r>
              <w:rPr>
                <w:vertAlign w:val="superscript"/>
                <w:lang w:val="pt-BR"/>
              </w:rPr>
              <w:t xml:space="preserve">2</w:t>
            </w:r>
            <w:r>
              <w:rPr>
                <w:lang w:val="pt-BR"/>
              </w:rPr>
              <w:t xml:space="preserve">)</w:t>
            </w:r>
          </w:p>
        </w:tc>
        <w:tc>
          <w:tcPr>
            <w:tcW w:w="4200" w:type="dxa"/>
            <w:vAlign w:val="center"/>
          </w:tcPr>
          <w:p>
            <w:pPr>
              <w:keepNext/>
              <w:spacing w:before="20" w:after="20" w:line="240" w:lineRule="auto"/>
              <w:jc w:val="left"/>
              <w:rPr>
                <w:lang w:val="pt-BR"/>
              </w:rPr>
            </w:pPr>
            <w:r>
              <w:rPr>
                <w:lang w:val="pt-BR"/>
              </w:rPr>
              <w:t xml:space="preserve">22,919 mm</w:t>
            </w:r>
          </w:p>
        </w:tc>
      </w:tr>
      <w:tr>
        <w:trPr>
          <w:cantSplit/>
        </w:trPr>
        <w:tc>
          <w:tcPr>
            <w:tcW w:w="5160" w:type="dxa"/>
            <w:vAlign w:val="center"/>
          </w:tcPr>
          <w:p>
            <w:pPr>
              <w:keepNext/>
              <w:spacing w:before="20" w:after="20" w:line="240" w:lineRule="auto"/>
              <w:jc w:val="left"/>
              <w:rPr>
                <w:lang w:val="pt-BR"/>
              </w:rPr>
            </w:pPr>
            <w:r>
              <w:rPr>
                <w:lang w:val="pt-BR"/>
              </w:rPr>
              <w:t xml:space="preserve">Distância do pivô ao ponto de tangência, b</w:t>
            </w:r>
          </w:p>
        </w:tc>
        <w:tc>
          <w:tcPr>
            <w:tcW w:w="4200" w:type="dxa"/>
            <w:vAlign w:val="center"/>
          </w:tcPr>
          <w:p>
            <w:pPr>
              <w:keepNext/>
              <w:spacing w:before="20" w:after="20" w:line="240" w:lineRule="auto"/>
              <w:jc w:val="left"/>
              <w:rPr>
                <w:lang w:val="pt-BR"/>
              </w:rPr>
            </w:pPr>
            <w:r>
              <w:rPr>
                <w:lang w:val="pt-BR"/>
              </w:rPr>
              <w:t xml:space="preserve">282,503 a 284,363 mm</w:t>
            </w:r>
          </w:p>
        </w:tc>
      </w:tr>
      <w:tr>
        <w:trPr>
          <w:cantSplit/>
        </w:trPr>
        <w:tc>
          <w:tcPr>
            <w:tcW w:w="5160" w:type="dxa"/>
            <w:vAlign w:val="center"/>
          </w:tcPr>
          <w:p>
            <w:pPr>
              <w:keepNext/>
              <w:spacing w:before="20" w:after="20" w:line="240" w:lineRule="auto"/>
              <w:jc w:val="left"/>
              <w:rPr>
                <w:lang w:val="pt-BR"/>
              </w:rPr>
            </w:pPr>
            <w:r>
              <w:rPr>
                <w:lang w:val="pt-BR"/>
              </w:rPr>
              <w:t xml:space="preserve">Ângulo β</w:t>
            </w:r>
          </w:p>
        </w:tc>
        <w:tc>
          <w:tcPr>
            <w:tcW w:w="4200" w:type="dxa"/>
            <w:vAlign w:val="center"/>
          </w:tcPr>
          <w:p>
            <w:pPr>
              <w:keepNext/>
              <w:spacing w:before="20" w:after="20" w:line="240" w:lineRule="auto"/>
              <w:jc w:val="left"/>
              <w:rPr>
                <w:lang w:val="pt-BR"/>
              </w:rPr>
            </w:pPr>
            <w:r>
              <w:rPr>
                <w:lang w:val="pt-BR"/>
              </w:rPr>
              <w:t xml:space="preserve">4,604° a 4,619°</w:t>
            </w:r>
          </w:p>
        </w:tc>
      </w:tr>
      <w:tr>
        <w:trPr>
          <w:cantSplit/>
        </w:trPr>
        <w:tc>
          <w:tcPr>
            <w:tcW w:w="5160" w:type="dxa"/>
            <w:vAlign w:val="center"/>
          </w:tcPr>
          <w:p>
            <w:pPr>
              <w:keepNext/>
              <w:spacing w:before="20" w:after="20" w:line="240" w:lineRule="auto"/>
              <w:jc w:val="left"/>
              <w:rPr>
                <w:lang w:val="pt-BR"/>
              </w:rPr>
            </w:pPr>
            <w:r>
              <w:rPr>
                <w:lang w:val="pt-BR"/>
              </w:rPr>
              <w:t xml:space="preserve">Ângulo entre o cabo e o elo, ψ</w:t>
            </w:r>
          </w:p>
        </w:tc>
        <w:tc>
          <w:tcPr>
            <w:tcW w:w="4200" w:type="dxa"/>
            <w:vAlign w:val="center"/>
          </w:tcPr>
          <w:p>
            <w:pPr>
              <w:keepNext/>
              <w:spacing w:before="20" w:after="20" w:line="240" w:lineRule="auto"/>
              <w:jc w:val="left"/>
              <w:rPr>
                <w:lang w:val="pt-BR"/>
              </w:rPr>
            </w:pPr>
            <w:r>
              <w:rPr>
                <w:lang w:val="pt-BR"/>
              </w:rPr>
              <w:t xml:space="preserve">−4,656° a +0,019°</w:t>
            </w:r>
          </w:p>
        </w:tc>
      </w:tr>
      <w:tr>
        <w:trPr>
          <w:cantSplit/>
        </w:trPr>
        <w:tc>
          <w:tcPr>
            <w:tcW w:w="5160" w:type="dxa"/>
            <w:vAlign w:val="center"/>
          </w:tcPr>
          <w:p>
            <w:pPr>
              <w:keepNext/>
              <w:spacing w:before="20" w:after="20" w:line="240" w:lineRule="auto"/>
              <w:jc w:val="left"/>
              <w:rPr>
                <w:lang w:val="pt-BR"/>
              </w:rPr>
            </w:pPr>
            <w:r>
              <w:rPr>
                <w:lang w:val="pt-BR"/>
              </w:rPr>
              <w:t xml:space="preserve">Ponto morto, θ*</w:t>
            </w:r>
            <w:r>
              <w:rPr>
                <w:vertAlign w:val="subscript"/>
                <w:lang w:val="pt-BR"/>
              </w:rPr>
              <w:t xml:space="preserve">pm</w:t>
            </w:r>
          </w:p>
        </w:tc>
        <w:tc>
          <w:tcPr>
            <w:tcW w:w="4200" w:type="dxa"/>
            <w:vAlign w:val="center"/>
          </w:tcPr>
          <w:p>
            <w:pPr>
              <w:keepNext/>
              <w:spacing w:before="20" w:after="20" w:line="240" w:lineRule="auto"/>
              <w:jc w:val="left"/>
              <w:rPr>
                <w:lang w:val="pt-BR"/>
              </w:rPr>
            </w:pPr>
            <w:r>
              <w:rPr>
                <w:lang w:val="pt-BR"/>
              </w:rPr>
              <w:t xml:space="preserve">192,532° (elevação de 30,485°)</w:t>
            </w:r>
          </w:p>
        </w:tc>
      </w:tr>
    </w:tbl>
    <w:p>
      <w:pPr>
        <w:spacing w:before="60" w:after="60"/>
        <w:rPr>
          <w:lang w:val="pt-BR"/>
        </w:rPr>
      </w:pPr>
      <w:r>
        <w:rPr>
          <w:sz w:val="20"/>
          <w:szCs w:val="20"/>
          <w:lang w:val="pt-BR"/>
        </w:rPr>
        <w:t xml:space="preserve">Fonte: elaborada pelo autor.</w:t>
      </w:r>
    </w:p>
    <w:p>
      <w:pPr>
        <w:rPr>
          <w:lang w:val="pt-BR"/>
        </w:rPr>
      </w:pPr>
      <w:r>
        <w:rPr>
          <w:lang w:val="pt-BR"/>
        </w:rPr>
        <w:t xml:space="preserve">A extensão permanece positiva em toda a faixa, o que assegura que o cabo continua tracionado em todos os pontos avaliados. O máximo da extensão ocorre no ponto morto, como exige a Equação (17): onde m se anula, dℓ/dθ* também se anula, e o caminho do cabo passa por um extremo. O comprimento máximo da mola, 108,446 mm, é inferior ao comprimento útil do alojamento, 131,37 mm (valor a confirmar), com margem de 22,9 mm. A razão de 1,0095 entre a extensão máxima e o comprimento livre significa que a mola precisaria ser estendida a aproximadamente o dobro de seu comprimento livre; a viabilidade desse requisito depende da deflexão admissível da mola a especificar e deve ser confrontada com dados de fabricante.</w:t>
      </w:r>
    </w:p>
    <w:p>
      <w:pPr>
        <w:rPr>
          <w:lang w:val="pt-BR"/>
        </w:rPr>
      </w:pPr>
      <w:r>
        <w:rPr>
          <w:lang w:val="pt-BR"/>
        </w:rPr>
        <w:t xml:space="preserve">O braço de momento confirma a distinção da seção 3.5. A linha de ação do cabo passa pela ancoragem A, de modo que m não pode exceder |OA| = 22,919 mm em configuração alguma. Ao longo da faixa, m cresce monotonicamente de 12,451 mm em θ* = 42,917° até tocar esse teto em θ* = 97,894°, posição em que o cabo fica perpendicular a OA, e decresce monotonicamente a partir daí, anulando-se no ponto morto; o valor de −0,180 mm no extremo da faixa corresponde ao trecho além desse ponto. A distância b, por sua vez, varia apenas entre 282,503 e 284,363 mm, próxima de C; tomá-la como braço de momento superestimaria o torque por um fator de pelo menos 12,3.</w:t>
      </w:r>
    </w:p>
    <w:p>
      <w:pPr>
        <w:rPr>
          <w:lang w:val="pt-BR"/>
        </w:rPr>
      </w:pPr>
      <w:r>
        <w:rPr>
          <w:lang w:val="pt-BR"/>
        </w:rPr>
        <w:t xml:space="preserve">A força máxima K δ</w:t>
      </w:r>
      <w:r>
        <w:rPr>
          <w:vertAlign w:val="subscript"/>
          <w:lang w:val="pt-BR"/>
        </w:rPr>
        <w:t xml:space="preserve">máx</w:t>
      </w:r>
      <w:r>
        <w:rPr>
          <w:lang w:val="pt-BR"/>
        </w:rPr>
        <w:t xml:space="preserve"> vale 9.516,5 na unidade de K multiplicada por milímetro. Se a ordenada da patente estivesse em N·m, K estaria em N/mm, a tração no cabo chegaria a 9,5 kN e o pico do torque do cabo, 147,07 N·m, seria 13,2 vezes o pico do torque gravitacional do conjunto, de 11,1619 N·m (seção 4.8). Para equilibrar esse pico gravitacional com o maior braço disponível, 22,919 mm, bastaria uma tração de cerca de 487 N. A leitura da ordenada em N·m conduz, portanto, a valores implausíveis para um dispositivo vestível de apoio ao braço, o que reforça o tratamento da curva publicada como qualitativa quanto à magnitude: o modelo reproduz a forma do torque, mas não sua escala física.</w:t>
      </w:r>
    </w:p>
    <w:p>
      <w:pPr>
        <w:pStyle w:val="Ttulo2"/>
        <w:rPr>
          <w:lang w:val="pt-BR"/>
        </w:rPr>
      </w:pPr>
      <w:r>
        <w:rPr>
          <w:lang w:val="pt-BR"/>
        </w:rPr>
        <w:t xml:space="preserve">4.7 Otimização de h para o máximo torque devolvido</w:t>
      </w:r>
    </w:p>
    <w:p>
      <w:pPr>
        <w:rPr>
          <w:lang w:val="pt-BR"/>
        </w:rPr>
      </w:pPr>
      <w:r>
        <w:rPr>
          <w:lang w:val="pt-BR"/>
        </w:rPr>
        <w:t xml:space="preserve">A posição da ancoragem h é a grandeza geométrica mais incerta do mecanismo e também a mais fácil de alterar no projeto, por definir apenas onde o cabo é fixado no elo proximal. Esta seção examina como h altera o torque que o mecanismo devolve ao braço e qual h devolve o maior torque com a mesma mola, K = 174,68, e a mesma montagem, X</w:t>
      </w:r>
      <w:r>
        <w:rPr>
          <w:vertAlign w:val="subscript"/>
          <w:lang w:val="pt-BR"/>
        </w:rPr>
        <w:t xml:space="preserve">pose</w:t>
      </w:r>
      <w:r>
        <w:rPr>
          <w:lang w:val="pt-BR"/>
        </w:rPr>
        <w:t xml:space="preserve"> = 37,383 mm.</w:t>
      </w:r>
    </w:p>
    <w:p>
      <w:pPr>
        <w:rPr>
          <w:lang w:val="pt-BR"/>
        </w:rPr>
      </w:pPr>
      <w:r>
        <w:rPr>
          <w:lang w:val="pt-BR"/>
        </w:rPr>
        <w:t xml:space="preserve">O espaço de busca é fixado pela física. Os critérios de fechamento e de trabalho virtual são atendidos em todos os 10.403 valores varridos, de 8 a 60 mm; o critério decisivo é a tração. Com X</w:t>
      </w:r>
      <w:r>
        <w:rPr>
          <w:vertAlign w:val="subscript"/>
          <w:lang w:val="pt-BR"/>
        </w:rPr>
        <w:t xml:space="preserve">pose</w:t>
      </w:r>
      <w:r>
        <w:rPr>
          <w:lang w:val="pt-BR"/>
        </w:rPr>
        <w:t xml:space="preserve"> congelada, o aumento de h aumenta o curso do cabo — de 28,942 mm em h = 15 mm para 42,435 mm em h = 22,701 mm e 106,573 mm em h = 60 mm — e rebaixa a extensão mínima da mola, que ocorre sempre em θ* = 42,917°, com o braço elevado a 180,1°. Essa extensão se anula em h = 32,886 mm; acima desse valor, o cabo afrouxaria no início da faixa. O valor lido no CAD, 34,785 mm, está fora do intervalo viável, com extensão mínima de −2,257 mm.</w:t>
      </w:r>
    </w:p>
    <w:p>
      <w:pPr>
        <w:rPr>
          <w:lang w:val="pt-BR"/>
        </w:rPr>
      </w:pPr>
      <w:r>
        <w:rPr>
          <w:lang w:val="pt-BR"/>
        </w:rPr>
        <w:t xml:space="preserve">A Figura 3 mostra a família de curvas de torque para sete valores de h dentro desse intervalo.</w:t>
      </w:r>
    </w:p>
    <w:p>
      <w:pPr>
        <w:keepNext/>
        <w:spacing w:before="120" w:after="60"/>
        <w:rPr>
          <w:lang w:val="pt-BR"/>
        </w:rPr>
      </w:pPr>
      <w:r>
        <w:rPr>
          <w:b/>
          <w:lang w:val="pt-BR"/>
        </w:rPr>
        <w:t xml:space="preserve">Figura 3 — Família de curvas de torque do cabo para h de 16 a 32,886 mm, com K = 174,68 e X</w:t>
      </w:r>
      <w:r>
        <w:rPr>
          <w:b/>
          <w:vertAlign w:val="subscript"/>
          <w:lang w:val="pt-BR"/>
        </w:rPr>
        <w:t xml:space="preserve">pose</w:t>
      </w:r>
      <w:r>
        <w:rPr>
          <w:b/>
          <w:lang w:val="pt-BR"/>
        </w:rPr>
        <w:t xml:space="preserve"> = 37,383 mm congelados, e os 29 pontos extraídos da patente</w:t>
      </w:r>
    </w:p>
    <w:p xmlns:a="http://schemas.openxmlformats.org/drawingml/2006/main" xmlns:pic="http://schemas.openxmlformats.org/drawingml/2006/picture">
      <w:pPr>
        <w:keepNext/>
        <w:spacing w:after="60"/>
        <w:jc w:val="center"/>
        <w:rPr>
          <w:lang w:val="pt-BR"/>
        </w:rPr>
      </w:pPr>
      <w:r>
        <w:rPr>
          <w:noProof/>
          <w:lang w:val="pt-BR"/>
        </w:rPr>
        <w:drawing>
          <wp:inline distT="0" distB="0" distL="0" distR="0">
            <wp:extent cx="5943600" cy="3169920"/>
            <wp:effectExtent l="0" t="0" r="0" b="0"/>
            <wp:docPr id="903" name="Figura 3" descr="Sete curvas de torque do cabo em função de θ* para valores de h entre 16 e 32,886 mm, com a curva de h = 22,701 mm destacada, os pontos extraídos e dois nós marcado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3" name="Figura 3" descr="Sete curvas de torque do cabo em função de θ* para valores de h entre 16 e 32,886 mm, com a curva de h = 22,701 mm destacada, os pontos extraídos e dois nós marcados."/>
                    <pic:cNvPicPr/>
                  </pic:nvPicPr>
                  <pic:blipFill>
                    <a:blip r:embed="rIdTccFig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60"/>
        <w:rPr>
          <w:lang w:val="pt-BR"/>
        </w:rPr>
      </w:pPr>
      <w:r>
        <w:rPr>
          <w:sz w:val="20"/>
          <w:szCs w:val="20"/>
          <w:lang w:val="pt-BR"/>
        </w:rPr>
        <w:t xml:space="preserve">Fonte: elaborada pelo autor.</w:t>
      </w:r>
    </w:p>
    <w:p>
      <w:pPr>
        <w:rPr>
          <w:lang w:val="pt-BR"/>
        </w:rPr>
      </w:pPr>
      <w:r>
        <w:rPr>
          <w:lang w:val="pt-BR"/>
        </w:rPr>
        <w:t xml:space="preserve">O deslocamento da ancoragem atua como um ganho concentrado na faixa central. As curvas quase coincidem em dois nós, com espalhamento de 9,35 u.p. em θ* = 68,03° (elevação de 155,0°) e de 0,18 u.p. em θ* = 185,71° (elevação de 37,3°), e se abrem ao máximo, 106,79 u.p., em θ* = 130,38° (elevação de 92,6°). Aumentar h eleva, portanto, o torque devolvido entre cerca de 37° e 155° de elevação, justamente na faixa de trabalho, e quase não altera o torque com o braço muito baixo ou muito alto.</w:t>
      </w:r>
    </w:p>
    <w:p>
      <w:pPr>
        <w:rPr>
          <w:lang w:val="pt-BR"/>
        </w:rPr>
      </w:pPr>
      <w:r>
        <w:rPr>
          <w:lang w:val="pt-BR"/>
        </w:rPr>
        <w:t xml:space="preserve">A Figura 4 apresenta o torque devolvido, o trabalho devolvido, a margem de tração e o ponto morto em função de h, e a Tabela 10 detalha valores selecionados.</w:t>
      </w:r>
    </w:p>
    <w:p>
      <w:pPr>
        <w:keepNext/>
        <w:spacing w:before="120" w:after="60"/>
        <w:rPr>
          <w:lang w:val="pt-BR"/>
        </w:rPr>
      </w:pPr>
      <w:r>
        <w:rPr>
          <w:b/>
          <w:lang w:val="pt-BR"/>
        </w:rPr>
        <w:t xml:space="preserve">Figura 4 — Torque devolvido em função de h, com K = 174,68 e X</w:t>
      </w:r>
      <w:r>
        <w:rPr>
          <w:b/>
          <w:vertAlign w:val="subscript"/>
          <w:lang w:val="pt-BR"/>
        </w:rPr>
        <w:t xml:space="preserve">pose</w:t>
      </w:r>
      <w:r>
        <w:rPr>
          <w:b/>
          <w:lang w:val="pt-BR"/>
        </w:rPr>
        <w:t xml:space="preserve"> = 37,383 mm congelados: pico e média de 90° a 150° de elevação, trabalho devolvido na faixa de operação, extensão mínima da mola e elevação do ponto morto</w:t>
      </w:r>
    </w:p>
    <w:p xmlns:a="http://schemas.openxmlformats.org/drawingml/2006/main" xmlns:pic="http://schemas.openxmlformats.org/drawingml/2006/picture">
      <w:pPr>
        <w:keepNext/>
        <w:spacing w:after="60"/>
        <w:jc w:val="center"/>
        <w:rPr>
          <w:lang w:val="pt-BR"/>
        </w:rPr>
      </w:pPr>
      <w:r>
        <w:rPr>
          <w:noProof/>
          <w:lang w:val="pt-BR"/>
        </w:rPr>
        <w:drawing>
          <wp:inline distT="0" distB="0" distL="0" distR="0">
            <wp:extent cx="5943600" cy="3803904"/>
            <wp:effectExtent l="0" t="0" r="0" b="0"/>
            <wp:docPr id="904" name="Figura 4" descr="Quatro painéis em função de h, de 8 a 32,886 mm: torque de pico e médio, trabalho devolvido, extensão mínima da mola com as margens de 10, 5 e 2 mm marcadas, e elevação do ponto mort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4" name="Figura 4" descr="Quatro painéis em função de h, de 8 a 32,886 mm: torque de pico e médio, trabalho devolvido, extensão mínima da mola com as margens de 10, 5 e 2 mm marcadas, e elevação do ponto morto."/>
                    <pic:cNvPicPr/>
                  </pic:nvPicPr>
                  <pic:blipFill>
                    <a:blip r:embed="rIdTccFig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3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60"/>
        <w:rPr>
          <w:lang w:val="pt-BR"/>
        </w:rPr>
      </w:pPr>
      <w:r>
        <w:rPr>
          <w:sz w:val="20"/>
          <w:szCs w:val="20"/>
          <w:lang w:val="pt-BR"/>
        </w:rPr>
        <w:t xml:space="preserve">Fonte: elaborada pelo autor.</w:t>
      </w:r>
    </w:p>
    <w:p>
      <w:pPr>
        <w:spacing w:after="160"/>
        <w:rPr>
          <w:lang w:val="pt-BR"/>
        </w:rPr>
      </w:pPr>
      <w:r>
        <w:rPr>
          <w:sz w:val="20"/>
          <w:szCs w:val="20"/>
          <w:lang w:val="pt-BR"/>
        </w:rPr>
        <w:t xml:space="preserve">Nota: linha contínua, h adotado; linha tracejada, fronteira de tração; pontos do painel da extensão, margens de 10, 5 e 2 mm; linha pontilhada do painel do ponto morto, início da zona neutra indicado na patente (30°).</w:t>
      </w:r>
    </w:p>
    <w:p>
      <w:pPr>
        <w:rPr>
          <w:lang w:val="pt-BR"/>
        </w:rPr>
      </w:pPr>
      <w:r>
        <w:rPr>
          <w:lang w:val="pt-BR"/>
        </w:rPr>
        <w:t xml:space="preserve">Os três indicadores de torque crescem monotonicamente com h em todo o intervalo viável. Com a mesma mola, o pico passa de 57,4 u.p. em h = 8 mm para 211,9 u.p. na fronteira de tração; o torque médio de 90° a 150°, de 50,3 para 163,6 u.p.; e o trabalho devolvido, de 108,8 para 315,9 u.p.·rad. O motivo é geométrico: o braço de momento é limitado por |OA| = √(h</w:t>
      </w:r>
      <w:r>
        <w:rPr>
          <w:vertAlign w:val="superscript"/>
          <w:lang w:val="pt-BR"/>
        </w:rPr>
        <w:t xml:space="preserve">2</w:t>
      </w:r>
      <w:r>
        <w:rPr>
          <w:lang w:val="pt-BR"/>
        </w:rPr>
        <w:t xml:space="preserve"> + p</w:t>
      </w:r>
      <w:r>
        <w:rPr>
          <w:vertAlign w:val="superscript"/>
          <w:lang w:val="pt-BR"/>
        </w:rPr>
        <w:t xml:space="preserve">2</w:t>
      </w:r>
      <w:r>
        <w:rPr>
          <w:lang w:val="pt-BR"/>
        </w:rPr>
        <w:t xml:space="preserve">), que cresce com h, e o curso do cabo, e com ele a força da mola, cresce junto. Não há, portanto, ótimo interior: o maior torque devolvido ocorre no limite da restrição de tração.</w:t>
      </w:r>
    </w:p>
    <w:p>
      <w:pPr>
        <w:keepNext/>
        <w:spacing w:before="120" w:after="60"/>
        <w:rPr>
          <w:lang w:val="pt-BR"/>
        </w:rPr>
      </w:pPr>
      <w:r>
        <w:rPr>
          <w:b/>
          <w:lang w:val="pt-BR"/>
        </w:rPr>
        <w:t xml:space="preserve">Tabela 10 — Torque devolvido pelo mecanismo para valores selecionados de h (K e X</w:t>
      </w:r>
      <w:r>
        <w:rPr>
          <w:b/>
          <w:vertAlign w:val="subscript"/>
          <w:lang w:val="pt-BR"/>
        </w:rPr>
        <w:t xml:space="preserve">pose</w:t>
      </w:r>
      <w:r>
        <w:rPr>
          <w:b/>
          <w:lang w:val="pt-BR"/>
        </w:rPr>
        <w:t xml:space="preserve"> congelados)</w:t>
      </w:r>
    </w:p>
    <w:tbl>
      <w:tblPr>
        <w:tblStyle w:val="Tabelacomgrade"/>
        <w:tblW w:w="9360" w:type="dxa"/>
        <w:jc w:val="center"/>
        <w:tblLayout w:type="fixed"/>
        <w:tblLook w:val="0420" w:firstRow="1" w:lastRow="0" w:firstColumn="0" w:lastColumn="0" w:noHBand="0" w:noVBand="1"/>
      </w:tblPr>
      <w:tblGrid>
        <w:gridCol w:w="1060"/>
        <w:gridCol w:w="1120"/>
        <w:gridCol w:w="1300"/>
        <w:gridCol w:w="1300"/>
        <w:gridCol w:w="1150"/>
        <w:gridCol w:w="1150"/>
        <w:gridCol w:w="1100"/>
        <w:gridCol w:w="1180"/>
      </w:tblGrid>
      <w:tr>
        <w:trPr>
          <w:cantSplit/>
          <w:tblHeader/>
        </w:trPr>
        <w:tc>
          <w:tcPr>
            <w:tcW w:w="1060" w:type="dxa"/>
            <w:shd w:val="clear" w:color="auto" w:fill="F2F2F2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b/>
                <w:sz w:val="20"/>
                <w:szCs w:val="20"/>
                <w:lang w:val="pt-BR"/>
              </w:rPr>
              <w:t xml:space="preserve">h (mm)</w:t>
            </w:r>
          </w:p>
        </w:tc>
        <w:tc>
          <w:tcPr>
            <w:tcW w:w="1120" w:type="dxa"/>
            <w:shd w:val="clear" w:color="auto" w:fill="F2F2F2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b/>
                <w:sz w:val="20"/>
                <w:szCs w:val="20"/>
                <w:lang w:val="pt-BR"/>
              </w:rPr>
              <w:t xml:space="preserve">Pico (u.p.)</w:t>
            </w:r>
          </w:p>
        </w:tc>
        <w:tc>
          <w:tcPr>
            <w:tcW w:w="1300" w:type="dxa"/>
            <w:shd w:val="clear" w:color="auto" w:fill="F2F2F2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b/>
                <w:sz w:val="20"/>
                <w:szCs w:val="20"/>
                <w:lang w:val="pt-BR"/>
              </w:rPr>
              <w:t xml:space="preserve">Média 90°–150° (u.p.)</w:t>
            </w:r>
          </w:p>
        </w:tc>
        <w:tc>
          <w:tcPr>
            <w:tcW w:w="1300" w:type="dxa"/>
            <w:shd w:val="clear" w:color="auto" w:fill="F2F2F2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b/>
                <w:sz w:val="20"/>
                <w:szCs w:val="20"/>
                <w:lang w:val="pt-BR"/>
              </w:rPr>
              <w:t xml:space="preserve">Trabalho (u.p.·rad)</w:t>
            </w:r>
          </w:p>
        </w:tc>
        <w:tc>
          <w:tcPr>
            <w:tcW w:w="1150" w:type="dxa"/>
            <w:shd w:val="clear" w:color="auto" w:fill="F2F2F2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b/>
                <w:sz w:val="20"/>
                <w:szCs w:val="20"/>
                <w:lang w:val="pt-BR"/>
              </w:rPr>
              <w:t xml:space="preserve">δ</w:t>
            </w:r>
            <w:r>
              <w:rPr>
                <w:b/>
                <w:sz w:val="20"/>
                <w:szCs w:val="20"/>
                <w:vertAlign w:val="subscript"/>
                <w:lang w:val="pt-BR"/>
              </w:rPr>
              <w:t xml:space="preserve">mín</w:t>
            </w:r>
            <w:r>
              <w:rPr>
                <w:b/>
                <w:sz w:val="20"/>
                <w:szCs w:val="20"/>
                <w:lang w:val="pt-BR"/>
              </w:rPr>
              <w:t xml:space="preserve"> (mm)</w:t>
            </w:r>
          </w:p>
        </w:tc>
        <w:tc>
          <w:tcPr>
            <w:tcW w:w="1150" w:type="dxa"/>
            <w:shd w:val="clear" w:color="auto" w:fill="F2F2F2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b/>
                <w:sz w:val="20"/>
                <w:szCs w:val="20"/>
                <w:lang w:val="pt-BR"/>
              </w:rPr>
              <w:t xml:space="preserve">L</w:t>
            </w:r>
            <w:r>
              <w:rPr>
                <w:b/>
                <w:sz w:val="20"/>
                <w:szCs w:val="20"/>
                <w:vertAlign w:val="subscript"/>
                <w:lang w:val="pt-BR"/>
              </w:rPr>
              <w:t xml:space="preserve">livre</w:t>
            </w:r>
            <w:r>
              <w:rPr>
                <w:b/>
                <w:sz w:val="20"/>
                <w:szCs w:val="20"/>
                <w:lang w:val="pt-BR"/>
              </w:rPr>
              <w:t xml:space="preserve"> + δ</w:t>
            </w:r>
            <w:r>
              <w:rPr>
                <w:b/>
                <w:sz w:val="20"/>
                <w:szCs w:val="20"/>
                <w:vertAlign w:val="subscript"/>
                <w:lang w:val="pt-BR"/>
              </w:rPr>
              <w:t xml:space="preserve">máx</w:t>
            </w:r>
            <w:r>
              <w:rPr>
                <w:b/>
                <w:sz w:val="20"/>
                <w:szCs w:val="20"/>
                <w:lang w:val="pt-BR"/>
              </w:rPr>
              <w:t xml:space="preserve"> (mm)</w:t>
            </w:r>
          </w:p>
        </w:tc>
        <w:tc>
          <w:tcPr>
            <w:tcW w:w="1100" w:type="dxa"/>
            <w:shd w:val="clear" w:color="auto" w:fill="F2F2F2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b/>
                <w:sz w:val="20"/>
                <w:szCs w:val="20"/>
                <w:lang w:val="pt-BR"/>
              </w:rPr>
              <w:t xml:space="preserve">Ponto morto (°)</w:t>
            </w:r>
          </w:p>
        </w:tc>
        <w:tc>
          <w:tcPr>
            <w:tcW w:w="1180" w:type="dxa"/>
            <w:shd w:val="clear" w:color="auto" w:fill="F2F2F2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b/>
                <w:sz w:val="20"/>
                <w:szCs w:val="20"/>
                <w:lang w:val="pt-BR"/>
              </w:rPr>
              <w:t xml:space="preserve">K δ</w:t>
            </w:r>
            <w:r>
              <w:rPr>
                <w:b/>
                <w:sz w:val="20"/>
                <w:szCs w:val="20"/>
                <w:vertAlign w:val="subscript"/>
                <w:lang w:val="pt-BR"/>
              </w:rPr>
              <w:t xml:space="preserve">máx</w:t>
            </w:r>
          </w:p>
        </w:tc>
      </w:tr>
      <w:tr>
        <w:trPr>
          <w:cantSplit/>
        </w:trPr>
        <w:tc>
          <w:tcPr>
            <w:tcW w:w="106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8,000</w:t>
            </w:r>
          </w:p>
        </w:tc>
        <w:tc>
          <w:tcPr>
            <w:tcW w:w="112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57,4</w:t>
            </w:r>
          </w:p>
        </w:tc>
        <w:tc>
          <w:tcPr>
            <w:tcW w:w="13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50,3</w:t>
            </w:r>
          </w:p>
        </w:tc>
        <w:tc>
          <w:tcPr>
            <w:tcW w:w="13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108,8</w:t>
            </w:r>
          </w:p>
        </w:tc>
        <w:tc>
          <w:tcPr>
            <w:tcW w:w="115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29,20</w:t>
            </w:r>
          </w:p>
        </w:tc>
        <w:tc>
          <w:tcPr>
            <w:tcW w:w="115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99,8</w:t>
            </w:r>
          </w:p>
        </w:tc>
        <w:tc>
          <w:tcPr>
            <w:tcW w:w="11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16,87</w:t>
            </w:r>
          </w:p>
        </w:tc>
        <w:tc>
          <w:tcPr>
            <w:tcW w:w="118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8.001</w:t>
            </w:r>
          </w:p>
        </w:tc>
      </w:tr>
      <w:tr>
        <w:trPr>
          <w:cantSplit/>
        </w:trPr>
        <w:tc>
          <w:tcPr>
            <w:tcW w:w="106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12,000</w:t>
            </w:r>
          </w:p>
        </w:tc>
        <w:tc>
          <w:tcPr>
            <w:tcW w:w="112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81,4</w:t>
            </w:r>
          </w:p>
        </w:tc>
        <w:tc>
          <w:tcPr>
            <w:tcW w:w="13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72,1</w:t>
            </w:r>
          </w:p>
        </w:tc>
        <w:tc>
          <w:tcPr>
            <w:tcW w:w="13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150,4</w:t>
            </w:r>
          </w:p>
        </w:tc>
        <w:tc>
          <w:tcPr>
            <w:tcW w:w="115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24,56</w:t>
            </w:r>
          </w:p>
        </w:tc>
        <w:tc>
          <w:tcPr>
            <w:tcW w:w="115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102,2</w:t>
            </w:r>
          </w:p>
        </w:tc>
        <w:tc>
          <w:tcPr>
            <w:tcW w:w="11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23,67</w:t>
            </w:r>
          </w:p>
        </w:tc>
        <w:tc>
          <w:tcPr>
            <w:tcW w:w="118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8.424</w:t>
            </w:r>
          </w:p>
        </w:tc>
      </w:tr>
      <w:tr>
        <w:trPr>
          <w:cantSplit/>
        </w:trPr>
        <w:tc>
          <w:tcPr>
            <w:tcW w:w="106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16,000</w:t>
            </w:r>
          </w:p>
        </w:tc>
        <w:tc>
          <w:tcPr>
            <w:tcW w:w="112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105,7</w:t>
            </w:r>
          </w:p>
        </w:tc>
        <w:tc>
          <w:tcPr>
            <w:tcW w:w="13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92,4</w:t>
            </w:r>
          </w:p>
        </w:tc>
        <w:tc>
          <w:tcPr>
            <w:tcW w:w="13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189,0</w:t>
            </w:r>
          </w:p>
        </w:tc>
        <w:tc>
          <w:tcPr>
            <w:tcW w:w="115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19,90</w:t>
            </w:r>
          </w:p>
        </w:tc>
        <w:tc>
          <w:tcPr>
            <w:tcW w:w="115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104,6</w:t>
            </w:r>
          </w:p>
        </w:tc>
        <w:tc>
          <w:tcPr>
            <w:tcW w:w="11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27,24</w:t>
            </w:r>
          </w:p>
        </w:tc>
        <w:tc>
          <w:tcPr>
            <w:tcW w:w="118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8.839</w:t>
            </w:r>
          </w:p>
        </w:tc>
      </w:tr>
      <w:tr>
        <w:trPr>
          <w:cantSplit/>
        </w:trPr>
        <w:tc>
          <w:tcPr>
            <w:tcW w:w="106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20,000</w:t>
            </w:r>
          </w:p>
        </w:tc>
        <w:tc>
          <w:tcPr>
            <w:tcW w:w="112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130,3</w:t>
            </w:r>
          </w:p>
        </w:tc>
        <w:tc>
          <w:tcPr>
            <w:tcW w:w="13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111,5</w:t>
            </w:r>
          </w:p>
        </w:tc>
        <w:tc>
          <w:tcPr>
            <w:tcW w:w="13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224,5</w:t>
            </w:r>
          </w:p>
        </w:tc>
        <w:tc>
          <w:tcPr>
            <w:tcW w:w="115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15,22</w:t>
            </w:r>
          </w:p>
        </w:tc>
        <w:tc>
          <w:tcPr>
            <w:tcW w:w="115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106,9</w:t>
            </w:r>
          </w:p>
        </w:tc>
        <w:tc>
          <w:tcPr>
            <w:tcW w:w="11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29,43</w:t>
            </w:r>
          </w:p>
        </w:tc>
        <w:tc>
          <w:tcPr>
            <w:tcW w:w="118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9.246</w:t>
            </w:r>
          </w:p>
        </w:tc>
      </w:tr>
      <w:tr>
        <w:trPr>
          <w:cantSplit/>
        </w:trPr>
        <w:tc>
          <w:tcPr>
            <w:tcW w:w="106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22,701</w:t>
            </w:r>
          </w:p>
        </w:tc>
        <w:tc>
          <w:tcPr>
            <w:tcW w:w="112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147,1</w:t>
            </w:r>
          </w:p>
        </w:tc>
        <w:tc>
          <w:tcPr>
            <w:tcW w:w="13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123,6</w:t>
            </w:r>
          </w:p>
        </w:tc>
        <w:tc>
          <w:tcPr>
            <w:tcW w:w="13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246,5</w:t>
            </w:r>
          </w:p>
        </w:tc>
        <w:tc>
          <w:tcPr>
            <w:tcW w:w="115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12,04</w:t>
            </w:r>
          </w:p>
        </w:tc>
        <w:tc>
          <w:tcPr>
            <w:tcW w:w="115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108,4</w:t>
            </w:r>
          </w:p>
        </w:tc>
        <w:tc>
          <w:tcPr>
            <w:tcW w:w="11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30,49</w:t>
            </w:r>
          </w:p>
        </w:tc>
        <w:tc>
          <w:tcPr>
            <w:tcW w:w="118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9.516</w:t>
            </w:r>
          </w:p>
        </w:tc>
      </w:tr>
      <w:tr>
        <w:trPr>
          <w:cantSplit/>
        </w:trPr>
        <w:tc>
          <w:tcPr>
            <w:tcW w:w="106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25,000</w:t>
            </w:r>
          </w:p>
        </w:tc>
        <w:tc>
          <w:tcPr>
            <w:tcW w:w="112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161,5</w:t>
            </w:r>
          </w:p>
        </w:tc>
        <w:tc>
          <w:tcPr>
            <w:tcW w:w="13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133,4</w:t>
            </w:r>
          </w:p>
        </w:tc>
        <w:tc>
          <w:tcPr>
            <w:tcW w:w="13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264,1</w:t>
            </w:r>
          </w:p>
        </w:tc>
        <w:tc>
          <w:tcPr>
            <w:tcW w:w="115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9,34</w:t>
            </w:r>
          </w:p>
        </w:tc>
        <w:tc>
          <w:tcPr>
            <w:tcW w:w="115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109,8</w:t>
            </w:r>
          </w:p>
        </w:tc>
        <w:tc>
          <w:tcPr>
            <w:tcW w:w="11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31,20</w:t>
            </w:r>
          </w:p>
        </w:tc>
        <w:tc>
          <w:tcPr>
            <w:tcW w:w="118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9.745</w:t>
            </w:r>
          </w:p>
        </w:tc>
      </w:tr>
      <w:tr>
        <w:trPr>
          <w:cantSplit/>
        </w:trPr>
        <w:tc>
          <w:tcPr>
            <w:tcW w:w="106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28,000</w:t>
            </w:r>
          </w:p>
        </w:tc>
        <w:tc>
          <w:tcPr>
            <w:tcW w:w="112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180,5</w:t>
            </w:r>
          </w:p>
        </w:tc>
        <w:tc>
          <w:tcPr>
            <w:tcW w:w="13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145,5</w:t>
            </w:r>
          </w:p>
        </w:tc>
        <w:tc>
          <w:tcPr>
            <w:tcW w:w="13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285,4</w:t>
            </w:r>
          </w:p>
        </w:tc>
        <w:tc>
          <w:tcPr>
            <w:tcW w:w="115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5,79</w:t>
            </w:r>
          </w:p>
        </w:tc>
        <w:tc>
          <w:tcPr>
            <w:tcW w:w="115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111,4</w:t>
            </w:r>
          </w:p>
        </w:tc>
        <w:tc>
          <w:tcPr>
            <w:tcW w:w="11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31,97</w:t>
            </w:r>
          </w:p>
        </w:tc>
        <w:tc>
          <w:tcPr>
            <w:tcW w:w="118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10.039</w:t>
            </w:r>
          </w:p>
        </w:tc>
      </w:tr>
      <w:tr>
        <w:trPr>
          <w:cantSplit/>
        </w:trPr>
        <w:tc>
          <w:tcPr>
            <w:tcW w:w="106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30,000</w:t>
            </w:r>
          </w:p>
        </w:tc>
        <w:tc>
          <w:tcPr>
            <w:tcW w:w="112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193,3</w:t>
            </w:r>
          </w:p>
        </w:tc>
        <w:tc>
          <w:tcPr>
            <w:tcW w:w="13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153,2</w:t>
            </w:r>
          </w:p>
        </w:tc>
        <w:tc>
          <w:tcPr>
            <w:tcW w:w="13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298,5</w:t>
            </w:r>
          </w:p>
        </w:tc>
        <w:tc>
          <w:tcPr>
            <w:tcW w:w="115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3,42</w:t>
            </w:r>
          </w:p>
        </w:tc>
        <w:tc>
          <w:tcPr>
            <w:tcW w:w="115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112,6</w:t>
            </w:r>
          </w:p>
        </w:tc>
        <w:tc>
          <w:tcPr>
            <w:tcW w:w="11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32,39</w:t>
            </w:r>
          </w:p>
        </w:tc>
        <w:tc>
          <w:tcPr>
            <w:tcW w:w="118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10.234</w:t>
            </w:r>
          </w:p>
        </w:tc>
      </w:tr>
      <w:tr>
        <w:trPr>
          <w:cantSplit/>
        </w:trPr>
        <w:tc>
          <w:tcPr>
            <w:tcW w:w="106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32,886</w:t>
            </w:r>
          </w:p>
        </w:tc>
        <w:tc>
          <w:tcPr>
            <w:tcW w:w="112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211,9</w:t>
            </w:r>
          </w:p>
        </w:tc>
        <w:tc>
          <w:tcPr>
            <w:tcW w:w="13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163,6</w:t>
            </w:r>
          </w:p>
        </w:tc>
        <w:tc>
          <w:tcPr>
            <w:tcW w:w="13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315,9</w:t>
            </w:r>
          </w:p>
        </w:tc>
        <w:tc>
          <w:tcPr>
            <w:tcW w:w="115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0,00</w:t>
            </w:r>
          </w:p>
        </w:tc>
        <w:tc>
          <w:tcPr>
            <w:tcW w:w="115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114,1</w:t>
            </w:r>
          </w:p>
        </w:tc>
        <w:tc>
          <w:tcPr>
            <w:tcW w:w="11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32,92</w:t>
            </w:r>
          </w:p>
        </w:tc>
        <w:tc>
          <w:tcPr>
            <w:tcW w:w="118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10.511</w:t>
            </w:r>
          </w:p>
        </w:tc>
      </w:tr>
    </w:tbl>
    <w:p>
      <w:pPr>
        <w:spacing w:before="60" w:after="60"/>
        <w:rPr>
          <w:lang w:val="pt-BR"/>
        </w:rPr>
      </w:pPr>
      <w:r>
        <w:rPr>
          <w:sz w:val="20"/>
          <w:szCs w:val="20"/>
          <w:lang w:val="pt-BR"/>
        </w:rPr>
        <w:t xml:space="preserve">Fonte: elaborada pelo autor.</w:t>
      </w:r>
    </w:p>
    <w:p>
      <w:pPr>
        <w:spacing w:after="160"/>
        <w:rPr>
          <w:lang w:val="pt-BR"/>
        </w:rPr>
      </w:pPr>
      <w:r>
        <w:rPr>
          <w:sz w:val="20"/>
          <w:szCs w:val="20"/>
          <w:lang w:val="pt-BR"/>
        </w:rPr>
        <w:t xml:space="preserve">Nota: 22,701 mm é o h adotado; 32,886 mm, a fronteira de tração. K δ</w:t>
      </w:r>
      <w:r>
        <w:rPr>
          <w:sz w:val="20"/>
          <w:szCs w:val="20"/>
          <w:vertAlign w:val="subscript"/>
          <w:lang w:val="pt-BR"/>
        </w:rPr>
        <w:t xml:space="preserve">máx</w:t>
      </w:r>
      <w:r>
        <w:rPr>
          <w:sz w:val="20"/>
          <w:szCs w:val="20"/>
          <w:lang w:val="pt-BR"/>
        </w:rPr>
        <w:t xml:space="preserve"> na unidade de K multiplicada por milímetro.</w:t>
      </w:r>
    </w:p>
    <w:p>
      <w:pPr>
        <w:rPr>
          <w:lang w:val="pt-BR"/>
        </w:rPr>
      </w:pPr>
      <w:r>
        <w:rPr>
          <w:lang w:val="pt-BR"/>
        </w:rPr>
        <w:t xml:space="preserve">O ótimo estrito, h* = 32,886 mm, devolve 32% mais torque médio na faixa de trabalho que o h adotado, 44% mais torque de pico e 28% mais trabalho. Ele tem, porém, extensão mínima nula: com o braço elevado a 180,1°, a mola chega ao comprimento livre e o cabo fica no limite do afrouxamento, sem pré-tensão. Qualquer tolerância de montagem, folga do cabo ou relaxação da mola faria o cabo afrouxar nessa postura. Por isso, o ótimo de projeto é o h que maximiza o torque mantendo uma margem mínima de extensão, δ</w:t>
      </w:r>
      <w:r>
        <w:rPr>
          <w:vertAlign w:val="subscript"/>
          <w:lang w:val="pt-BR"/>
        </w:rPr>
        <w:t xml:space="preserve">marg</w:t>
      </w:r>
      <w:r>
        <w:rPr>
          <w:lang w:val="pt-BR"/>
        </w:rPr>
        <w:t xml:space="preserve"> na Equação (28).</w:t>
      </w:r>
    </w:p>
    <w:p>
      <w:pPr>
        <w:keepNext/>
        <w:spacing w:before="120" w:after="60"/>
        <w:rPr>
          <w:lang w:val="pt-BR"/>
        </w:rPr>
      </w:pPr>
      <w:r>
        <w:rPr>
          <w:b/>
          <w:lang w:val="pt-BR"/>
        </w:rPr>
        <w:t xml:space="preserve">Tabela 11 — Ótimo de h para margens mínimas de extensão da mola</w:t>
      </w:r>
    </w:p>
    <w:tbl>
      <w:tblPr>
        <w:tblStyle w:val="Tabelacomgrade"/>
        <w:tblW w:w="9360" w:type="dxa"/>
        <w:jc w:val="center"/>
        <w:tblLayout w:type="fixed"/>
        <w:tblLook w:val="0420" w:firstRow="1" w:lastRow="0" w:firstColumn="0" w:lastColumn="0" w:noHBand="0" w:noVBand="1"/>
      </w:tblPr>
      <w:tblGrid>
        <w:gridCol w:w="1500"/>
        <w:gridCol w:w="1260"/>
        <w:gridCol w:w="1300"/>
        <w:gridCol w:w="1600"/>
        <w:gridCol w:w="1500"/>
        <w:gridCol w:w="1100"/>
        <w:gridCol w:w="1100"/>
      </w:tblGrid>
      <w:tr>
        <w:trPr>
          <w:cantSplit/>
          <w:tblHeader/>
        </w:trPr>
        <w:tc>
          <w:tcPr>
            <w:tcW w:w="1500" w:type="dxa"/>
            <w:shd w:val="clear" w:color="auto" w:fill="F2F2F2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b/>
                <w:sz w:val="20"/>
                <w:szCs w:val="20"/>
                <w:lang w:val="pt-BR"/>
              </w:rPr>
              <w:t xml:space="preserve">Margem δ</w:t>
            </w:r>
            <w:r>
              <w:rPr>
                <w:b/>
                <w:sz w:val="20"/>
                <w:szCs w:val="20"/>
                <w:vertAlign w:val="subscript"/>
                <w:lang w:val="pt-BR"/>
              </w:rPr>
              <w:t xml:space="preserve">marg</w:t>
            </w:r>
            <w:r>
              <w:rPr>
                <w:b/>
                <w:sz w:val="20"/>
                <w:szCs w:val="20"/>
                <w:lang w:val="pt-BR"/>
              </w:rPr>
              <w:t xml:space="preserve"> (mm)</w:t>
            </w:r>
          </w:p>
        </w:tc>
        <w:tc>
          <w:tcPr>
            <w:tcW w:w="1260" w:type="dxa"/>
            <w:shd w:val="clear" w:color="auto" w:fill="F2F2F2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b/>
                <w:sz w:val="20"/>
                <w:szCs w:val="20"/>
                <w:lang w:val="pt-BR"/>
              </w:rPr>
              <w:t xml:space="preserve">h* (mm)</w:t>
            </w:r>
          </w:p>
        </w:tc>
        <w:tc>
          <w:tcPr>
            <w:tcW w:w="1300" w:type="dxa"/>
            <w:shd w:val="clear" w:color="auto" w:fill="F2F2F2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b/>
                <w:sz w:val="20"/>
                <w:szCs w:val="20"/>
                <w:lang w:val="pt-BR"/>
              </w:rPr>
              <w:t xml:space="preserve">Pico (u.p.)</w:t>
            </w:r>
          </w:p>
        </w:tc>
        <w:tc>
          <w:tcPr>
            <w:tcW w:w="1600" w:type="dxa"/>
            <w:shd w:val="clear" w:color="auto" w:fill="F2F2F2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b/>
                <w:sz w:val="20"/>
                <w:szCs w:val="20"/>
                <w:lang w:val="pt-BR"/>
              </w:rPr>
              <w:t xml:space="preserve">Média 90°–150° (u.p.)</w:t>
            </w:r>
          </w:p>
        </w:tc>
        <w:tc>
          <w:tcPr>
            <w:tcW w:w="1500" w:type="dxa"/>
            <w:shd w:val="clear" w:color="auto" w:fill="F2F2F2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b/>
                <w:sz w:val="20"/>
                <w:szCs w:val="20"/>
                <w:lang w:val="pt-BR"/>
              </w:rPr>
              <w:t xml:space="preserve">Ganho sobre o h adotado</w:t>
            </w:r>
          </w:p>
        </w:tc>
        <w:tc>
          <w:tcPr>
            <w:tcW w:w="1100" w:type="dxa"/>
            <w:shd w:val="clear" w:color="auto" w:fill="F2F2F2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b/>
                <w:sz w:val="20"/>
                <w:szCs w:val="20"/>
                <w:lang w:val="pt-BR"/>
              </w:rPr>
              <w:t xml:space="preserve">L</w:t>
            </w:r>
            <w:r>
              <w:rPr>
                <w:b/>
                <w:sz w:val="20"/>
                <w:szCs w:val="20"/>
                <w:vertAlign w:val="subscript"/>
                <w:lang w:val="pt-BR"/>
              </w:rPr>
              <w:t xml:space="preserve">livre</w:t>
            </w:r>
            <w:r>
              <w:rPr>
                <w:b/>
                <w:sz w:val="20"/>
                <w:szCs w:val="20"/>
                <w:lang w:val="pt-BR"/>
              </w:rPr>
              <w:t xml:space="preserve"> + δ</w:t>
            </w:r>
            <w:r>
              <w:rPr>
                <w:b/>
                <w:sz w:val="20"/>
                <w:szCs w:val="20"/>
                <w:vertAlign w:val="subscript"/>
                <w:lang w:val="pt-BR"/>
              </w:rPr>
              <w:t xml:space="preserve">máx</w:t>
            </w:r>
            <w:r>
              <w:rPr>
                <w:b/>
                <w:sz w:val="20"/>
                <w:szCs w:val="20"/>
                <w:lang w:val="pt-BR"/>
              </w:rPr>
              <w:t xml:space="preserve"> (mm)</w:t>
            </w:r>
          </w:p>
        </w:tc>
        <w:tc>
          <w:tcPr>
            <w:tcW w:w="1100" w:type="dxa"/>
            <w:shd w:val="clear" w:color="auto" w:fill="F2F2F2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b/>
                <w:sz w:val="20"/>
                <w:szCs w:val="20"/>
                <w:lang w:val="pt-BR"/>
              </w:rPr>
              <w:t xml:space="preserve">Ponto morto (°)</w:t>
            </w:r>
          </w:p>
        </w:tc>
      </w:tr>
      <w:tr>
        <w:trPr>
          <w:cantSplit/>
        </w:trPr>
        <w:tc>
          <w:tcPr>
            <w:tcW w:w="15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10</w:t>
            </w:r>
          </w:p>
        </w:tc>
        <w:tc>
          <w:tcPr>
            <w:tcW w:w="126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24,437</w:t>
            </w:r>
          </w:p>
        </w:tc>
        <w:tc>
          <w:tcPr>
            <w:tcW w:w="13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157,9</w:t>
            </w:r>
          </w:p>
        </w:tc>
        <w:tc>
          <w:tcPr>
            <w:tcW w:w="16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131,0</w:t>
            </w:r>
          </w:p>
        </w:tc>
        <w:tc>
          <w:tcPr>
            <w:tcW w:w="15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+6,0%</w:t>
            </w:r>
          </w:p>
        </w:tc>
        <w:tc>
          <w:tcPr>
            <w:tcW w:w="11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109,4</w:t>
            </w:r>
          </w:p>
        </w:tc>
        <w:tc>
          <w:tcPr>
            <w:tcW w:w="11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31,04</w:t>
            </w:r>
          </w:p>
        </w:tc>
      </w:tr>
      <w:tr>
        <w:trPr>
          <w:cantSplit/>
        </w:trPr>
        <w:tc>
          <w:tcPr>
            <w:tcW w:w="15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5</w:t>
            </w:r>
          </w:p>
        </w:tc>
        <w:tc>
          <w:tcPr>
            <w:tcW w:w="126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28,670</w:t>
            </w:r>
          </w:p>
        </w:tc>
        <w:tc>
          <w:tcPr>
            <w:tcW w:w="13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184,8</w:t>
            </w:r>
          </w:p>
        </w:tc>
        <w:tc>
          <w:tcPr>
            <w:tcW w:w="16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148,1</w:t>
            </w:r>
          </w:p>
        </w:tc>
        <w:tc>
          <w:tcPr>
            <w:tcW w:w="15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+19,9%</w:t>
            </w:r>
          </w:p>
        </w:tc>
        <w:tc>
          <w:tcPr>
            <w:tcW w:w="11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111,8</w:t>
            </w:r>
          </w:p>
        </w:tc>
        <w:tc>
          <w:tcPr>
            <w:tcW w:w="11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32,12</w:t>
            </w:r>
          </w:p>
        </w:tc>
      </w:tr>
      <w:tr>
        <w:trPr>
          <w:cantSplit/>
        </w:trPr>
        <w:tc>
          <w:tcPr>
            <w:tcW w:w="15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2</w:t>
            </w:r>
          </w:p>
        </w:tc>
        <w:tc>
          <w:tcPr>
            <w:tcW w:w="126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31,201</w:t>
            </w:r>
          </w:p>
        </w:tc>
        <w:tc>
          <w:tcPr>
            <w:tcW w:w="13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201,0</w:t>
            </w:r>
          </w:p>
        </w:tc>
        <w:tc>
          <w:tcPr>
            <w:tcW w:w="16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157,6</w:t>
            </w:r>
          </w:p>
        </w:tc>
        <w:tc>
          <w:tcPr>
            <w:tcW w:w="15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+27,5%</w:t>
            </w:r>
          </w:p>
        </w:tc>
        <w:tc>
          <w:tcPr>
            <w:tcW w:w="11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113,2</w:t>
            </w:r>
          </w:p>
        </w:tc>
        <w:tc>
          <w:tcPr>
            <w:tcW w:w="11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32,62</w:t>
            </w:r>
          </w:p>
        </w:tc>
      </w:tr>
      <w:tr>
        <w:trPr>
          <w:cantSplit/>
        </w:trPr>
        <w:tc>
          <w:tcPr>
            <w:tcW w:w="15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0 (estrito)</w:t>
            </w:r>
          </w:p>
        </w:tc>
        <w:tc>
          <w:tcPr>
            <w:tcW w:w="126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32,886</w:t>
            </w:r>
          </w:p>
        </w:tc>
        <w:tc>
          <w:tcPr>
            <w:tcW w:w="13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211,9</w:t>
            </w:r>
          </w:p>
        </w:tc>
        <w:tc>
          <w:tcPr>
            <w:tcW w:w="16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163,6</w:t>
            </w:r>
          </w:p>
        </w:tc>
        <w:tc>
          <w:tcPr>
            <w:tcW w:w="15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+32,4%</w:t>
            </w:r>
          </w:p>
        </w:tc>
        <w:tc>
          <w:tcPr>
            <w:tcW w:w="11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114,1</w:t>
            </w:r>
          </w:p>
        </w:tc>
        <w:tc>
          <w:tcPr>
            <w:tcW w:w="1100" w:type="dxa"/>
            <w:vAlign w:val="center"/>
          </w:tcPr>
          <w:p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32,92</w:t>
            </w:r>
          </w:p>
        </w:tc>
      </w:tr>
    </w:tbl>
    <w:p>
      <w:pPr>
        <w:spacing w:before="60" w:after="60"/>
        <w:rPr>
          <w:lang w:val="pt-BR"/>
        </w:rPr>
      </w:pPr>
      <w:r>
        <w:rPr>
          <w:sz w:val="20"/>
          <w:szCs w:val="20"/>
          <w:lang w:val="pt-BR"/>
        </w:rPr>
        <w:t xml:space="preserve">Fonte: elaborada pelo autor.</w:t>
      </w:r>
    </w:p>
    <w:p>
      <w:pPr>
        <w:rPr>
          <w:lang w:val="pt-BR"/>
        </w:rPr>
      </w:pPr>
      <w:r>
        <w:rPr>
          <w:lang w:val="pt-BR"/>
        </w:rPr>
        <w:t xml:space="preserve">Como a extensão mínima decresce linearmente com h, cada milímetro de margem custa cerca de 0,85 mm de ancoragem. Com margem de 5 mm, o ótimo fica em h* = 28,67 mm e devolve 20% mais torque médio que o h adotado; com margem de 10 mm, em h* = 24,44 mm, o ganho cai a 6%. O h adotado corresponde a uma margem de 12,04 mm. A escolha da margem é decisão de projeto, que depende da tolerância de montagem e da especificação da mola, e não pode ser fixada pela análise.</w:t>
      </w:r>
    </w:p>
    <w:p>
      <w:pPr>
        <w:rPr>
          <w:lang w:val="pt-BR"/>
        </w:rPr>
      </w:pPr>
      <w:r>
        <w:rPr>
          <w:lang w:val="pt-BR"/>
        </w:rPr>
        <w:t xml:space="preserve">O ganho de torque tem três contrapartidas. A primeira é a carga na mola: a tração máxima cresce 10,5% do h adotado à fronteira, e o comprimento máximo da mola, de 108,4 para 114,1 mm, ainda inferior ao alojamento de 131,37 mm. A segunda é a extensão relativa: a razão entre extensão máxima e comprimento livre passa de 1,009 para 1,115, o que exige mola com deflexão admissível correspondente. A terceira é o ponto morto, que se desloca de 30,49° para 32,92° de elevação: o braço passa a ser liberado 2,4° mais cedo ao ser abaixado, afastando-se do início da zona neutra indicado na patente. O pico também se desloca, de 97,5° para 94,9° de elevação, aproximando-se do pico gravitacional, a 89,44°.</w:t>
      </w:r>
    </w:p>
    <w:p>
      <w:pPr>
        <w:rPr>
          <w:lang w:val="pt-BR"/>
        </w:rPr>
      </w:pPr>
      <w:r>
        <w:rPr>
          <w:lang w:val="pt-BR"/>
        </w:rPr>
        <w:t xml:space="preserve">Esses valores de h são alternativas de projeto, e não identificações do dispositivo da patente. Com K e X</w:t>
      </w:r>
      <w:r>
        <w:rPr>
          <w:vertAlign w:val="subscript"/>
          <w:lang w:val="pt-BR"/>
        </w:rPr>
        <w:t xml:space="preserve">pose</w:t>
      </w:r>
      <w:r>
        <w:rPr>
          <w:lang w:val="pt-BR"/>
        </w:rPr>
        <w:t xml:space="preserve"> congelados, apenas o h adotado reproduz a curva publicada (seção 4.5); os demais descrevem o mesmo conjunto de mola e montagem com a ancoragem deslocada. O resultado indica que, para a mola identificada, a ancoragem pode ser afastada do pivô até cerca de 28 a 31 mm, conforme a margem exigida, com ganho de 20 a 28% no torque médio devolvido na faixa de trabalho.</w:t>
      </w:r>
    </w:p>
    <w:p>
      <w:pPr>
        <w:pStyle w:val="Ttulo2"/>
        <w:rPr>
          <w:lang w:val="pt-BR"/>
        </w:rPr>
      </w:pPr>
      <w:r>
        <w:rPr>
          <w:lang w:val="pt-BR"/>
        </w:rPr>
        <w:t xml:space="preserve">4.8 Confronto entre o torque do cabo e o torque gravitacional</w:t>
      </w:r>
    </w:p>
    <w:p>
      <w:pPr>
        <w:rPr>
          <w:lang w:val="pt-BR"/>
        </w:rPr>
      </w:pPr>
      <w:r>
        <w:rPr>
          <w:lang w:val="pt-BR"/>
        </w:rPr>
        <w:t xml:space="preserve">O torque gravitacional do conjunto, calculado pela Equação (24) de forma independente da cadeia do cabo, atinge o máximo de 11,1619 N·m na elevação de 89,44°, o que corrobora a previsão da seção 2.1, de momento gravitacional máximo com o segmento perpendicular à gravidade. O desvio de 0,56° em relação a 90° indica que a linha que une o pivô ao centro de massa do conjunto forma esse ângulo com a direção do braço adotada na convenção da patente. O valor do pico coincide com M g d da Tabela 3. O módulo da Equação (24) oculta a troca de sentido do torque em θ* = 43,579° (elevação de 179,44°), que afeta apenas os 0,66° iniciais da faixa, com torque inferior a 0,13 N·m.</w:t>
      </w:r>
    </w:p>
    <w:p>
      <w:pPr>
        <w:rPr>
          <w:lang w:val="pt-BR"/>
        </w:rPr>
      </w:pPr>
      <w:r>
        <w:rPr>
          <w:lang w:val="pt-BR"/>
        </w:rPr>
        <w:t xml:space="preserve">A comparação entre as duas curvas exige cautela metodológica. Como a ordenada da curva publicada não tem unidade declarada e a seção 4.6 mostrou que sua leitura em N·m é implausível, as magnitudes não são comparáveis. O que se pode confrontar é a forma dos perfis, apresentados na Figura 5 normalizados pelos respectivos valores de pico, em função da elevação anatômica. Como a normalização elimina a escala, o confronto não informa que fração do torque gravitacional o mecanismo compensa.</w:t>
      </w:r>
    </w:p>
    <w:p>
      <w:pPr>
        <w:keepNext/>
        <w:spacing w:before="120" w:after="60"/>
        <w:rPr>
          <w:lang w:val="pt-BR"/>
        </w:rPr>
      </w:pPr>
      <w:r>
        <w:rPr>
          <w:b/>
          <w:lang w:val="pt-BR"/>
        </w:rPr>
        <w:t xml:space="preserve">Figura 5 — Torque do cabo e torque gravitacional normalizados pelos respectivos picos, em função da elevação anatômica (K = 174,68; h = 22,701 mm; X</w:t>
      </w:r>
      <w:r>
        <w:rPr>
          <w:b/>
          <w:vertAlign w:val="subscript"/>
          <w:lang w:val="pt-BR"/>
        </w:rPr>
        <w:t xml:space="preserve">pose</w:t>
      </w:r>
      <w:r>
        <w:rPr>
          <w:b/>
          <w:lang w:val="pt-BR"/>
        </w:rPr>
        <w:t xml:space="preserve"> = 37,383 mm)</w:t>
      </w:r>
    </w:p>
    <w:p xmlns:a="http://schemas.openxmlformats.org/drawingml/2006/main" xmlns:pic="http://schemas.openxmlformats.org/drawingml/2006/picture">
      <w:pPr>
        <w:keepNext/>
        <w:spacing w:after="60"/>
        <w:jc w:val="center"/>
        <w:rPr>
          <w:lang w:val="pt-BR"/>
        </w:rPr>
      </w:pPr>
      <w:r>
        <w:rPr>
          <w:noProof/>
          <w:lang w:val="pt-BR"/>
        </w:rPr>
        <w:drawing>
          <wp:inline distT="0" distB="0" distL="0" distR="0">
            <wp:extent cx="5029200" cy="2640330"/>
            <wp:effectExtent l="0" t="0" r="0" b="0"/>
            <wp:docPr id="905" name="Figura 5" descr="Curvas normalizadas do torque do cabo e do torque gravitacional em função da elevação, de 30° a 180°, com o cruzamento em 93,96°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5" name="Figura 5" descr="Curvas normalizadas do torque do cabo e do torque gravitacional em função da elevação, de 30° a 180°, com o cruzamento em 93,96°."/>
                    <pic:cNvPicPr/>
                  </pic:nvPicPr>
                  <pic:blipFill>
                    <a:blip r:embed="rIdTccFig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60"/>
        <w:rPr>
          <w:lang w:val="pt-BR"/>
        </w:rPr>
      </w:pPr>
      <w:r>
        <w:rPr>
          <w:sz w:val="20"/>
          <w:szCs w:val="20"/>
          <w:lang w:val="pt-BR"/>
        </w:rPr>
        <w:t xml:space="preserve">Fonte: elaborada pelo autor.</w:t>
      </w:r>
    </w:p>
    <w:p>
      <w:pPr>
        <w:spacing w:after="160"/>
        <w:rPr>
          <w:lang w:val="pt-BR"/>
        </w:rPr>
      </w:pPr>
      <w:r>
        <w:rPr>
          <w:sz w:val="20"/>
          <w:szCs w:val="20"/>
          <w:lang w:val="pt-BR"/>
        </w:rPr>
        <w:t xml:space="preserve">Nota: a linha pontilhada marca o cruzamento das curvas normalizadas.</w:t>
      </w:r>
    </w:p>
    <w:p>
      <w:pPr>
        <w:rPr>
          <w:lang w:val="pt-BR"/>
        </w:rPr>
      </w:pPr>
      <w:r>
        <w:rPr>
          <w:lang w:val="pt-BR"/>
        </w:rPr>
        <w:t xml:space="preserve">Três características emergem do confronto. O pico do torque do cabo ocorre na elevação de 97,48°, e o do torque gravitacional, em 89,44°, com defasagem de 8,05°. O mecanismo entrega sua assistência máxima acima da posição de maior demanda gravitacional, configuração compatível com dispositivo projetado para trabalho acima da cabeça.</w:t>
      </w:r>
    </w:p>
    <w:p>
      <w:pPr>
        <w:rPr>
          <w:lang w:val="pt-BR"/>
        </w:rPr>
      </w:pPr>
      <w:r>
        <w:rPr>
          <w:lang w:val="pt-BR"/>
        </w:rPr>
        <w:t xml:space="preserve">As curvas normalizadas cruzam-se na elevação de 93,96°. Entre 94° e 160°, as diferenças normalizadas (cabo menos peso) são positivas e pequenas, de 0,000 a +0,055; acima de 160°, crescem até +0,184 em 179,44°. Entre 105° e 150°, as duas curvas diferem em no máximo 0,027, o que indica que o perfil elástico reproduz a forma da demanda gravitacional na faixa de maior interesse para o trabalho acima da cabeça.</w:t>
      </w:r>
    </w:p>
    <w:p>
      <w:pPr>
        <w:rPr>
          <w:lang w:val="pt-BR"/>
        </w:rPr>
      </w:pPr>
      <w:r>
        <w:rPr>
          <w:lang w:val="pt-BR"/>
        </w:rPr>
        <w:t xml:space="preserve">Abaixo de 94°, as diferenças tornam-se negativas e crescentes em módulo, até −0,520 na elevação de 30°. No ponto morto, na elevação de 30,485°, o torque gravitacional ainda vale 5,757 N·m, 51,6% de seu pico, enquanto o torque do cabo se anula; em 30°, o torque gravitacional é de 5,675 N·m, 50,8% do pico. Trata-se de característica da arquitetura, e não de deficiência do ajuste: conforme a seção 2.3, a patente prevê que o dispositivo libere o braço nas posturas de não trabalho, em que o usuário precisa de mobilidade para alcançar ferramentas ou repousar o membro.</w:t>
      </w:r>
    </w:p>
    <w:p>
      <w:pPr>
        <w:rPr>
          <w:lang w:val="pt-BR"/>
        </w:rPr>
      </w:pPr>
      <w:r>
        <w:rPr>
          <w:lang w:val="pt-BR"/>
        </w:rPr>
        <w:t xml:space="preserve">O confronto ilustra, em termos quantitativos, a limitação apontada por Nasr, Ferguson e McPhee (2022) e discutida na seção 2.4: um mecanismo passivo entrega torque determinado para cada ângulo, de modo que o ajuste favorável em uma faixa implica desvio em outra. No caso analisado, o compromisso privilegia a faixa acima da horizontal, onde a exposição postural concentra o risco documentado por van der Molen et al. (2017) e Seidler et al. (2020), à custa de subcompensação na faixa inferior. É também a limitação que motiva as soluções semipassivas de assistência regulável referidas na seção 2.4.</w:t>
      </w:r>
    </w:p>
    <w:p>
      <w:pPr>
        <w:pStyle w:val="Ttulo2"/>
        <w:rPr>
          <w:lang w:val="pt-BR"/>
        </w:rPr>
      </w:pPr>
      <w:r>
        <w:rPr>
          <w:lang w:val="pt-BR"/>
        </w:rPr>
        <w:t xml:space="preserve">4.9 Limitações dos resultados</w:t>
      </w:r>
    </w:p>
    <w:p>
      <w:pPr>
        <w:rPr>
          <w:lang w:val="pt-BR"/>
        </w:rPr>
      </w:pPr>
      <w:r>
        <w:rPr>
          <w:lang w:val="pt-BR"/>
        </w:rPr>
        <w:t xml:space="preserve">Além das limitações de escopo da seção 3.13, os resultados comportam as ressalvas a seguir.</w:t>
      </w:r>
    </w:p>
    <w:p>
      <w:pPr>
        <w:rPr>
          <w:lang w:val="pt-BR"/>
        </w:rPr>
      </w:pPr>
      <w:r>
        <w:rPr>
          <w:lang w:val="pt-BR"/>
        </w:rPr>
        <w:t xml:space="preserve">O ponto morto do mecanismo situa-se em θ* = 192,5317°, equivalente à elevação de 30,485°, e a patente indica a zona neutra a partir de 30°, diferença de 0,485°. A protuberância que, no dispositivo real, restringe o gerador de força além desse ângulo não integra o modelo; em consequência, o modelo prevê inversão de sinal do torque após o ponto morto, ao passo que o dispositivo mantém torque residual aproximadamente nulo. A ressalva restringe-se aos 0,485° finais da faixa e ao último ponto extraído.</w:t>
      </w:r>
    </w:p>
    <w:p>
      <w:pPr>
        <w:rPr>
          <w:lang w:val="pt-BR"/>
        </w:rPr>
      </w:pPr>
      <w:r>
        <w:rPr>
          <w:lang w:val="pt-BR"/>
        </w:rPr>
        <w:t xml:space="preserve">A ausência de unidade declarada na ordenada da curva publicada impede a conversão do torque do cabo para N·m e, por conseguinte, o cálculo do torque resultante sobre a articulação e a integração da equação de movimento. Essa conversão exige dado independente, como a especificação de rigidez de uma mola comercial compatível com o mecanismo ou fonte documentada que estabeleça a escala da figura original.</w:t>
      </w:r>
    </w:p>
    <w:p>
      <w:pPr>
        <w:rPr>
          <w:lang w:val="pt-BR"/>
        </w:rPr>
      </w:pPr>
      <w:r>
        <w:rPr>
          <w:lang w:val="pt-BR"/>
        </w:rPr>
        <w:t xml:space="preserve">A identificação foi reproduzida apenas em parte. K e X</w:t>
      </w:r>
      <w:r>
        <w:rPr>
          <w:vertAlign w:val="subscript"/>
          <w:lang w:val="pt-BR"/>
        </w:rPr>
        <w:t xml:space="preserve">pose</w:t>
      </w:r>
      <w:r>
        <w:rPr>
          <w:lang w:val="pt-BR"/>
        </w:rPr>
        <w:t xml:space="preserve"> foram reproduzidos no h adotado, mas a origem de θ</w:t>
      </w:r>
      <w:r>
        <w:rPr>
          <w:vertAlign w:val="subscript"/>
          <w:lang w:val="pt-BR"/>
        </w:rPr>
        <w:t xml:space="preserve">off</w:t>
      </w:r>
      <w:r>
        <w:rPr>
          <w:lang w:val="pt-BR"/>
        </w:rPr>
        <w:t xml:space="preserve"> e de H</w:t>
      </w:r>
      <w:r>
        <w:rPr>
          <w:vertAlign w:val="subscript"/>
          <w:lang w:val="pt-BR"/>
        </w:rPr>
        <w:t xml:space="preserve">CAL</w:t>
      </w:r>
      <w:r>
        <w:rPr>
          <w:lang w:val="pt-BR"/>
        </w:rPr>
        <w:t xml:space="preserve"> não pôde ser reconstituída, e os quatro parâmetros foram identificados e avaliados contra os mesmos 29 pontos, cuja incerteza de extração não está documentada. O valor documental H</w:t>
      </w:r>
      <w:r>
        <w:rPr>
          <w:vertAlign w:val="subscript"/>
          <w:lang w:val="pt-BR"/>
        </w:rPr>
        <w:t xml:space="preserve">CAD</w:t>
      </w:r>
      <w:r>
        <w:rPr>
          <w:lang w:val="pt-BR"/>
        </w:rPr>
        <w:t xml:space="preserve"> é incompatível com os demais parâmetros congelados, pois viola o critério de tração.</w:t>
      </w:r>
    </w:p>
    <w:p>
      <w:pPr>
        <w:rPr>
          <w:lang w:val="pt-BR"/>
        </w:rPr>
      </w:pPr>
      <w:r>
        <w:rPr>
          <w:lang w:val="pt-BR"/>
        </w:rPr>
        <w:t xml:space="preserve">O fator de escala de 0,870, fixado pela comparação entre o comprimento do elo distal e o comprimento de segmento do indivíduo de referência, propaga-se a todas as grandezas dimensionais e de massa, e duas cotas do modelo em CAD permanecem a confirmar. Alterações nessas grandezas exigem a reexecução integral da identificação.</w:t>
      </w:r>
    </w:p>
    <w:p>
      <w:pPr>
        <w:rPr>
          <w:lang w:val="pt-BR"/>
        </w:rPr>
      </w:pPr>
      <w:r>
        <w:rPr>
          <w:lang w:val="pt-BR"/>
        </w:rPr>
        <w:t xml:space="preserve">Por fim, os resultados referem-se a um único dispositivo, ao indivíduo de referência adotado e ao membro superior estendido sem ferramenta na mão, e limitam-se à análise estática. A generalização a outros percentis antropométricos, a outras configurações de cotovelo e à presença de carga na mão demanda a reexecução do procedimento com os parâmetros correspondentes.</w:t>
      </w:r>
    </w:p>
    <w:p>
      <w:pPr>
        <w:pStyle w:val="Ttulo2"/>
        <w:rPr>
          <w:lang w:val="pt-BR"/>
        </w:rPr>
      </w:pPr>
      <w:r>
        <w:rPr>
          <w:lang w:val="pt-BR"/>
        </w:rPr>
        <w:t xml:space="preserve">5 CONCLUSÃO</w:t>
      </w:r>
    </w:p>
    <w:p>
      <w:pPr>
        <w:rPr>
          <w:lang w:val="pt-BR"/>
        </w:rPr>
      </w:pPr>
      <w:r>
        <w:rPr>
          <w:lang w:val="pt-BR"/>
        </w:rPr>
        <w:t xml:space="preserve">Este trabalho reconstruiu, a partir da documentação de patente, o gerador de torque de mola da US 9.889.554 B2 e formulou um modelo estático do torque que ele entrega em função do ângulo. A cinemática foi resolvida em forma fechada a partir da equação de fechamento do circuito vetorial, e cada etapa da cadeia de cálculo foi conferida por verificações independentes, com resíduos da ordem de 10</w:t>
      </w:r>
      <w:r>
        <w:rPr>
          <w:vertAlign w:val="superscript"/>
          <w:lang w:val="pt-BR"/>
        </w:rPr>
        <w:t xml:space="preserve">−13</w:t>
      </w:r>
      <w:r>
        <w:rPr>
          <w:lang w:val="pt-BR"/>
        </w:rPr>
        <w:t xml:space="preserve"> mm nas relações geométricas.</w:t>
      </w:r>
    </w:p>
    <w:p>
      <w:pPr>
        <w:rPr>
          <w:lang w:val="pt-BR"/>
        </w:rPr>
      </w:pPr>
      <w:r>
        <w:rPr>
          <w:lang w:val="pt-BR"/>
        </w:rPr>
        <w:t xml:space="preserve">O princípio dos trabalhos virtuais mostrou-se o critério decisivo na formulação. Ele revelou que a extensão da mola deve acompanhar o caminho completo do cabo, ℓ = s − Rψ, e não apenas o vão livre, que violava a conservação de energia com resíduo de 1,71 mm. A mesma verificação distinguiu o braço de momento perpendicular, limitado a 22,919 mm, da distância do pivô ao ponto de tangência, próxima de 283 mm, cuja confusão superestimaria o torque por um fator superior a 12.</w:t>
      </w:r>
    </w:p>
    <w:p>
      <w:pPr>
        <w:rPr>
          <w:lang w:val="pt-BR"/>
        </w:rPr>
      </w:pPr>
      <w:r>
        <w:rPr>
          <w:lang w:val="pt-BR"/>
        </w:rPr>
        <w:t xml:space="preserve">Com os parâmetros congelados, o modelo reproduz a forma da curva publicada com coeficiente de determinação de 0,99839 e RMSE de 1,83 u.p., equivalente a 1,24% do maior valor extraído. Os resíduos, contudo, organizam-se em zonas de sinal alternado, o que indica diferença sistemática de forma, e a formulação anterior, fisicamente inconsistente, ajustava melhor a curva. A adoção da formulação consistente, apesar do RMSE maior, reflete o critério de que a escolha entre modelos se faz por validade física, e não pelo indicador de erro.</w:t>
      </w:r>
    </w:p>
    <w:p>
      <w:pPr>
        <w:rPr>
          <w:lang w:val="pt-BR"/>
        </w:rPr>
      </w:pPr>
      <w:r>
        <w:rPr>
          <w:lang w:val="pt-BR"/>
        </w:rPr>
        <w:t xml:space="preserve">A otimização da ancoragem mostrou que, com a mesma mola, o torque devolvido cresce monotonicamente com h, e o ótimo é limitado pela tração do cabo. O cabo permanece tracionado somente para h ≤ 32,886 mm, o que exclui a cota de 34,785 mm lida no CAD. No limite, o torque médio devolvido de 90° a 150° de elevação seria 32% maior que no h adotado, mas sem pré-tensão no braço elevado; com margem de 5 mm de extensão, o ótimo de projeto fica em 28,7 mm, com ganho de 20%. O valor adotado, 22,701 mm, mantém margem de 12 mm, e sua origem, ao contrário de K e X</w:t>
      </w:r>
      <w:r>
        <w:rPr>
          <w:vertAlign w:val="subscript"/>
          <w:lang w:val="pt-BR"/>
        </w:rPr>
        <w:t xml:space="preserve">pose</w:t>
      </w:r>
      <w:r>
        <w:rPr>
          <w:lang w:val="pt-BR"/>
        </w:rPr>
        <w:t xml:space="preserve">, não pôde ser reproduzida pela auditoria.</w:t>
      </w:r>
    </w:p>
    <w:p>
      <w:pPr>
        <w:rPr>
          <w:lang w:val="pt-BR"/>
        </w:rPr>
      </w:pPr>
      <w:r>
        <w:rPr>
          <w:lang w:val="pt-BR"/>
        </w:rPr>
        <w:t xml:space="preserve">No confronto com o torque gravitacional do conjunto braço–exoesqueleto, cujo pico de 11,16 N·m ocorre a 89,4° de elevação, as curvas normalizadas diferem em no máximo 0,027 entre 105° e 150° de elevação. O pico do torque do cabo, a 97,5°, fica 8,05° acima do pico gravitacional, e o ponto morto, a 30,5°, libera o braço nas posturas de não trabalho, à custa de subcompensação abaixo de 94°. O resultado quantifica o compromisso de um mecanismo passivo de torque fixo por ângulo, que favorece o trabalho acima da cabeça.</w:t>
      </w:r>
    </w:p>
    <w:p>
      <w:pPr>
        <w:rPr>
          <w:lang w:val="pt-BR"/>
        </w:rPr>
      </w:pPr>
      <w:r>
        <w:rPr>
          <w:lang w:val="pt-BR"/>
        </w:rPr>
        <w:t xml:space="preserve">O objetivo geral foi atingido em sua parte estática e para um dos três dispositivos previstos. Os objetivos específicos a, b, c e e foram cumpridos; o objetivo d, parcialmente, pois a rigidez e a extensão da mola na pose foram reproduzidas, mas a origem da posição da ancoragem e da calibração angular não. Os objetivos f e g, referentes à equação de movimento e ao acoplamento com o MBDyn, não foram executados. A principal restrição é a ausência de unidade na ordenada da curva da patente: o torque do cabo permanece em unidade da patente, e a leitura em N·m conduz a forças implausíveis, de modo que o modelo determina a forma do torque, mas não sua escala física.</w:t>
      </w:r>
    </w:p>
    <w:p>
      <w:pPr>
        <w:rPr>
          <w:lang w:val="pt-BR"/>
        </w:rPr>
      </w:pPr>
      <w:r>
        <w:rPr>
          <w:lang w:val="pt-BR"/>
        </w:rPr>
        <w:t xml:space="preserve">Como continuidade, recomenda-se obter um dado independente que fixe a escala do torque, como a especificação de uma mola comercial compatível; conferir no CAD a cota de ancoragem, o comprimento do alojamento e o comprimento da mola na pose; documentar o procedimento de extração dos pontos e sua incerteza; representar a protuberância responsável pela zona neutra; e, com o torque em unidade física, executar as etapas dinâmicas pela formulação de Lagrange e no MBDyn e estender o procedimento à US 9.737.374 B2 e à EP 3 504 033 B1.</w:t>
      </w:r>
    </w:p>
    <w:p w14:paraId="09379BAD" w14:textId="77777777" w:rsidR="00FD1B34" w:rsidRPr="00955B75" w:rsidRDefault="00000000">
      <w:pPr>
        <w:pStyle w:val="Ttulo2"/>
        <w:rPr>
          <w:lang w:val="pt-BR"/>
        </w:rPr>
      </w:pPr>
      <w:r>
        <w:rPr>
          <w:lang w:val="pt-BR"/>
        </w:rPr>
        <w:t>REFERÊNCIAS</w:t>
      </w:r>
    </w:p>
    <w:p w14:paraId="355BFC96" w14:textId="77777777" w:rsidR="00FD1B34" w:rsidRDefault="00000000">
      <w:r>
        <w:rPr>
          <w:lang w:val="pt-BR"/>
        </w:rPr>
        <w:t xml:space="preserve">AGÊNCIA BRASIL. </w:t>
      </w:r>
      <w:r>
        <w:rPr>
          <w:b/>
          <w:lang w:val="pt-BR"/>
        </w:rPr>
        <w:t>Doenças afastaram 4,1 milhões de trabalhadores de suas funções em 2025</w:t>
      </w:r>
      <w:r>
        <w:rPr>
          <w:lang w:val="pt-BR"/>
        </w:rPr>
        <w:t xml:space="preserve">. Brasília, 2026. Disponível em: </w:t>
      </w:r>
      <w:hyperlink r:id="rId6" w:history="1">
        <w:r>
          <w:rPr>
            <w:rStyle w:val="Hyperlink"/>
            <w:lang w:val="pt-BR"/>
          </w:rPr>
          <w:t>https://agenciabrasil.ebc.com.br/saude/noticia/2026-01/doencas-afastaram-41-milhoes-de-trabalhadores-de-suas-funcoes-em-2025</w:t>
        </w:r>
      </w:hyperlink>
      <w:r>
        <w:rPr>
          <w:lang w:val="pt-BR"/>
        </w:rPr>
        <w:t xml:space="preserve">. </w:t>
      </w:r>
      <w:r>
        <w:t xml:space="preserve">Acesso em: 26 set. 2026.</w:t>
      </w:r>
    </w:p>
    <w:p w14:paraId="24F5DDEF" w14:textId="77777777" w:rsidR="00FD1B34" w:rsidRDefault="00000000">
      <w:r>
        <w:t xml:space="preserve">ARAKELIAN, V. Gravity compensation in robotics. </w:t>
      </w:r>
      <w:r>
        <w:rPr>
          <w:b/>
        </w:rPr>
        <w:t>Advanced Robotics</w:t>
      </w:r>
      <w:r>
        <w:t xml:space="preserve">, [S.l.], v. 30, n. 2, p. 79-96, 2016. DOI: </w:t>
      </w:r>
      <w:hyperlink r:id="rId7" w:history="1">
        <w:r>
          <w:rPr>
            <w:rStyle w:val="Hyperlink"/>
          </w:rPr>
          <w:t>10.1080/01691864.2015.1090334</w:t>
        </w:r>
      </w:hyperlink>
      <w:r>
        <w:t>.</w:t>
      </w:r>
    </w:p>
    <w:p w14:paraId="211E341D" w14:textId="77777777" w:rsidR="00FD1B34" w:rsidRDefault="00000000">
      <w:r>
        <w:rPr>
          <w:lang w:val="pt-BR"/>
        </w:rPr>
        <w:t xml:space="preserve">ATIA, M. G. B. et al. </w:t>
      </w:r>
      <w:r>
        <w:t xml:space="preserve">Design and analysis of low cost upper limb exoskeleton. In: INTERNATIONAL CONFERENCE ON COMPUTER ENGINEERING AND SYSTEMS (ICCES), 12., 2017, Cairo. </w:t>
      </w:r>
      <w:r>
        <w:rPr>
          <w:b/>
        </w:rPr>
        <w:t>Proceedings</w:t>
      </w:r>
      <w:r>
        <w:t xml:space="preserve"> [...]. [S.l.]: IEEE, 2018. DOI: </w:t>
      </w:r>
      <w:hyperlink r:id="rId9" w:history="1">
        <w:r>
          <w:rPr>
            <w:rStyle w:val="Hyperlink"/>
          </w:rPr>
          <w:t>10.1109/ICCES.2017.8275281</w:t>
        </w:r>
      </w:hyperlink>
      <w:r>
        <w:t>.</w:t>
      </w:r>
    </w:p>
    <w:p w14:paraId="074FF2B1" w14:textId="77777777" w:rsidR="00FD1B34" w:rsidRDefault="00000000">
      <w:r>
        <w:t xml:space="preserve">BÄR, M. et al. The influence of using exoskeletons during occupational tasks on acute physical stress and strain compared to no exoskeleton: a systematic review and meta-analysis. </w:t>
      </w:r>
      <w:r>
        <w:rPr>
          <w:b/>
        </w:rPr>
        <w:t>Applied Ergonomics</w:t>
      </w:r>
      <w:r>
        <w:t xml:space="preserve">, [S.l.], v. 94, art. 103385, jul. 2021. DOI: </w:t>
      </w:r>
      <w:hyperlink r:id="rId8" w:history="1">
        <w:r>
          <w:rPr>
            <w:rStyle w:val="Hyperlink"/>
          </w:rPr>
          <w:t>10.1016/j.apergo.2021.103385</w:t>
        </w:r>
      </w:hyperlink>
      <w:r>
        <w:t>.</w:t>
      </w:r>
    </w:p>
    <w:p w14:paraId="1357BB4A" w14:textId="77777777" w:rsidR="00FD1B34" w:rsidRDefault="00000000">
      <w:r>
        <w:t xml:space="preserve">BARSOTTI, M. et al. A full upper limb robotic exoskeleton for reaching and grasping rehabilitation triggered by MI-BCI. In: INTERNATIONAL CONFERENCE ON REHABILITATION ROBOTICS (ICORR), 2015, Singapura. </w:t>
      </w:r>
      <w:r>
        <w:rPr>
          <w:b/>
        </w:rPr>
        <w:t>Proceedings</w:t>
      </w:r>
      <w:r>
        <w:t xml:space="preserve"> [...]. [S.l.]: IEEE, 2015. p. 49-54. DOI: </w:t>
      </w:r>
      <w:hyperlink r:id="rId11" w:history="1">
        <w:r>
          <w:rPr>
            <w:rStyle w:val="Hyperlink"/>
          </w:rPr>
          <w:t>10.1109/ICORR.2015.7281174</w:t>
        </w:r>
      </w:hyperlink>
      <w:r>
        <w:t>.</w:t>
      </w:r>
    </w:p>
    <w:p w14:paraId="1EC1FEC6" w14:textId="77777777" w:rsidR="00FD1B34" w:rsidRDefault="00000000">
      <w:r>
        <w:t xml:space="preserve">BOUTERAA, Y.; BEN ABDALLAH, I. Exoskeleton robots for upper-limb rehabilitation. In: INTERNATIONAL MULTI-CONFERENCE ON SYSTEMS, SIGNALS &amp; DEVICES (SSD), 13., 2016, Leipzig. </w:t>
      </w:r>
      <w:r>
        <w:rPr>
          <w:b/>
        </w:rPr>
        <w:t>Proceedings</w:t>
      </w:r>
      <w:r>
        <w:t xml:space="preserve"> [...]. [S.l.]: IEEE, 2016. DOI: </w:t>
      </w:r>
      <w:hyperlink r:id="rId10" w:history="1">
        <w:r>
          <w:rPr>
            <w:rStyle w:val="Hyperlink"/>
          </w:rPr>
          <w:t>10.1109/SSD.2016.7473769</w:t>
        </w:r>
      </w:hyperlink>
      <w:r>
        <w:t>.</w:t>
      </w:r>
    </w:p>
    <w:p w14:paraId="27B8B2B1" w14:textId="77777777" w:rsidR="00FD1B34" w:rsidRDefault="00000000">
      <w:r>
        <w:t xml:space="preserve">DE LEVA, P. Adjustments to Zatsiorsky-Seluyanov's segment inertia parameters. </w:t>
      </w:r>
      <w:r>
        <w:rPr>
          <w:b/>
        </w:rPr>
        <w:t>Journal of Biomechanics</w:t>
      </w:r>
      <w:r>
        <w:t xml:space="preserve">, [S.l.], v. 29, n. 9, p. 1223-1230, 1996. DOI: </w:t>
      </w:r>
      <w:hyperlink r:id="rId12" w:history="1">
        <w:r>
          <w:rPr>
            <w:rStyle w:val="Hyperlink"/>
          </w:rPr>
          <w:t>10.1016/0021-9290(95)00178-6</w:t>
        </w:r>
      </w:hyperlink>
      <w:r>
        <w:t>.</w:t>
      </w:r>
    </w:p>
    <w:p w14:paraId="73ABFB9A" w14:textId="77777777" w:rsidR="00FD1B34" w:rsidRDefault="00000000">
      <w:r>
        <w:t xml:space="preserve">DE LOOZE, M. P. et al. Exoskeletons for industrial application and their potential effects on physical work load. </w:t>
      </w:r>
      <w:r>
        <w:rPr>
          <w:b/>
        </w:rPr>
        <w:t>Ergonomics</w:t>
      </w:r>
      <w:r>
        <w:t xml:space="preserve">, [S.l.], v. 59, n. 5, p. 671-681, 2016. DOI: </w:t>
      </w:r>
      <w:hyperlink r:id="rId13" w:history="1">
        <w:r>
          <w:rPr>
            <w:rStyle w:val="Hyperlink"/>
          </w:rPr>
          <w:t>10.1080/00140139.2015.1081988</w:t>
        </w:r>
      </w:hyperlink>
      <w:r>
        <w:t>.</w:t>
      </w:r>
    </w:p>
    <w:p w14:paraId="27E031D7" w14:textId="77777777" w:rsidR="00FD1B34" w:rsidRDefault="00000000">
      <w:r>
        <w:t xml:space="preserve">DOYLE, M. C. </w:t>
      </w:r>
      <w:r>
        <w:rPr>
          <w:b/>
        </w:rPr>
        <w:t>Adaptive arm support systems and methods for use</w:t>
      </w:r>
      <w:r>
        <w:t xml:space="preserve">. </w:t>
      </w:r>
      <w:r>
        <w:rPr>
          <w:lang w:val="pt-BR"/>
        </w:rPr>
        <w:t xml:space="preserve">Depositante e titular: Levitate Technologies, Inc. </w:t>
      </w:r>
      <w:r>
        <w:t xml:space="preserve">US 9,737,374 B2. Depósito: 10 dez. 2013. Prioridade: 11 dez. 2012. Concessão: 22 ago. 2017.</w:t>
      </w:r>
    </w:p>
    <w:p w14:paraId="5EE4D859" w14:textId="77777777" w:rsidR="00FD1B34" w:rsidRDefault="00000000">
      <w:r>
        <w:lastRenderedPageBreak/>
        <w:t xml:space="preserve">FOROUTANNIA, A.; MOHAMMADIAN, M. A comprehensive survey of lower limb assistive exoskeleton robots: models, dynamics, mechanics, and control. </w:t>
      </w:r>
      <w:r>
        <w:rPr>
          <w:b/>
        </w:rPr>
        <w:t>Robotics and Autonomous Systems</w:t>
      </w:r>
      <w:r>
        <w:t xml:space="preserve">, [S.l.], v. 195, art. 105232, 2026. DOI: </w:t>
      </w:r>
      <w:hyperlink r:id="rId14" w:history="1">
        <w:r>
          <w:rPr>
            <w:rStyle w:val="Hyperlink"/>
          </w:rPr>
          <w:t>10.1016/j.robot.2025.105232</w:t>
        </w:r>
      </w:hyperlink>
      <w:r>
        <w:t>.</w:t>
      </w:r>
    </w:p>
    <w:p w14:paraId="0C4CC6F8" w14:textId="77777777" w:rsidR="00FD1B34" w:rsidRDefault="00000000">
      <w:r>
        <w:t xml:space="preserve">GOPURA, R. A. R. C.; KIGUCHI, K. Mechanical designs of active upper-limb exoskeleton robots: state-of-the-art and design difficulties. In: INTERNATIONAL CONFERENCE ON REHABILITATION ROBOTICS (ICORR), 2009, Kyoto. </w:t>
      </w:r>
      <w:r>
        <w:rPr>
          <w:b/>
        </w:rPr>
        <w:t>Proceedings</w:t>
      </w:r>
      <w:r>
        <w:t xml:space="preserve"> [...]. [S.l.]: IEEE, 2009. p. 178-187. DOI: </w:t>
      </w:r>
      <w:hyperlink r:id="rId15" w:history="1">
        <w:r>
          <w:rPr>
            <w:rStyle w:val="Hyperlink"/>
          </w:rPr>
          <w:t>10.1109/ICORR.2009.5209630</w:t>
        </w:r>
      </w:hyperlink>
      <w:r>
        <w:t>.</w:t>
      </w:r>
    </w:p>
    <w:p w14:paraId="760D147B" w14:textId="77777777" w:rsidR="00FD1B34" w:rsidRDefault="00000000">
      <w:r>
        <w:t xml:space="preserve">GRAZI, L. et al. Design and experimental evaluation of a semi-passive upper-limb exoskeleton for workers with motorized tuning of assistance. </w:t>
      </w:r>
      <w:r>
        <w:rPr>
          <w:b/>
        </w:rPr>
        <w:t>IEEE Transactions on Neural Systems and Rehabilitation Engineering</w:t>
      </w:r>
      <w:r>
        <w:t xml:space="preserve">, [S.l.], v. 28, n. 10, p. 2276-2285, 2020. DOI: </w:t>
      </w:r>
      <w:hyperlink r:id="rId16" w:history="1">
        <w:r>
          <w:rPr>
            <w:rStyle w:val="Hyperlink"/>
          </w:rPr>
          <w:t>10.1109/TNSRE.2020.3014408</w:t>
        </w:r>
      </w:hyperlink>
      <w:r>
        <w:t>.</w:t>
      </w:r>
    </w:p>
    <w:p w14:paraId="6ED7A7CB" w14:textId="77777777" w:rsidR="00FD1B34" w:rsidRDefault="00000000">
      <w:r>
        <w:t xml:space="preserve">GRAZI, L. et al. Kinematics-based adaptive assistance of a semi-passive upper-limb exoskeleton for workers in static and dynamic tasks. </w:t>
      </w:r>
      <w:r>
        <w:rPr>
          <w:b/>
        </w:rPr>
        <w:t>IEEE Robotics and Automation Letters</w:t>
      </w:r>
      <w:r>
        <w:t xml:space="preserve">, [S.l.], v. 7, n. 4, p. 8675-8682, out. 2022. DOI: </w:t>
      </w:r>
      <w:hyperlink r:id="rId17" w:history="1">
        <w:r>
          <w:rPr>
            <w:rStyle w:val="Hyperlink"/>
          </w:rPr>
          <w:t>10.1109/LRA.2022.3188402</w:t>
        </w:r>
      </w:hyperlink>
      <w:r>
        <w:t>.</w:t>
      </w:r>
    </w:p>
    <w:p w14:paraId="624D135A" w14:textId="77777777" w:rsidR="00FD1B34" w:rsidRDefault="00000000">
      <w:r>
        <w:t xml:space="preserve">GULL, M. A.; BAI, S.; BAK, T. A review on design of upper limb exoskeletons. </w:t>
      </w:r>
      <w:r>
        <w:rPr>
          <w:b/>
        </w:rPr>
        <w:t>Robotics</w:t>
      </w:r>
      <w:r>
        <w:t xml:space="preserve">, [S.l.], v. 9, n. 1, art. 16, 2020. DOI: </w:t>
      </w:r>
      <w:hyperlink r:id="rId18" w:history="1">
        <w:r>
          <w:rPr>
            <w:rStyle w:val="Hyperlink"/>
          </w:rPr>
          <w:t>10.3390/robotics9010016</w:t>
        </w:r>
      </w:hyperlink>
      <w:r>
        <w:t>.</w:t>
      </w:r>
    </w:p>
    <w:p>
      <w:r>
        <w:t xml:space="preserve">HARRIS, C. R. et al. Array programming with NumPy. </w:t>
      </w:r>
      <w:r>
        <w:rPr>
          <w:b/>
        </w:rPr>
        <w:t>Nature</w:t>
      </w:r>
      <w:r>
        <w:t xml:space="preserve">, [S.l.], v. 585, n. 7825, p. 357-362, 2020. DOI: </w:t>
      </w:r>
      <w:hyperlink r:id="rIdTccRef1" w:history="1">
        <w:r>
          <w:rPr>
            <w:rStyle w:val="Hyperlink"/>
          </w:rPr>
          <w:t>10.1038/s41586-020-2649-2</w:t>
        </w:r>
      </w:hyperlink>
      <w:r>
        <w:t>.</w:t>
      </w:r>
    </w:p>
    <w:p w14:paraId="7879DC80" w14:textId="77777777" w:rsidR="00FD1B34" w:rsidRDefault="00000000">
      <w:r>
        <w:t xml:space="preserve">HERDER, J. L. </w:t>
      </w:r>
      <w:r>
        <w:rPr>
          <w:b/>
        </w:rPr>
        <w:t>Energy-free systems</w:t>
      </w:r>
      <w:r>
        <w:t xml:space="preserve">: theory, conception and design of statically balanced spring mechanisms. 2001. Tese (Doutorado) — Delft University of Technology, Delft, 2001.</w:t>
      </w:r>
    </w:p>
    <w:p>
      <w:r>
        <w:t xml:space="preserve">HUNTER, J. D. Matplotlib: a 2D graphics environment. </w:t>
      </w:r>
      <w:r>
        <w:rPr>
          <w:b/>
        </w:rPr>
        <w:t>Computing in Science &amp; Engineering</w:t>
      </w:r>
      <w:r>
        <w:t xml:space="preserve">, [S.l.], v. 9, n. 3, p. 90-95, 2007. DOI: </w:t>
      </w:r>
      <w:hyperlink r:id="rIdTccRef2" w:history="1">
        <w:r>
          <w:rPr>
            <w:rStyle w:val="Hyperlink"/>
          </w:rPr>
          <w:t>10.1109/MCSE.2007.55</w:t>
        </w:r>
      </w:hyperlink>
      <w:r>
        <w:t>.</w:t>
      </w:r>
    </w:p>
    <w:p w14:paraId="19DCE682" w14:textId="77777777" w:rsidR="00FD1B34" w:rsidRPr="00955B75" w:rsidRDefault="00000000">
      <w:pPr>
        <w:rPr>
          <w:lang w:val="pt-BR"/>
        </w:rPr>
      </w:pPr>
      <w:r>
        <w:t xml:space="preserve">KIM, H. et al. Redundancy resolution of the human arm and an upper limb exoskeleton. </w:t>
      </w:r>
      <w:r>
        <w:rPr>
          <w:b/>
        </w:rPr>
        <w:t>IEEE Transactions on Biomedical Engineering</w:t>
      </w:r>
      <w:r>
        <w:t xml:space="preserve">, [S.l.], v. 59, n. 6, p. 1770-1779, 2012. </w:t>
      </w:r>
      <w:r>
        <w:rPr>
          <w:lang w:val="pt-BR"/>
        </w:rPr>
        <w:t xml:space="preserve">DOI: </w:t>
      </w:r>
      <w:hyperlink r:id="rId21" w:history="1">
        <w:r>
          <w:rPr>
            <w:rStyle w:val="Hyperlink"/>
            <w:lang w:val="pt-BR"/>
          </w:rPr>
          <w:t>10.1109/TBME.2012.2194489</w:t>
        </w:r>
      </w:hyperlink>
      <w:r>
        <w:rPr>
          <w:lang w:val="pt-BR"/>
        </w:rPr>
        <w:t>.</w:t>
      </w:r>
    </w:p>
    <w:p w14:paraId="41EC403B" w14:textId="77777777" w:rsidR="00FD1B34" w:rsidRDefault="00000000">
      <w:r>
        <w:t xml:space="preserve">KIM, S. et al. Assessing the influence of a passive, upper extremity exoskeletal vest for tasks requiring arm elevation: part I — "expected" effects on discomfort, shoulder muscle activity, and work task performance. </w:t>
      </w:r>
      <w:r>
        <w:rPr>
          <w:b/>
        </w:rPr>
        <w:t>Applied Ergonomics</w:t>
      </w:r>
      <w:r>
        <w:t xml:space="preserve">, [S.l.], v. 70, p. 315-322, 2018a. DOI: </w:t>
      </w:r>
      <w:hyperlink r:id="rId19" w:history="1">
        <w:r>
          <w:rPr>
            <w:rStyle w:val="Hyperlink"/>
          </w:rPr>
          <w:t>10.1016/j.apergo.2018.02.025</w:t>
        </w:r>
      </w:hyperlink>
      <w:r>
        <w:t>.</w:t>
      </w:r>
    </w:p>
    <w:p w14:paraId="1F68FDCA" w14:textId="77777777" w:rsidR="00FD1B34" w:rsidRDefault="00000000">
      <w:r>
        <w:t xml:space="preserve">KIM, S. et al. Assessing the influence of a passive, upper extremity exoskeletal vest for tasks requiring arm elevation: part II — "unexpected" effects on shoulder motion, balance, and spine loading. </w:t>
      </w:r>
      <w:r>
        <w:rPr>
          <w:b/>
        </w:rPr>
        <w:t>Applied Ergonomics</w:t>
      </w:r>
      <w:r>
        <w:t xml:space="preserve">, [S.l.], v. 70, p. 323-330, 2018b. DOI: </w:t>
      </w:r>
      <w:hyperlink r:id="rId20" w:history="1">
        <w:r>
          <w:rPr>
            <w:rStyle w:val="Hyperlink"/>
          </w:rPr>
          <w:t>10.1016/j.apergo.2018.02.024</w:t>
        </w:r>
      </w:hyperlink>
      <w:r>
        <w:t>.</w:t>
      </w:r>
    </w:p>
    <w:p w14:paraId="4A83BE93" w14:textId="77777777" w:rsidR="00FD1B34" w:rsidRPr="00955B75" w:rsidRDefault="00000000">
      <w:pPr>
        <w:rPr>
          <w:lang w:val="pt-BR"/>
        </w:rPr>
      </w:pPr>
      <w:r>
        <w:rPr>
          <w:lang w:val="pt-BR"/>
        </w:rPr>
        <w:t xml:space="preserve">MANOEL, A. V.; CAVALCANTE, D. F. B. Benefícios concedidos e gastos previdenciários por distúrbios osteomusculares relacionados ao trabalho, Brasil, 2008-2018. </w:t>
      </w:r>
      <w:r>
        <w:rPr>
          <w:b/>
          <w:lang w:val="pt-BR"/>
        </w:rPr>
        <w:t>Cadernos Saúde Coletiva</w:t>
      </w:r>
      <w:r>
        <w:rPr>
          <w:lang w:val="pt-BR"/>
        </w:rPr>
        <w:t xml:space="preserve">, Rio de Janeiro, v. 33, n. 4, 2025. DOI: </w:t>
      </w:r>
      <w:hyperlink r:id="rId22" w:history="1">
        <w:r>
          <w:rPr>
            <w:rStyle w:val="Hyperlink"/>
            <w:lang w:val="pt-BR"/>
          </w:rPr>
          <w:t>10.1590/1414-462x202533040384</w:t>
        </w:r>
      </w:hyperlink>
      <w:r>
        <w:rPr>
          <w:lang w:val="pt-BR"/>
        </w:rPr>
        <w:t>.</w:t>
      </w:r>
    </w:p>
    <w:p w14:paraId="3B32F3D4" w14:textId="77777777" w:rsidR="00FD1B34" w:rsidRDefault="00000000">
      <w:r>
        <w:t xml:space="preserve">MASARATI, P.; MORANDINI, M.; MANTEGAZZA, P. An efficient formulation for general-purpose multibody/multiphysics analysis. </w:t>
      </w:r>
      <w:r>
        <w:rPr>
          <w:b/>
        </w:rPr>
        <w:t>Journal of Computational and Nonlinear Dynamics</w:t>
      </w:r>
      <w:r>
        <w:t xml:space="preserve">, [S.l.], v. 9, n. 4, art. 041001, 2014. DOI: </w:t>
      </w:r>
      <w:hyperlink r:id="rId23" w:history="1">
        <w:r>
          <w:rPr>
            <w:rStyle w:val="Hyperlink"/>
          </w:rPr>
          <w:t>10.1115/1.4025628</w:t>
        </w:r>
      </w:hyperlink>
      <w:r>
        <w:t>.</w:t>
      </w:r>
    </w:p>
    <w:p w14:paraId="2CC0F178" w14:textId="77777777" w:rsidR="00FD1B34" w:rsidRDefault="00000000">
      <w:r>
        <w:t xml:space="preserve">MOELLER, T. et al. Effects of upper-limb exoskeletons designed for use in the working environment: a literature review. </w:t>
      </w:r>
      <w:r>
        <w:rPr>
          <w:b/>
        </w:rPr>
        <w:t>Frontiers in Robotics and AI</w:t>
      </w:r>
      <w:r>
        <w:t xml:space="preserve">, [S.l.], v. 9, art. 858893, 2022. DOI: </w:t>
      </w:r>
      <w:hyperlink r:id="rId24" w:history="1">
        <w:r>
          <w:rPr>
            <w:rStyle w:val="Hyperlink"/>
          </w:rPr>
          <w:t>10.3389/frobt.2022.858893</w:t>
        </w:r>
      </w:hyperlink>
      <w:r>
        <w:t>.</w:t>
      </w:r>
    </w:p>
    <w:p w14:paraId="00FC6030" w14:textId="77777777" w:rsidR="00FD1B34" w:rsidRDefault="00000000">
      <w:r>
        <w:t xml:space="preserve">MUSSO, M.; OLIVEIRA, A. S.; BAI, S. Modeling of a non-rigid passive exoskeleton: mathematical description and musculoskeletal simulations. </w:t>
      </w:r>
      <w:r>
        <w:rPr>
          <w:b/>
        </w:rPr>
        <w:t>Robotics</w:t>
      </w:r>
      <w:r>
        <w:t xml:space="preserve">, [S.l.], v. 11, n. 6, art. 147, 2022. DOI: </w:t>
      </w:r>
      <w:hyperlink r:id="rId25" w:history="1">
        <w:r>
          <w:rPr>
            <w:rStyle w:val="Hyperlink"/>
          </w:rPr>
          <w:t>10.3390/robotics11060147</w:t>
        </w:r>
      </w:hyperlink>
      <w:r>
        <w:t>.</w:t>
      </w:r>
    </w:p>
    <w:p w14:paraId="7A8D854C" w14:textId="77777777" w:rsidR="00FD1B34" w:rsidRDefault="00000000">
      <w:r>
        <w:t xml:space="preserve">NÄF, M. B. et al. Misalignment compensation for full human-exoskeleton kinematic compatibility: state of the art and evaluation. </w:t>
      </w:r>
      <w:r>
        <w:rPr>
          <w:b/>
        </w:rPr>
        <w:t>Applied Mechanics Reviews</w:t>
      </w:r>
      <w:r>
        <w:t xml:space="preserve">, [S.l.], v. 70, n. 5, art. 050802, 2018. DOI: </w:t>
      </w:r>
      <w:hyperlink r:id="rId28" w:history="1">
        <w:r>
          <w:rPr>
            <w:rStyle w:val="Hyperlink"/>
          </w:rPr>
          <w:t>10.1115/1.4042523</w:t>
        </w:r>
      </w:hyperlink>
      <w:r>
        <w:t>.</w:t>
      </w:r>
    </w:p>
    <w:p w14:paraId="223FA335" w14:textId="77777777" w:rsidR="00FD1B34" w:rsidRDefault="00000000">
      <w:r>
        <w:t xml:space="preserve">NASR, A.; BELL, S.; McPHEE, J. Optimal design of active-passive shoulder exoskeletons: a computational modeling of human-robot interaction. </w:t>
      </w:r>
      <w:r>
        <w:rPr>
          <w:b/>
        </w:rPr>
        <w:t>Multibody System Dynamics</w:t>
      </w:r>
      <w:r>
        <w:t xml:space="preserve">, [S.l.], v. 57, p. 73-106, 2023. DOI: </w:t>
      </w:r>
      <w:hyperlink r:id="rId29" w:history="1">
        <w:r>
          <w:rPr>
            <w:rStyle w:val="Hyperlink"/>
          </w:rPr>
          <w:t>10.1007/s11044-022-09855-8</w:t>
        </w:r>
      </w:hyperlink>
      <w:r>
        <w:t>.</w:t>
      </w:r>
    </w:p>
    <w:p w14:paraId="7E64DF9F" w14:textId="77777777" w:rsidR="00FD1B34" w:rsidRDefault="00000000">
      <w:r>
        <w:t xml:space="preserve">NASR, A.; FERGUSON, S.; McPHEE, J. Model-based design and optimization of passive shoulder exoskeletons. </w:t>
      </w:r>
      <w:r>
        <w:rPr>
          <w:b/>
        </w:rPr>
        <w:t>Journal of Computational and Nonlinear Dynamics</w:t>
      </w:r>
      <w:r>
        <w:t xml:space="preserve">, [S.l.], v. 17, n. 5, art. 051004, 2022. DOI: </w:t>
      </w:r>
      <w:hyperlink r:id="rId30" w:history="1">
        <w:r>
          <w:rPr>
            <w:rStyle w:val="Hyperlink"/>
          </w:rPr>
          <w:t>10.1115/1.4053405</w:t>
        </w:r>
      </w:hyperlink>
      <w:r>
        <w:t>.</w:t>
      </w:r>
    </w:p>
    <w:p w14:paraId="7EE3DFE1" w14:textId="77777777" w:rsidR="00FD1B34" w:rsidRDefault="00000000">
      <w:r>
        <w:t xml:space="preserve">NGUYEN, V. L. Passive gravity compensation in mechanisms and robots: methods, advances, and challenges. </w:t>
      </w:r>
      <w:r>
        <w:rPr>
          <w:b/>
        </w:rPr>
        <w:t>Mechanism and Machine Theory</w:t>
      </w:r>
      <w:r>
        <w:t xml:space="preserve">, [S.l.], v. 220, art. 106345, 2026. DOI: </w:t>
      </w:r>
      <w:hyperlink r:id="rId31" w:history="1">
        <w:r>
          <w:rPr>
            <w:rStyle w:val="Hyperlink"/>
          </w:rPr>
          <w:t>10.1016/j.mechmachtheory.2025.106345</w:t>
        </w:r>
      </w:hyperlink>
      <w:r>
        <w:t>.</w:t>
      </w:r>
    </w:p>
    <w:p w14:paraId="6D02D1E0" w14:textId="77777777" w:rsidR="00FD1B34" w:rsidRDefault="00000000">
      <w:r>
        <w:lastRenderedPageBreak/>
        <w:t xml:space="preserve">NING, Y. et al. Design and analysis of upper limb passive exoskeleton robot for lift assist. </w:t>
      </w:r>
      <w:r>
        <w:rPr>
          <w:b/>
        </w:rPr>
        <w:t>Journal of Physics: Conference Series</w:t>
      </w:r>
      <w:r>
        <w:t xml:space="preserve">, [S.l.], v. 2410, art. 012020, 2022. DOI: </w:t>
      </w:r>
      <w:hyperlink r:id="rId26" w:history="1">
        <w:r>
          <w:rPr>
            <w:rStyle w:val="Hyperlink"/>
          </w:rPr>
          <w:t>10.1088/1742-6596/2410/1/012020</w:t>
        </w:r>
      </w:hyperlink>
      <w:r>
        <w:t>.</w:t>
      </w:r>
    </w:p>
    <w:p w14:paraId="203A604F" w14:textId="77777777" w:rsidR="00FD1B34" w:rsidRDefault="00000000">
      <w:r>
        <w:t xml:space="preserve">NING, Y. et al. Structure design and analysis of upper limb wearable passive power-assisted exoskeleton robot. </w:t>
      </w:r>
      <w:r>
        <w:rPr>
          <w:b/>
        </w:rPr>
        <w:t>Journal of Physics: Conference Series</w:t>
      </w:r>
      <w:r>
        <w:t xml:space="preserve">, [S.l.], v. 2489, art. 012008, 2023. DOI: </w:t>
      </w:r>
      <w:hyperlink r:id="rId27" w:history="1">
        <w:r>
          <w:rPr>
            <w:rStyle w:val="Hyperlink"/>
          </w:rPr>
          <w:t>10.1088/1742-6596/2489/1/012008</w:t>
        </w:r>
      </w:hyperlink>
      <w:r>
        <w:t>.</w:t>
      </w:r>
    </w:p>
    <w:p w14:paraId="0710A42B" w14:textId="77777777" w:rsidR="00FD1B34" w:rsidRDefault="00000000">
      <w:r>
        <w:t xml:space="preserve">OBUKHOV, A. et al. Development of a system for recognising and classifying motor activity to control an upper-limb exoskeleton. </w:t>
      </w:r>
      <w:r>
        <w:rPr>
          <w:b/>
        </w:rPr>
        <w:t>Applied System Innovation</w:t>
      </w:r>
      <w:r>
        <w:t xml:space="preserve">, [S.l.], v. 8, n. 4, art. 114, 2025. DOI: </w:t>
      </w:r>
      <w:hyperlink r:id="rId32" w:history="1">
        <w:r>
          <w:rPr>
            <w:rStyle w:val="Hyperlink"/>
          </w:rPr>
          <w:t>10.3390/asi8040114</w:t>
        </w:r>
      </w:hyperlink>
      <w:r>
        <w:t>.</w:t>
      </w:r>
    </w:p>
    <w:p w14:paraId="2476A89D" w14:textId="77777777" w:rsidR="00FD1B34" w:rsidRPr="00955B75" w:rsidRDefault="00000000">
      <w:pPr>
        <w:rPr>
          <w:lang w:val="pt-BR"/>
        </w:rPr>
      </w:pPr>
      <w:r>
        <w:t xml:space="preserve">OTTOBOCK SE &amp; CO. KGAA. Oliver Mizera et al. </w:t>
      </w:r>
      <w:r>
        <w:rPr>
          <w:b/>
        </w:rPr>
        <w:t xml:space="preserve">Vorrichtung zum Unterstützen wenigstens eines Armes eines Benutzers</w:t>
      </w:r>
      <w:r>
        <w:t xml:space="preserve">. </w:t>
      </w:r>
      <w:r>
        <w:rPr>
          <w:lang w:val="pt-BR"/>
        </w:rPr>
        <w:t>EP 3 504 033 B1. Depósito: 6 jun. 2018. Concessão: 29 mar. 2023.</w:t>
      </w:r>
    </w:p>
    <w:p w14:paraId="772F6234" w14:textId="77777777" w:rsidR="00FD1B34" w:rsidRDefault="00000000">
      <w:r>
        <w:rPr>
          <w:lang w:val="pt-BR"/>
        </w:rPr>
        <w:t xml:space="preserve">PALAZZI, E. et al. </w:t>
      </w:r>
      <w:r>
        <w:t xml:space="preserve">An affordable upper-limb exoskeleton concept for rehabilitation applications. </w:t>
      </w:r>
      <w:r>
        <w:rPr>
          <w:b/>
        </w:rPr>
        <w:t>Technologies</w:t>
      </w:r>
      <w:r>
        <w:t xml:space="preserve">, [S.l.], v. 10, n. 1, art. 22, 2022. DOI: </w:t>
      </w:r>
      <w:hyperlink r:id="rId33" w:history="1">
        <w:r>
          <w:rPr>
            <w:rStyle w:val="Hyperlink"/>
          </w:rPr>
          <w:t>10.3390/technologies10010022</w:t>
        </w:r>
      </w:hyperlink>
      <w:r>
        <w:t>.</w:t>
      </w:r>
    </w:p>
    <w:p w14:paraId="6FD7568E" w14:textId="77777777" w:rsidR="00FD1B34" w:rsidRDefault="00000000">
      <w:r>
        <w:t xml:space="preserve">PERRY, J. C.; ROSEN, J.; BURNS, S. Upper-limb powered exoskeleton design. </w:t>
      </w:r>
      <w:r>
        <w:rPr>
          <w:b/>
        </w:rPr>
        <w:t>IEEE/ASME Transactions on Mechatronics</w:t>
      </w:r>
      <w:r>
        <w:t xml:space="preserve">, [S.l.], v. 12, n. 4, p. 408-417, ago. 2007. DOI: </w:t>
      </w:r>
      <w:hyperlink r:id="rId34" w:history="1">
        <w:r>
          <w:rPr>
            <w:rStyle w:val="Hyperlink"/>
          </w:rPr>
          <w:t>10.1109/TMECH.2007.901934</w:t>
        </w:r>
      </w:hyperlink>
      <w:r>
        <w:t>.</w:t>
      </w:r>
    </w:p>
    <w:p w14:paraId="3320748E" w14:textId="77777777" w:rsidR="00FD1B34" w:rsidRDefault="00000000">
      <w:r>
        <w:t xml:space="preserve">RAHMAN, M. H. et al. Development of a whole arm wearable robotic exoskeleton for rehabilitation and to assist upper limb movements. </w:t>
      </w:r>
      <w:r>
        <w:rPr>
          <w:b/>
        </w:rPr>
        <w:t>Robotica</w:t>
      </w:r>
      <w:r>
        <w:t xml:space="preserve">, [S.l.], v. 33, n. 1, p. 19-39, 2015. DOI: </w:t>
      </w:r>
      <w:hyperlink r:id="rId35" w:history="1">
        <w:r>
          <w:rPr>
            <w:rStyle w:val="Hyperlink"/>
          </w:rPr>
          <w:t>10.1017/S0263574714000034</w:t>
        </w:r>
      </w:hyperlink>
      <w:r>
        <w:t>.</w:t>
      </w:r>
    </w:p>
    <w:p w14:paraId="7F2445DF" w14:textId="77777777" w:rsidR="00FD1B34" w:rsidRDefault="00000000">
      <w:r>
        <w:t xml:space="preserve">REYES, F. A. et al. Shoulder-support exoskeletons for overhead work: current state, challenges and future directions. </w:t>
      </w:r>
      <w:r>
        <w:rPr>
          <w:b/>
        </w:rPr>
        <w:t>IEEE Transactions on Medical Robotics and Bionics</w:t>
      </w:r>
      <w:r>
        <w:t xml:space="preserve">, [S.l.], v. 5, n. 3, p. 516-527, ago. 2023. DOI: </w:t>
      </w:r>
      <w:hyperlink r:id="rId36" w:history="1">
        <w:r>
          <w:rPr>
            <w:rStyle w:val="Hyperlink"/>
          </w:rPr>
          <w:t>10.1109/TMRB.2023.3275761</w:t>
        </w:r>
      </w:hyperlink>
      <w:r>
        <w:t>.</w:t>
      </w:r>
    </w:p>
    <w:p w14:paraId="2D99777F" w14:textId="77777777" w:rsidR="00FD1B34" w:rsidRDefault="00000000">
      <w:r>
        <w:t xml:space="preserve">SEIDLER, A. et al. Dose-response relationship between physical workload and specific shoulder diseases: a systematic review with meta-analysis. </w:t>
      </w:r>
      <w:r>
        <w:rPr>
          <w:b/>
        </w:rPr>
        <w:t>International Journal of Environmental Research and Public Health</w:t>
      </w:r>
      <w:r>
        <w:t xml:space="preserve">, [S.l.], v. 17, n. 4, art. 1243, 2020. DOI: </w:t>
      </w:r>
      <w:hyperlink r:id="rId37" w:history="1">
        <w:r>
          <w:rPr>
            <w:rStyle w:val="Hyperlink"/>
          </w:rPr>
          <w:t>10.3390/ijerph17041243</w:t>
        </w:r>
      </w:hyperlink>
      <w:r>
        <w:t>.</w:t>
      </w:r>
    </w:p>
    <w:p w14:paraId="738A03CC" w14:textId="77777777" w:rsidR="00FD1B34" w:rsidRDefault="00000000">
      <w:r>
        <w:lastRenderedPageBreak/>
        <w:t xml:space="preserve">SHEN, Y.; FERGUSON, P. W.; ROSEN, J. Upper limb exoskeleton systems: overview. In: ROSEN, J.; FERGUSON, P. W. (ed.). </w:t>
      </w:r>
      <w:r>
        <w:rPr>
          <w:b/>
        </w:rPr>
        <w:t>Wearable robotics</w:t>
      </w:r>
      <w:r>
        <w:t xml:space="preserve">: systems and applications. [S.l.]: Academic Press, 2020. p. 1-22. DOI: </w:t>
      </w:r>
      <w:hyperlink r:id="rId38" w:history="1">
        <w:r>
          <w:rPr>
            <w:rStyle w:val="Hyperlink"/>
          </w:rPr>
          <w:t>10.1016/B978-0-12-814659-0.00001-1</w:t>
        </w:r>
      </w:hyperlink>
      <w:r>
        <w:t>.</w:t>
      </w:r>
    </w:p>
    <w:p w14:paraId="10C09FF3" w14:textId="77777777" w:rsidR="00FD1B34" w:rsidRDefault="00000000">
      <w:r>
        <w:t xml:space="preserve">SPADA, S. et al. Investigation into the applicability of a passive upper-limb exoskeleton in automotive industry. </w:t>
      </w:r>
      <w:r>
        <w:rPr>
          <w:b/>
        </w:rPr>
        <w:t>Procedia Manufacturing</w:t>
      </w:r>
      <w:r>
        <w:t xml:space="preserve">, [S.l.], v. 11, p. 1255-1262, 2017. DOI: </w:t>
      </w:r>
      <w:hyperlink r:id="rId39" w:history="1">
        <w:r>
          <w:rPr>
            <w:rStyle w:val="Hyperlink"/>
          </w:rPr>
          <w:t>10.1016/j.promfg.2017.07.252</w:t>
        </w:r>
      </w:hyperlink>
      <w:r>
        <w:t>.</w:t>
      </w:r>
    </w:p>
    <w:p w14:paraId="48C4E40D" w14:textId="77777777" w:rsidR="00FD1B34" w:rsidRDefault="00000000">
      <w:r>
        <w:t xml:space="preserve">VAN DER MOLEN, H. F. et al. Work-related risk factors for specific shoulder disorders: a systematic review and meta-analysis. </w:t>
      </w:r>
      <w:r>
        <w:rPr>
          <w:b/>
        </w:rPr>
        <w:t>Occupational and Environmental Medicine</w:t>
      </w:r>
      <w:r>
        <w:t xml:space="preserve">, [S.l.], v. 74, n. 10, p. 745-755, 2017. DOI: </w:t>
      </w:r>
      <w:hyperlink r:id="rId40" w:history="1">
        <w:r>
          <w:rPr>
            <w:rStyle w:val="Hyperlink"/>
          </w:rPr>
          <w:t>10.1136/oemed-2017-104339</w:t>
        </w:r>
      </w:hyperlink>
      <w:r>
        <w:t>.</w:t>
      </w:r>
    </w:p>
    <w:p w14:paraId="446D9818" w14:textId="77777777" w:rsidR="00FD1B34" w:rsidRPr="00955B75" w:rsidRDefault="00000000">
      <w:pPr>
        <w:rPr>
          <w:lang w:val="pt-BR"/>
        </w:rPr>
      </w:pPr>
      <w:r>
        <w:t xml:space="preserve">VAN ENGELHOVEN, L.; KAZEROONI, H. </w:t>
      </w:r>
      <w:r>
        <w:rPr>
          <w:b/>
        </w:rPr>
        <w:t>Apparatus for human arm supporting exoskeleton</w:t>
      </w:r>
      <w:r>
        <w:t xml:space="preserve">. Depositante e titular: The Regents of the University of California. </w:t>
      </w:r>
      <w:r>
        <w:rPr>
          <w:lang w:val="pt-BR"/>
        </w:rPr>
        <w:t>US 9,889,554 B2. Depósito: 18 maio 2016. Concessão: 13 fev. 2018.</w:t>
      </w:r>
    </w:p>
    <w:p w14:paraId="3B70B499" w14:textId="77777777" w:rsidR="00FD1B34" w:rsidRDefault="00000000">
      <w:r>
        <w:rPr>
          <w:lang w:val="pt-BR"/>
        </w:rPr>
        <w:t xml:space="preserve">WANG, Y. et al. </w:t>
      </w:r>
      <w:r>
        <w:t xml:space="preserve">Extracting human-exoskeleton interaction torque for cable-driven upper-limb exoskeleton equipped with torque sensors. </w:t>
      </w:r>
      <w:r>
        <w:rPr>
          <w:b/>
        </w:rPr>
        <w:t>IEEE/ASME Transactions on Mechatronics</w:t>
      </w:r>
      <w:r>
        <w:t xml:space="preserve">, [S.l.], v. 27, n. 6, p. 4269-4280, dez. 2022. DOI: </w:t>
      </w:r>
      <w:hyperlink r:id="rId41" w:history="1">
        <w:r>
          <w:rPr>
            <w:rStyle w:val="Hyperlink"/>
          </w:rPr>
          <w:t>10.1109/TMECH.2022.3154087</w:t>
        </w:r>
      </w:hyperlink>
      <w:r>
        <w:t>.</w:t>
      </w:r>
    </w:p>
    <w:p w14:paraId="6DCD304A" w14:textId="77777777" w:rsidR="00FD1B34" w:rsidRDefault="00000000">
      <w:r>
        <w:t xml:space="preserve">WU, Q.; WANG, X.; DU, F. Development and analysis of a gravity-balanced exoskeleton for active rehabilitation training of upper limb. </w:t>
      </w:r>
      <w:r>
        <w:rPr>
          <w:b/>
        </w:rPr>
        <w:t>Proceedings of the Institution of Mechanical Engineers, Part C: Journal of Mechanical Engineering Science</w:t>
      </w:r>
      <w:r>
        <w:t xml:space="preserve">, [S.l.], v. 230, n. 20, p. 3777-3790, 2016. DOI: </w:t>
      </w:r>
      <w:hyperlink r:id="rId42" w:history="1">
        <w:r>
          <w:rPr>
            <w:rStyle w:val="Hyperlink"/>
          </w:rPr>
          <w:t>10.1177/0954406215616415</w:t>
        </w:r>
      </w:hyperlink>
      <w:r>
        <w:t>.</w:t>
      </w:r>
    </w:p>
    <w:p w14:paraId="73C2777F" w14:textId="77777777" w:rsidR="00FD1B34" w:rsidRPr="00955B75" w:rsidRDefault="00000000">
      <w:pPr>
        <w:rPr>
          <w:lang w:val="pt-BR"/>
        </w:rPr>
      </w:pPr>
      <w:r>
        <w:t xml:space="preserve">YOON, J. et al. Minimizing misalignment and frame protrusion of shoulder exoskeleton via optimization for reducing interaction force and minimizing volume. </w:t>
      </w:r>
      <w:r>
        <w:rPr>
          <w:b/>
          <w:lang w:val="pt-BR"/>
        </w:rPr>
        <w:t>Machines</w:t>
      </w:r>
      <w:r>
        <w:rPr>
          <w:lang w:val="pt-BR"/>
        </w:rPr>
        <w:t xml:space="preserve">, [S.l.], v. 10, n. 12, art. 1223, 2022. DOI: </w:t>
      </w:r>
      <w:hyperlink r:id="rId43" w:history="1">
        <w:r>
          <w:rPr>
            <w:rStyle w:val="Hyperlink"/>
            <w:lang w:val="pt-BR"/>
          </w:rPr>
          <w:t>10.3390/machines10121223</w:t>
        </w:r>
      </w:hyperlink>
      <w:r>
        <w:rPr>
          <w:lang w:val="pt-BR"/>
        </w:rPr>
        <w:t>.</w:t>
      </w:r>
    </w:p>
    <w:sectPr w:rsidR="00FD1B34" w:rsidRPr="00955B75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A67117"/>
    <w:multiLevelType w:val="hybridMultilevel"/>
    <w:tmpl w:val="A9F2571A"/>
    <w:lvl w:ilvl="0" w:tplc="F4FCF87E">
      <w:start w:val="1"/>
      <w:numFmt w:val="decimal"/>
      <w:lvlText w:val="%1."/>
      <w:lvlJc w:val="left"/>
      <w:pPr>
        <w:ind w:left="720" w:hanging="360"/>
      </w:pPr>
    </w:lvl>
    <w:lvl w:ilvl="1" w:tplc="92CE9316">
      <w:start w:val="1"/>
      <w:numFmt w:val="lowerLetter"/>
      <w:lvlText w:val="%2."/>
      <w:lvlJc w:val="left"/>
      <w:pPr>
        <w:ind w:left="1440" w:hanging="360"/>
      </w:pPr>
    </w:lvl>
    <w:lvl w:ilvl="2" w:tplc="46CED9CE">
      <w:start w:val="1"/>
      <w:numFmt w:val="lowerRoman"/>
      <w:lvlText w:val="%3."/>
      <w:lvlJc w:val="left"/>
      <w:pPr>
        <w:ind w:left="2160" w:hanging="360"/>
      </w:pPr>
    </w:lvl>
    <w:lvl w:ilvl="3" w:tplc="345864B2">
      <w:start w:val="1"/>
      <w:numFmt w:val="decimal"/>
      <w:lvlText w:val="%4."/>
      <w:lvlJc w:val="left"/>
      <w:pPr>
        <w:ind w:left="2880" w:hanging="360"/>
      </w:pPr>
    </w:lvl>
    <w:lvl w:ilvl="4" w:tplc="84344F6C">
      <w:start w:val="1"/>
      <w:numFmt w:val="lowerLetter"/>
      <w:lvlText w:val="%5."/>
      <w:lvlJc w:val="left"/>
      <w:pPr>
        <w:ind w:left="3600" w:hanging="360"/>
      </w:pPr>
    </w:lvl>
    <w:lvl w:ilvl="5" w:tplc="4948A154">
      <w:start w:val="1"/>
      <w:numFmt w:val="lowerRoman"/>
      <w:lvlText w:val="%6."/>
      <w:lvlJc w:val="left"/>
      <w:pPr>
        <w:ind w:left="4320" w:hanging="360"/>
      </w:pPr>
    </w:lvl>
    <w:lvl w:ilvl="6" w:tplc="BC5A7438">
      <w:start w:val="1"/>
      <w:numFmt w:val="decimal"/>
      <w:lvlText w:val="%7."/>
      <w:lvlJc w:val="left"/>
      <w:pPr>
        <w:ind w:left="5040" w:hanging="360"/>
      </w:pPr>
    </w:lvl>
    <w:lvl w:ilvl="7" w:tplc="EEB41DC0">
      <w:start w:val="1"/>
      <w:numFmt w:val="lowerLetter"/>
      <w:lvlText w:val="%8."/>
      <w:lvlJc w:val="left"/>
      <w:pPr>
        <w:ind w:left="5760" w:hanging="360"/>
      </w:pPr>
    </w:lvl>
    <w:lvl w:ilvl="8" w:tplc="C2F264D0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7F7B7723"/>
    <w:multiLevelType w:val="hybridMultilevel"/>
    <w:tmpl w:val="440CDFDC"/>
    <w:lvl w:ilvl="0" w:tplc="8D4C44DA">
      <w:start w:val="1"/>
      <w:numFmt w:val="bullet"/>
      <w:lvlText w:val="•"/>
      <w:lvlJc w:val="left"/>
      <w:pPr>
        <w:ind w:left="720" w:hanging="360"/>
      </w:pPr>
    </w:lvl>
    <w:lvl w:ilvl="1" w:tplc="DD68973A">
      <w:start w:val="1"/>
      <w:numFmt w:val="bullet"/>
      <w:lvlText w:val="o"/>
      <w:lvlJc w:val="left"/>
      <w:pPr>
        <w:ind w:left="1440" w:hanging="360"/>
      </w:pPr>
    </w:lvl>
    <w:lvl w:ilvl="2" w:tplc="04D4B0EA">
      <w:start w:val="1"/>
      <w:numFmt w:val="bullet"/>
      <w:lvlText w:val="▪"/>
      <w:lvlJc w:val="left"/>
      <w:pPr>
        <w:ind w:left="2160" w:hanging="360"/>
      </w:pPr>
    </w:lvl>
    <w:lvl w:ilvl="3" w:tplc="B8CE2588">
      <w:start w:val="1"/>
      <w:numFmt w:val="bullet"/>
      <w:lvlText w:val="•"/>
      <w:lvlJc w:val="left"/>
      <w:pPr>
        <w:ind w:left="2880" w:hanging="360"/>
      </w:pPr>
    </w:lvl>
    <w:lvl w:ilvl="4" w:tplc="3CC600A8">
      <w:start w:val="1"/>
      <w:numFmt w:val="bullet"/>
      <w:lvlText w:val="o"/>
      <w:lvlJc w:val="left"/>
      <w:pPr>
        <w:ind w:left="3600" w:hanging="360"/>
      </w:pPr>
    </w:lvl>
    <w:lvl w:ilvl="5" w:tplc="740C54F0">
      <w:start w:val="1"/>
      <w:numFmt w:val="bullet"/>
      <w:lvlText w:val="▪"/>
      <w:lvlJc w:val="left"/>
      <w:pPr>
        <w:ind w:left="4320" w:hanging="360"/>
      </w:pPr>
    </w:lvl>
    <w:lvl w:ilvl="6" w:tplc="F7482688">
      <w:start w:val="1"/>
      <w:numFmt w:val="bullet"/>
      <w:lvlText w:val="•"/>
      <w:lvlJc w:val="left"/>
      <w:pPr>
        <w:ind w:left="5040" w:hanging="360"/>
      </w:pPr>
    </w:lvl>
    <w:lvl w:ilvl="7" w:tplc="A93621D6">
      <w:start w:val="1"/>
      <w:numFmt w:val="bullet"/>
      <w:lvlText w:val="o"/>
      <w:lvlJc w:val="left"/>
      <w:pPr>
        <w:ind w:left="5760" w:hanging="360"/>
      </w:pPr>
    </w:lvl>
    <w:lvl w:ilvl="8" w:tplc="4F6AFEE6">
      <w:start w:val="1"/>
      <w:numFmt w:val="bullet"/>
      <w:lvlText w:val="▪"/>
      <w:lvlJc w:val="left"/>
      <w:pPr>
        <w:ind w:left="6480" w:hanging="360"/>
      </w:pPr>
    </w:lvl>
  </w:abstractNum>
  <w:num w:numId="1" w16cid:durableId="444926496">
    <w:abstractNumId w:val="1"/>
  </w:num>
  <w:num w:numId="2" w16cid:durableId="951591884">
    <w:abstractNumId w:val="0"/>
    <w:lvlOverride w:ilvl="0">
      <w:startOverride w:val="1"/>
    </w:lvlOverride>
  </w:num>
  <w:num w:numId="3" w16cid:durableId="1995615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D1B34"/>
    <w:rsid w:val="00151E3D"/>
    <w:rsid w:val="00955B75"/>
    <w:rsid w:val="00A029F4"/>
    <w:rsid w:val="00BC4DC9"/>
    <w:rsid w:val="00D93382"/>
    <w:rsid w:val="00FD1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D6E3A1"/>
  <w15:docId w15:val="{D4DB349F-F4AF-4DEA-83AA-921D727A1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Citao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PargrafodaLista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Textodecomentrio">
    <w:name w:val="annotation text"/>
    <w:basedOn w:val="Normal"/>
    <w:pPr>
      <w:spacing w:line="240" w:lineRule="auto"/>
    </w:pPr>
    <w:rPr>
      <w:sz w:val="20"/>
      <w:szCs w:val="20"/>
    </w:rPr>
  </w:style>
  <w:style w:type="character" w:styleId="Refdecomentrio">
    <w:name w:val="annotation reference"/>
    <w:rPr>
      <w:sz w:val="16"/>
      <w:szCs w:val="16"/>
    </w:rPr>
  </w:style>
  <w:style w:type="table" w:styleId="Tabelacomgrade">
    <w:name w:val="Table Grid"/>
    <w:basedOn w:val="Tabe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EspaoReservado">
    <w:name w:val="Placeholder Text"/>
    <w:basedOn w:val="Fontepargpadro"/>
    <w:uiPriority w:val="99"/>
    <w:semiHidden/>
    <w:rsid w:val="00955B7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yperlink" Target="https://doi.org/10.1080/00140139.2015.1081988" TargetMode="External"/><Relationship Id="rId18" Type="http://schemas.openxmlformats.org/officeDocument/2006/relationships/hyperlink" Target="https://doi.org/10.3390/robotics9010016" TargetMode="External"/><Relationship Id="rId26" Type="http://schemas.openxmlformats.org/officeDocument/2006/relationships/hyperlink" Target="https://doi.org/10.1088/1742-6596/2410/1/012020" TargetMode="External"/><Relationship Id="rId39" Type="http://schemas.openxmlformats.org/officeDocument/2006/relationships/hyperlink" Target="https://doi.org/10.1016/j.promfg.2017.07.252" TargetMode="External"/><Relationship Id="rId21" Type="http://schemas.openxmlformats.org/officeDocument/2006/relationships/hyperlink" Target="https://doi.org/10.1109/TBME.2012.2194489" TargetMode="External"/><Relationship Id="rId34" Type="http://schemas.openxmlformats.org/officeDocument/2006/relationships/hyperlink" Target="https://doi.org/10.1109/TMECH.2007.901934" TargetMode="External"/><Relationship Id="rId42" Type="http://schemas.openxmlformats.org/officeDocument/2006/relationships/hyperlink" Target="https://doi.org/10.1177/0954406215616415" TargetMode="External"/><Relationship Id="rId7" Type="http://schemas.openxmlformats.org/officeDocument/2006/relationships/hyperlink" Target="https://doi.org/10.1080/01691864.2015.1090334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i.org/10.1109/TNSRE.2020.3014408" TargetMode="External"/><Relationship Id="rId29" Type="http://schemas.openxmlformats.org/officeDocument/2006/relationships/hyperlink" Target="https://doi.org/10.1007/s11044-022-09855-8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agenciabrasil.ebc.com.br/saude/noticia/2026-01/doencas-afastaram-41-milhoes-de-trabalhadores-de-suas-funcoes-em-2025" TargetMode="External"/><Relationship Id="rId11" Type="http://schemas.openxmlformats.org/officeDocument/2006/relationships/hyperlink" Target="https://doi.org/10.1109/ICORR.2015.7281174" TargetMode="External"/><Relationship Id="rId24" Type="http://schemas.openxmlformats.org/officeDocument/2006/relationships/hyperlink" Target="https://doi.org/10.3389/frobt.2022.858893" TargetMode="External"/><Relationship Id="rId32" Type="http://schemas.openxmlformats.org/officeDocument/2006/relationships/hyperlink" Target="https://doi.org/10.3390/asi8040114" TargetMode="External"/><Relationship Id="rId37" Type="http://schemas.openxmlformats.org/officeDocument/2006/relationships/hyperlink" Target="https://doi.org/10.3390/ijerph17041243" TargetMode="External"/><Relationship Id="rId40" Type="http://schemas.openxmlformats.org/officeDocument/2006/relationships/hyperlink" Target="https://doi.org/10.1136/oemed-2017-104339" TargetMode="External"/><Relationship Id="rId45" Type="http://schemas.openxmlformats.org/officeDocument/2006/relationships/theme" Target="theme/theme1.xml"/><Relationship Id="rId15" Type="http://schemas.openxmlformats.org/officeDocument/2006/relationships/hyperlink" Target="https://doi.org/10.1109/ICORR.2009.5209630" TargetMode="External"/><Relationship Id="rId23" Type="http://schemas.openxmlformats.org/officeDocument/2006/relationships/hyperlink" Target="https://doi.org/10.1115/1.4025628" TargetMode="External"/><Relationship Id="rId28" Type="http://schemas.openxmlformats.org/officeDocument/2006/relationships/hyperlink" Target="https://doi.org/10.1115/1.4042523" TargetMode="External"/><Relationship Id="rId36" Type="http://schemas.openxmlformats.org/officeDocument/2006/relationships/hyperlink" Target="https://doi.org/10.1109/TMRB.2023.3275761" TargetMode="External"/><Relationship Id="rId10" Type="http://schemas.openxmlformats.org/officeDocument/2006/relationships/hyperlink" Target="https://doi.org/10.1109/SSD.2016.7473769" TargetMode="External"/><Relationship Id="rId19" Type="http://schemas.openxmlformats.org/officeDocument/2006/relationships/hyperlink" Target="https://doi.org/10.1016/j.apergo.2018.02.025" TargetMode="External"/><Relationship Id="rId31" Type="http://schemas.openxmlformats.org/officeDocument/2006/relationships/hyperlink" Target="https://doi.org/10.1016/j.mechmachtheory.2025.106345" TargetMode="External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oi.org/10.1109/ICCES.2017.8275281" TargetMode="External"/><Relationship Id="rId14" Type="http://schemas.openxmlformats.org/officeDocument/2006/relationships/hyperlink" Target="https://doi.org/10.1016/j.robot.2025.105232" TargetMode="External"/><Relationship Id="rId22" Type="http://schemas.openxmlformats.org/officeDocument/2006/relationships/hyperlink" Target="https://doi.org/10.1590/1414-462x202533040384" TargetMode="External"/><Relationship Id="rId27" Type="http://schemas.openxmlformats.org/officeDocument/2006/relationships/hyperlink" Target="https://doi.org/10.1088/1742-6596/2489/1/012008" TargetMode="External"/><Relationship Id="rId30" Type="http://schemas.openxmlformats.org/officeDocument/2006/relationships/hyperlink" Target="https://doi.org/10.1115/1.4053405" TargetMode="External"/><Relationship Id="rId35" Type="http://schemas.openxmlformats.org/officeDocument/2006/relationships/hyperlink" Target="https://doi.org/10.1017/S0263574714000034" TargetMode="External"/><Relationship Id="rId43" Type="http://schemas.openxmlformats.org/officeDocument/2006/relationships/hyperlink" Target="https://doi.org/10.3390/machines10121223" TargetMode="External"/><Relationship Id="rId8" Type="http://schemas.openxmlformats.org/officeDocument/2006/relationships/hyperlink" Target="https://doi.org/10.1016/j.apergo.2021.103385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doi.org/10.1016/0021-9290%2895%2900178-6" TargetMode="External"/><Relationship Id="rId17" Type="http://schemas.openxmlformats.org/officeDocument/2006/relationships/hyperlink" Target="https://doi.org/10.1109/LRA.2022.3188402" TargetMode="External"/><Relationship Id="rId25" Type="http://schemas.openxmlformats.org/officeDocument/2006/relationships/hyperlink" Target="https://doi.org/10.3390/robotics11060147" TargetMode="External"/><Relationship Id="rId33" Type="http://schemas.openxmlformats.org/officeDocument/2006/relationships/hyperlink" Target="https://doi.org/10.3390/technologies10010022" TargetMode="External"/><Relationship Id="rId38" Type="http://schemas.openxmlformats.org/officeDocument/2006/relationships/hyperlink" Target="https://doi.org/10.1016/B978-0-12-814659-0.00001-1" TargetMode="External"/><Relationship Id="rId20" Type="http://schemas.openxmlformats.org/officeDocument/2006/relationships/hyperlink" Target="https://doi.org/10.1016/j.apergo.2018.02.024" TargetMode="External"/><Relationship Id="rId41" Type="http://schemas.openxmlformats.org/officeDocument/2006/relationships/hyperlink" Target="https://doi.org/10.1109/TMECH.2022.3154087" TargetMode="External"/><Relationship Id="rIdTccFig1" Target="media/tcc_fig1_geometria.png" Type="http://schemas.openxmlformats.org/officeDocument/2006/relationships/image"/><Relationship Id="rIdTccFig2" Target="media/tcc_fig2_ajuste.png" Type="http://schemas.openxmlformats.org/officeDocument/2006/relationships/image"/><Relationship Id="rIdTccFig3" Target="media/tcc_fig3_familia.png" Type="http://schemas.openxmlformats.org/officeDocument/2006/relationships/image"/><Relationship Id="rIdTccFig4" Target="media/tcc_fig4_efeito_h.png" Type="http://schemas.openxmlformats.org/officeDocument/2006/relationships/image"/><Relationship Id="rIdTccFig5" Target="media/tcc_fig5_normalizado.png" Type="http://schemas.openxmlformats.org/officeDocument/2006/relationships/image"/><Relationship Id="rIdTccRef1" TargetMode="External" Target="https://doi.org/10.1038/s41586-020-2649-2" Type="http://schemas.openxmlformats.org/officeDocument/2006/relationships/hyperlink"/><Relationship Id="rIdTccRef2" TargetMode="External" Target="https://doi.org/10.1109/MCSE.2007.55" Type="http://schemas.openxmlformats.org/officeDocument/2006/relationships/hyperlink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22</Pages>
  <Words>9566</Words>
  <Characters>51660</Characters>
  <Application>Microsoft Office Word</Application>
  <DocSecurity>0</DocSecurity>
  <Lines>430</Lines>
  <Paragraphs>122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Modelagem e simulação de mecanismos passivos de apoio ao braço</vt:lpstr>
    </vt:vector>
  </TitlesOfParts>
  <Company/>
  <LinksUpToDate>false</LinksUpToDate>
  <CharactersWithSpaces>61104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Modelagem e simulação de mecanismos passivos de apoio ao braço</dc:title>
  <dc:description>Claude Docs node/6de42fad-0ed3@35 docx-w6</dc:description>
  <cp:lastModifiedBy>Pedro Brito</cp:lastModifiedBy>
  <cp:revision>2</cp:revision>
  <dcterms:created xsi:type="dcterms:W3CDTF">2026-10-12T20:33:00Z</dcterms:created>
  <dcterms:modified xsi:type="dcterms:W3CDTF">2026-10-12T20:33:00Z</dcterms:modified>
</cp:coreProperties>
</file>