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seções separadas dos capítulos 3, 4 e 5, a primeira dedicada ao exoesqueleto 1 e a segunda ao exoesqueleto 2.</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é problema clássico da síntese de mecanismos. </w:t>
      </w:r>
      <w:proofErr w:type="spellStart"/>
      <w:r>
        <w:rPr>
          <w:lang w:val="pt-BR"/>
        </w:rPr>
        <w:t>Arakelian</w:t>
      </w:r>
      <w:proofErr w:type="spellEnd"/>
      <w:r>
        <w:rPr>
          <w:lang w:val="pt-BR"/>
        </w:rPr>
        <w:t xml:space="preserve"> (2016) sistematiza as soluções em três grupos, conforme a natureza da força compensadora: contrapesos, molas ou força ativa de um atuador auxiliar. Nguyen (2026) atualiza o panorama das alternativas estritamente passivas e de seus limites de aplicação. Em exoesqueletos vestíveis, o contrapeso é inviável, e predomina a solução elástica, frequentemente associada a cabos, polias ou cames que moldam a curva de torque.</w:t>
      </w:r>
    </w:p>
    <w:p w14:paraId="14A2EBB8" w14:textId="77777777" w:rsidR="00FD1B34" w:rsidRPr="00955B75" w:rsidRDefault="003B1183">
      <w:pPr>
        <w:rPr>
          <w:lang w:val="pt-BR"/>
        </w:rPr>
      </w:pPr>
      <w:r>
        <w:rPr>
          <w:lang w:val="pt-BR"/>
        </w:rPr>
        <w:t>A patente US 9.889.554 B2 (VAN ENGELHOVEN; KAZEROONI, 2018)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junto à junta restringe o gerador de força, o torque cai a um valor residual e o braço recupera a liberdade de movimento.</w:t>
      </w:r>
    </w:p>
    <w:p>
      <w:pPr>
        <w:rPr>
          <w:lang w:val="pt-BR"/>
        </w:rPr>
      </w:pPr>
      <w:r>
        <w:rPr>
          <w:lang w:val="pt-BR"/>
        </w:rPr>
        <w:t xml:space="preserve">A patente EP 3 504 033 B1 (OTTOBOCK, 2023)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(OTTOBOCK, 2023).</w:t>
      </w:r>
    </w:p>
    <w:p w14:paraId="4939AF5C" w14:textId="77777777" w:rsidR="00FD1B34" w:rsidRPr="00955B75" w:rsidRDefault="003B1183">
      <w:pPr>
        <w:rPr>
          <w:lang w:val="pt-BR"/>
        </w:rPr>
      </w:pPr>
      <w:r>
        <w:rPr>
          <w:lang w:val="pt-BR"/>
        </w:rPr>
        <w:t>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(OKABE; BRITTES; BRITO, 2026).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3.2.9.</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3.1, 4.1 e 5.1, e para o dispositivo da EP 3 504 033 B1, ao qual se referem as seções 3.2, 4.2 e 5.2.</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3.1.3 a 3.1.8 está implementada no arquivo torque_model.py, que contém os parâmetros congelados e não executa ajuste algum. Os números e as figuras da seção 4.1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3.2.3 a 3.2.8, está implementada no arquivo torque_model_ottobock.py, e os números e as figuras da seção 4.2 são produzidos pelo script tcc_resultados_ottobock.py, que grava os valores citados em results/ottobock_tcc_numeros.json e as figuras em results/, na mesma organização usada por torque_model.py e tcc_resultados.py na seção 4.1. O script de resultados não altera parâmetro algum do modelo; as únicas identificações são as descritas na seção 3.2.9.</w:t>
      </w:r>
    </w:p>
    <w:p>
      <w:pPr>
        <w:pStyle w:val="Ttulo2"/>
        <w:rPr>
          <w:lang w:val="pt-BR"/>
        </w:rPr>
      </w:pPr>
      <w:r>
        <w:rPr>
          <w:lang w:val="pt-BR"/>
        </w:rPr>
        <w:t xml:space="preserve">3.1 Exoesqueleto 1</w:t>
      </w:r>
    </w:p>
    <w:p w14:paraId="78597467" w14:textId="77777777" w:rsidR="009C1161" w:rsidRDefault="003B1183">
      <w:pPr>
        <w:pStyle w:val="Ttulo2"/>
        <w:rPr>
          <w:lang w:val="pt-BR"/>
        </w:rPr>
      </w:pPr>
      <w:r>
        <w:rPr>
          <w:lang w:val="pt-BR"/>
        </w:rPr>
        <w:t>3.1.1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3.1.2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3.1.8); ele se destina à etapa dinâmica prevista na seção 3.1.12.</w:t>
      </w:r>
    </w:p>
    <w:p w14:paraId="276BE8C8" w14:textId="77777777" w:rsidR="009C1161" w:rsidRDefault="003B1183">
      <w:pPr>
        <w:pStyle w:val="Ttulo2"/>
        <w:rPr>
          <w:lang w:val="pt-BR"/>
        </w:rPr>
      </w:pPr>
      <w:r>
        <w:rPr>
          <w:lang w:val="pt-BR"/>
        </w:rPr>
        <w:t>3.1.3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3.1.9).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3.1.4).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3.1.4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3.1.9).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pPr>
        <w:rPr>
          <w:lang w:val="pt-BR"/>
        </w:rPr>
      </w:pPr>
      <w:r>
        <w:rPr>
          <w:lang w:val="pt-BR"/>
        </w:rPr>
        <w:t xml:space="preserve">A Figura 2 sobrepõe esse circuito à Figura 42 da patente, na mesma pose e com o mesmo h, alinhado pelo pivô 151, que faz o papel de O, e pelo centro do tambor 183, que faz o papel de D.</w:t>
      </w:r>
    </w:p>
    <w:p>
      <w:pPr>
        <w:keepNext/>
        <w:spacing w:before="120" w:after="60"/>
        <w:rPr>
          <w:lang w:val="pt-BR"/>
        </w:rPr>
      </w:pPr>
      <w:r>
        <w:rPr>
          <w:b/>
          <w:lang w:val="pt-BR"/>
        </w:rPr>
        <w:t xml:space="preserve">Figura 2: Circuito vetorial do gerador de torque sobreposto à Figura 42 da patente, na pose de referência (θ* = 115,017°, h = 22,701 mm)</w:t>
      </w:r>
    </w:p>
    <w:p>
      <w:pPr>
        <w:keepNext/>
        <w:spacing w:after="60"/>
        <w:jc w:val="center"/>
        <w:rPr>
          <w:lang w:val="pt-BR"/>
        </w:rPr>
      </w:pPr>
      <w:r>
        <w:rPr>
          <w:noProof/>
          <w:lang w:val="pt-BR"/>
        </w:rPr>
        <w:drawing>
          <wp:inline distT="0" distB="0" distL="0" distR="0">
            <wp:extent cx="5943600" cy="2734056"/>
            <wp:effectExtent l="0" t="0" r="0" b="0"/>
            <wp:docPr id="1001" name="Imagem 1001" descr="Figura 42 da US 9.889.554 B2 em cinza, vista em corte do gerador de torque, com o circuito vetorial do modelo sobrepost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Figura 42 da US 9.889.554 B2 em cinza, vista em corte do gerador de torque, com o circuito vetorial do modelo sobreposto; à direita, ampliação da região do pivô."/>
                    <pic:cNvPicPr/>
                  </pic:nvPicPr>
                  <pic:blipFill>
                    <a:blip r:embed="rIdExo2F1"/>
                    <a:stretch>
                      <a:fillRect/>
                    </a:stretch>
                  </pic:blipFill>
                  <pic:spPr>
                    <a:xfrm>
                      <a:off x="0" y="0"/>
                      <a:ext cx="5943600" cy="2734056"/>
                    </a:xfrm>
                    <a:prstGeom prst="rect">
                      <a:avLst/>
                    </a:prstGeom>
                  </pic:spPr>
                </pic:pic>
              </a:graphicData>
            </a:graphic>
          </wp:inline>
        </w:drawing>
      </w:r>
    </w:p>
    <w:p>
      <w:pPr>
        <w:spacing w:before="60" w:after="60"/>
        <w:rPr>
          <w:lang w:val="pt-BR"/>
        </w:rPr>
      </w:pPr>
      <w:r>
        <w:rPr>
          <w:sz w:val="20"/>
          <w:szCs w:val="20"/>
          <w:lang w:val="pt-BR"/>
        </w:rPr>
        <w:t xml:space="preserve">Fonte: adaptada da Figura 42 da US 9.889.554 B2 (VAN ENGELHOVEN; KAZEROONI, 2018), com o circuito do modelo sobreposto pelo autor.</w:t>
      </w:r>
    </w:p>
    <w:p>
      <w:pPr>
        <w:rPr>
          <w:lang w:val="pt-BR"/>
        </w:rPr>
      </w:pPr>
      <w:r>
        <w:rPr>
          <w:sz w:val="20"/>
          <w:szCs w:val="20"/>
          <w:lang w:val="pt-BR"/>
        </w:rPr>
        <w:t xml:space="preserve">Nota: desenho da patente em cinza; elementos do modelo como na Figura 1. O painel da direita amplia a região do pivô.</w:t>
      </w:r>
    </w:p>
    <w:p w14:paraId="142F19B8" w14:textId="77777777" w:rsidR="009C1161" w:rsidRDefault="003B1183">
      <w:pPr>
        <w:pStyle w:val="Ttulo2"/>
        <w:rPr>
          <w:lang w:val="pt-BR"/>
        </w:rPr>
      </w:pPr>
      <w:r>
        <w:rPr>
          <w:lang w:val="pt-BR"/>
        </w:rPr>
        <w:t>3.1.5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3.1.11),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3.1.7) e é limitado pelo comprimento |B| = |OA|, teto que decorre do traçado do cabo, e não do ajuste.</w:t>
      </w:r>
    </w:p>
    <w:p w14:paraId="7C11C200" w14:textId="77777777" w:rsidR="009C1161" w:rsidRDefault="003B1183">
      <w:pPr>
        <w:pStyle w:val="Ttulo2"/>
        <w:rPr>
          <w:lang w:val="pt-BR"/>
        </w:rPr>
      </w:pPr>
      <w:r>
        <w:rPr>
          <w:lang w:val="pt-BR"/>
        </w:rPr>
        <w:t>3.1.6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3.1.11) e permite discriminar entre formulações do caminho do cabo: com o caminho igual apenas ao vão livre, ela não é satisfeita (seção 4.1.3).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3.1.11). O fator 1/1000 vem da formulação original, em que os comprimentos estão em milímetros. Como K é identificado contra a curva publicada (seção 3.1.9),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4.1.6).</w:t>
      </w:r>
    </w:p>
    <w:p w14:paraId="4D4F73AB" w14:textId="77777777" w:rsidR="009C1161" w:rsidRDefault="003B1183">
      <w:pPr>
        <w:pStyle w:val="Ttulo2"/>
        <w:rPr>
          <w:lang w:val="pt-BR"/>
        </w:rPr>
      </w:pPr>
      <w:r>
        <w:rPr>
          <w:lang w:val="pt-BR"/>
        </w:rPr>
        <w:t>3.1.7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3.1.8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4.1.8).</w:t>
      </w:r>
    </w:p>
    <w:p w14:paraId="527401B1" w14:textId="77777777" w:rsidR="009C1161" w:rsidRDefault="003B1183">
      <w:pPr>
        <w:pStyle w:val="Ttulo2"/>
        <w:rPr>
          <w:lang w:val="pt-BR"/>
        </w:rPr>
      </w:pPr>
      <w:r>
        <w:rPr>
          <w:lang w:val="pt-BR"/>
        </w:rPr>
        <w:t>3.1.9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4.1.4).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3.1.11;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3.1.10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3.1.11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3.1.12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4.1.3).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3.1.13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3.2 Exoesqueleto 2</w:t>
      </w:r>
    </w:p>
    <w:p>
      <w:pPr>
        <w:rPr>
          <w:lang w:val="pt-BR"/>
        </w:rPr>
      </w:pPr>
      <w:r>
        <w:rPr>
          <w:lang w:val="pt-BR"/>
        </w:rPr>
        <w:t xml:space="preserve">As seções 3.2.1 a 3.2.13 aplicam à EP 3 504 033 B1 (OTTOBOCK, 2023) o procedimento das seções 3.1.1 a 3.1.13, que foi executado para o gerador de torque da US 9.889.554 B2, com a mesma numeração: a seção 3.2.k corresponde à seção 3.1.k.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w:t>
      </w:r>
    </w:p>
    <w:p>
      <w:pPr>
        <w:rPr>
          <w:lang w:val="pt-BR"/>
        </w:rPr>
      </w:pPr>
      <w:r>
        <w:rPr>
          <w:lang w:val="pt-BR"/>
        </w:rP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Figuras 1, 16, 17, 18, 22, 24 e 42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4.2.1)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4.2</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4.1</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3.2.1 Reconstrução geométrica em CAD</w:t>
      </w:r>
    </w:p>
    <w:p>
      <w:pPr>
        <w:rPr>
          <w:lang w:val="pt-BR"/>
        </w:rPr>
      </w:pPr>
      <w:r>
        <w:rPr>
          <w:lang w:val="pt-BR"/>
        </w:rP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pPr>
        <w:rPr>
          <w:lang w:val="pt-BR"/>
        </w:rPr>
      </w:pPr>
      <w:r>
        <w:rPr>
          <w:lang w:val="pt-BR"/>
        </w:rP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3.1.4 a 3.1.7 não se aplicam e são substituídas pelas das seções 3.2.4 a 3.2.7, de mesma numeração.</w:t>
      </w:r>
    </w:p>
    <w:p>
      <w:pPr>
        <w:rPr>
          <w:lang w:val="pt-BR"/>
        </w:rPr>
      </w:pPr>
      <w:r>
        <w:rPr>
          <w:lang w:val="pt-BR"/>
        </w:rPr>
        <w:t xml:space="preserve">O dispositivo admite abdução, adução e movimentos do tronco. O modelo é plano, restrito ao plano sagital, e representa somente a anteversão, que é o movimento das Figuras 16 e 17 da patente.</w:t>
      </w:r>
    </w:p>
    <w:p>
      <w:pPr>
        <w:rPr>
          <w:lang w:val="pt-BR"/>
        </w:rPr>
      </w:pPr>
      <w:r>
        <w:rPr>
          <w:lang w:val="pt-BR"/>
        </w:rPr>
        <w:t xml:space="preserve">O circuito do mecanismo foi fechado no modelo em CAD do Autodesk Fusion, e as grandezas medidas nesse modelo, com as derivadas delas, estão na Tabela 14 (seção 4.2.1). Para o gerador da US 9.889.554 B2, a seção 4.1.1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3.1.1, e não como dimensões do dispositivo comercial.</w:t>
      </w:r>
    </w:p>
    <w:p>
      <w:pPr>
        <w:pStyle w:val="Ttulo2"/>
        <w:rPr>
          <w:lang w:val="pt-BR"/>
        </w:rPr>
      </w:pPr>
      <w:r>
        <w:rPr>
          <w:lang w:val="pt-BR"/>
        </w:rPr>
        <w:t xml:space="preserve">3.2.2 Parâmetros inerciais do membro e transporte ao eixo da articulação 20</w:t>
      </w:r>
    </w:p>
    <w:p>
      <w:pPr>
        <w:rPr>
          <w:lang w:val="pt-BR"/>
        </w:rPr>
      </w:pPr>
      <w:r>
        <w:rPr>
          <w:lang w:val="pt-BR"/>
        </w:rPr>
        <w:t xml:space="preserve">O membro humano segue de Leva (1996), com o mesmo indivíduo de referência da seção 4.1: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4.2.1, reúne os resultados, que coincidem com os da planilha do autor.</w:t>
      </w:r>
    </w:p>
    <w:p>
      <w:pPr>
        <w:pStyle w:val="Ttulo2"/>
        <w:rPr>
          <w:lang w:val="pt-BR"/>
        </w:rPr>
      </w:pPr>
      <w:r>
        <w:rPr>
          <w:lang w:val="pt-BR"/>
        </w:rPr>
        <w:t xml:space="preserve">3.2.3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3.1.4.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pela própria patente. Por isso, ao contrário da seção 3.1.3,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A alavanca é representada pelo segmento OP, de comprimento </w:t>
      </w:r>
      <w:r>
        <w:rPr>
          <w:i/>
          <w:lang w:val="pt-BR"/>
        </w:rPr>
        <w:t xml:space="preserve">e</w:t>
      </w:r>
      <w:r>
        <w:rPr>
          <w:lang w:val="pt-BR"/>
        </w:rPr>
        <w:t xml:space="preserve"> e direção q (seção 3.2.4); o ângulo q,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q</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q</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q</m:t>
                    </m:r>
                  </m:e>
                  <m:sub>
                    <m:r>
                      <m:t>0</m:t>
                    </m:r>
                  </m:sub>
                </m:sSub>
                <m:r>
                  <m:rPr>
                    <m:sty m:val="p"/>
                  </m:rPr>
                  <m:t>=</m:t>
                </m:r>
                <m:sSub>
                  <m:e>
                    <m:r>
                      <m:t>q</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q</w:t>
      </w:r>
      <w:r>
        <w:rPr>
          <w:vertAlign w:val="subscript"/>
          <w:lang w:val="pt-BR"/>
        </w:rPr>
        <w:t xml:space="preserve">pose</w:t>
      </w:r>
      <w:r>
        <w:rPr>
          <w:lang w:val="pt-BR"/>
        </w:rPr>
        <w:t xml:space="preserve"> é a direção de OP na pose do CAD e θ</w:t>
      </w:r>
      <w:r>
        <w:rPr>
          <w:vertAlign w:val="subscript"/>
          <w:lang w:val="pt-BR"/>
        </w:rPr>
        <w:t xml:space="preserve">b,pose</w:t>
      </w:r>
      <w:r>
        <w:rPr>
          <w:lang w:val="pt-BR"/>
        </w:rPr>
        <w:t xml:space="preserve"> o ângulo do braço com a horizontal nessa pose, positivo acima. A Tabela 3 resume as convenções e indica o nome de cada grandeza no código e sua correspondência com a seção 3.1. Os símbolos desta parte seguem a formulação do autor para este mecanismo; s, ψ e φ têm, na seção 3.1, outro significado.</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3.1</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p>
        </w:tc>
        <w:tc>
          <w:tcPr>
            <w:tcW w:w="2260" w:type="dxa"/>
            <w:vAlign w:val="center"/>
          </w:tcPr>
          <w:p>
            <w:pPr>
              <w:keepNext/>
              <w:spacing w:before="20" w:after="20" w:line="240" w:lineRule="auto"/>
              <w:rPr>
                <w:lang w:val="pt-BR"/>
              </w:rPr>
            </w:pPr>
            <w:r>
              <w:rPr>
                <w:lang w:val="pt-BR"/>
              </w:rPr>
              <w:t xml:space="preserve">Direção do segmento OP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 + angulo_OP</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q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 + angulo_OP</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p>
        </w:tc>
        <w:tc>
          <w:tcPr>
            <w:tcW w:w="2260" w:type="dxa"/>
            <w:vAlign w:val="center"/>
          </w:tcPr>
          <w:p>
            <w:pPr>
              <w:keepNext/>
              <w:spacing w:before="20" w:after="20" w:line="240" w:lineRule="auto"/>
              <w:rPr>
                <w:lang w:val="pt-BR"/>
              </w:rPr>
            </w:pPr>
            <w:r>
              <w:rPr>
                <w:lang w:val="pt-BR"/>
              </w:rPr>
              <w:t xml:space="preserve">Valor de q no contato do elástico com o elemento 78</w:t>
            </w:r>
          </w:p>
        </w:tc>
        <w:tc>
          <w:tcPr>
            <w:tcW w:w="1900" w:type="dxa"/>
            <w:vAlign w:val="center"/>
          </w:tcPr>
          <w:p>
            <w:pPr>
              <w:keepNext/>
              <w:spacing w:before="20" w:after="20" w:line="240" w:lineRule="auto"/>
              <w:rPr>
                <w:lang w:val="pt-BR"/>
              </w:rPr>
            </w:pPr>
            <w:r>
              <w:rPr>
                <w:lang w:val="pt-BR"/>
              </w:rPr>
              <w:t xml:space="preserve">Seção 3.2.5</w:t>
            </w:r>
          </w:p>
        </w:tc>
        <w:tc>
          <w:tcPr>
            <w:tcW w:w="1400" w:type="dxa"/>
            <w:vAlign w:val="center"/>
          </w:tcPr>
          <w:p>
            <w:pPr>
              <w:keepNext/>
              <w:spacing w:before="20" w:after="20" w:line="240" w:lineRule="auto"/>
              <w:jc w:val="center"/>
              <w:rPr>
                <w:lang w:val="pt-BR"/>
              </w:rPr>
            </w:pPr>
            <w:r>
              <w:rPr>
                <w:lang w:val="pt-BR"/>
              </w:rPr>
              <w:t xml:space="preserve">q_estrela</w:t>
            </w:r>
          </w:p>
        </w:tc>
        <w:tc>
          <w:tcPr>
            <w:tcW w:w="2700" w:type="dxa"/>
            <w:vAlign w:val="center"/>
          </w:tcPr>
          <w:p>
            <w:pPr>
              <w:keepNext/>
              <w:spacing w:before="20" w:after="20" w:line="240" w:lineRule="auto"/>
              <w:rPr>
                <w:lang w:val="pt-BR"/>
              </w:rPr>
            </w:pPr>
            <w:r>
              <w:rPr>
                <w:lang w:val="pt-BR"/>
              </w:rPr>
              <w:t xml:space="preserve">Sem correspondente</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Defasagem constante entre a direção de p e q</w:t>
            </w:r>
          </w:p>
        </w:tc>
        <w:tc>
          <w:tcPr>
            <w:tcW w:w="1900" w:type="dxa"/>
            <w:vAlign w:val="center"/>
          </w:tcPr>
          <w:p>
            <w:pPr>
              <w:keepNext/>
              <w:spacing w:before="20" w:after="20" w:line="240" w:lineRule="auto"/>
              <w:rPr>
                <w:lang w:val="pt-BR"/>
              </w:rPr>
            </w:pPr>
            <w:r>
              <w:rPr>
                <w:lang w:val="pt-BR"/>
              </w:rPr>
              <w:t xml:space="preserve">Equação (33)</w:t>
            </w:r>
          </w:p>
        </w:tc>
        <w:tc>
          <w:tcPr>
            <w:tcW w:w="1400" w:type="dxa"/>
            <w:vAlign w:val="center"/>
          </w:tcPr>
          <w:p>
            <w:pPr>
              <w:keepNext/>
              <w:spacing w:before="20" w:after="20" w:line="240" w:lineRule="auto"/>
              <w:jc w:val="center"/>
              <w:rPr>
                <w:lang w:val="pt-BR"/>
              </w:rPr>
            </w:pPr>
            <w:r>
              <w:rPr>
                <w:lang w:val="pt-BR"/>
              </w:rPr>
              <w:t xml:space="preserve">phi − angulo_OP</w:t>
            </w:r>
          </w:p>
        </w:tc>
        <w:tc>
          <w:tcPr>
            <w:tcW w:w="2700" w:type="dxa"/>
            <w:vAlign w:val="center"/>
          </w:tcPr>
          <w:p>
            <w:pPr>
              <w:keepNext/>
              <w:spacing w:before="20" w:after="20" w:line="240" w:lineRule="auto"/>
              <w:rPr>
                <w:lang w:val="pt-BR"/>
              </w:rPr>
            </w:pPr>
            <w:r>
              <w:rPr>
                <w:lang w:val="pt-BR"/>
              </w:rPr>
              <w:t xml:space="preserve">Na seção 3.1, φ é a direção do cabo</w:t>
            </w:r>
          </w:p>
        </w:tc>
      </w:tr>
      <w:tr>
        <w:trPr>
          <w:cantSplit/>
          <w:jc w:val="center"/>
        </w:trPr>
        <w:tc>
          <w:tcPr>
            <w:tcW w:w="1100" w:type="dxa"/>
            <w:vAlign w:val="center"/>
          </w:tcPr>
          <w:p>
            <w:pPr>
              <w:keepNext/>
              <w:spacing w:before="20" w:after="20" w:line="240" w:lineRule="auto"/>
              <w:jc w:val="center"/>
              <w:rPr>
                <w:lang w:val="pt-BR"/>
              </w:rPr>
            </w:pPr>
            <w:r>
              <w:rPr>
                <w:lang w:val="pt-BR"/>
              </w:rPr>
              <w:t xml:space="preserve">ψ</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(38) e (39)</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Papel de φ, Equação (8); na seção 3.1, ψ é o ângulo entre o cabo e o elo</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(38) e (39)</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Papel de ℓ, Equação (16); na seção 3.1, s é o vão livre do cabo</w:t>
            </w:r>
          </w:p>
        </w:tc>
      </w:tr>
      <w:tr>
        <w:trPr>
          <w:cantSplit/>
          <w:jc w:val="center"/>
        </w:trPr>
        <w:tc>
          <w:tcPr>
            <w:tcW w:w="1100" w:type="dxa"/>
            <w:vAlign w:val="center"/>
          </w:tcPr>
          <w:p>
            <w:pPr>
              <w:keepNext/>
              <w:spacing w:before="20" w:after="20" w:line="240" w:lineRule="auto"/>
              <w:jc w:val="center"/>
              <w:rPr>
                <w:lang w:val="pt-BR"/>
              </w:rPr>
            </w:pPr>
            <w:r>
              <w:rPr>
                <w:lang w:val="pt-BR"/>
              </w:rPr>
              <w:t xml:space="preserve">x</w:t>
            </w:r>
          </w:p>
        </w:tc>
        <w:tc>
          <w:tcPr>
            <w:tcW w:w="2260" w:type="dxa"/>
            <w:vAlign w:val="center"/>
          </w:tcPr>
          <w:p>
            <w:pPr>
              <w:keepNext/>
              <w:spacing w:before="20" w:after="20" w:line="240" w:lineRule="auto"/>
              <w:rPr>
                <w:lang w:val="pt-BR"/>
              </w:rPr>
            </w:pPr>
            <w:r>
              <w:rPr>
                <w:lang w:val="pt-BR"/>
              </w:rPr>
              <w:t xml:space="preserve">Comprimento do trecho do elástico entre o elemento 78 e P</w:t>
            </w:r>
          </w:p>
        </w:tc>
        <w:tc>
          <w:tcPr>
            <w:tcW w:w="1900" w:type="dxa"/>
            <w:vAlign w:val="center"/>
          </w:tcPr>
          <w:p>
            <w:pPr>
              <w:keepNext/>
              <w:spacing w:before="20" w:after="20" w:line="240" w:lineRule="auto"/>
              <w:rPr>
                <w:lang w:val="pt-BR"/>
              </w:rPr>
            </w:pPr>
            <w:r>
              <w:rPr>
                <w:lang w:val="pt-BR"/>
              </w:rPr>
              <w:t xml:space="preserve">Equação (37)</w:t>
            </w:r>
          </w:p>
        </w:tc>
        <w:tc>
          <w:tcPr>
            <w:tcW w:w="1400" w:type="dxa"/>
            <w:vAlign w:val="center"/>
          </w:tcPr>
          <w:p>
            <w:pPr>
              <w:keepNext/>
              <w:spacing w:before="20" w:after="20" w:line="240" w:lineRule="auto"/>
              <w:jc w:val="center"/>
              <w:rPr>
                <w:lang w:val="pt-BR"/>
              </w:rPr>
            </w:pPr>
            <w:r>
              <w:rPr>
                <w:lang w:val="pt-BR"/>
              </w:rPr>
              <w:t xml:space="preserve">calculate_d</w:t>
            </w:r>
          </w:p>
        </w:tc>
        <w:tc>
          <w:tcPr>
            <w:tcW w:w="2700" w:type="dxa"/>
            <w:vAlign w:val="center"/>
          </w:tcPr>
          <w:p>
            <w:pPr>
              <w:keepNext/>
              <w:spacing w:before="20" w:after="20" w:line="240" w:lineRule="auto"/>
              <w:rPr>
                <w:lang w:val="pt-BR"/>
              </w:rPr>
            </w:pPr>
            <w:r>
              <w:rPr>
                <w:lang w:val="pt-BR"/>
              </w:rPr>
              <w:t xml:space="preserve">Sem correspondente</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s em que o elástico atinge o comprimento livre</w:t>
            </w:r>
          </w:p>
        </w:tc>
        <w:tc>
          <w:tcPr>
            <w:tcW w:w="1900" w:type="dxa"/>
            <w:vAlign w:val="center"/>
          </w:tcPr>
          <w:p>
            <w:pPr>
              <w:keepNext/>
              <w:spacing w:before="20" w:after="20" w:line="240" w:lineRule="auto"/>
              <w:rPr>
                <w:lang w:val="pt-BR"/>
              </w:rPr>
            </w:pPr>
            <w:r>
              <w:rPr>
                <w:lang w:val="pt-BR"/>
              </w:rPr>
              <w:t xml:space="preserve">Seção 3.2.6</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(41)</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(43)</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(46)</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q</w:t>
      </w:r>
      <w:r>
        <w:rPr>
          <w:vertAlign w:val="subscript"/>
          <w:lang w:val="pt-BR"/>
        </w:rPr>
        <w:t xml:space="preserve">0</w:t>
      </w:r>
      <w:r>
        <w:rPr>
          <w:lang w:val="pt-BR"/>
        </w:rPr>
        <w:t xml:space="preserve"> passa a −41,815° e θ</w:t>
      </w:r>
      <w:r>
        <w:rPr>
          <w:vertAlign w:val="subscript"/>
          <w:lang w:val="pt-BR"/>
        </w:rPr>
        <w:t xml:space="preserve">el,pose</w:t>
      </w:r>
      <w:r>
        <w:rPr>
          <w:lang w:val="pt-BR"/>
        </w:rPr>
        <w:t xml:space="preserve"> a 97,962°, e o contato da seção 3.2.5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4.2.4, e os resultados da seção 4.2 dependem da confirmação desse sinal.</w:t>
      </w:r>
    </w:p>
    <w:p>
      <w:pPr>
        <w:pStyle w:val="Ttulo2"/>
        <w:rPr>
          <w:lang w:val="pt-BR"/>
        </w:rPr>
      </w:pPr>
      <w:r>
        <w:rPr>
          <w:lang w:val="pt-BR"/>
        </w:rPr>
        <w:t xml:space="preserve">3.2.4 Equação de fechamento do circuito vetorial</w:t>
      </w:r>
    </w:p>
    <w:p>
      <w:pPr>
        <w:rPr>
          <w:lang w:val="pt-BR"/>
        </w:rPr>
      </w:pPr>
      <w:r>
        <w:rPr>
          <w:lang w:val="pt-BR"/>
        </w:rPr>
        <w:t xml:space="preserve">A ancoragem A do elástico fica na barra 18, e o ponto P, na extremidade da alavanca solidária ao braço (Figura 3). No modelo em CAD, a alavanca tem um cotovelo: um trecho e</w:t>
      </w:r>
      <w:r>
        <w:rPr>
          <w:vertAlign w:val="subscript"/>
          <w:lang w:val="pt-BR"/>
        </w:rPr>
        <w:t xml:space="preserve">c</w:t>
      </w:r>
      <w:r>
        <w:rPr>
          <w:lang w:val="pt-BR"/>
        </w:rPr>
        <w:t xml:space="preserve"> a partir de O e um trecho C</w:t>
      </w:r>
      <w:r>
        <w:rPr>
          <w:vertAlign w:val="subscript"/>
          <w:lang w:val="pt-BR"/>
        </w:rPr>
        <w:t xml:space="preserve">3</w:t>
      </w:r>
      <w:r>
        <w:rPr>
          <w:lang w:val="pt-BR"/>
        </w:rPr>
        <w:t xml:space="preserve"> girado de β</w:t>
      </w:r>
      <w:r>
        <w:rPr>
          <w:vertAlign w:val="subscript"/>
          <w:lang w:val="pt-BR"/>
        </w:rPr>
        <w:t xml:space="preserve">c</w:t>
      </w:r>
      <w:r>
        <w:rPr>
          <w:lang w:val="pt-BR"/>
        </w:rPr>
        <w:t xml:space="preserve">. Como os dois giram juntos com o braço, a alavanca é representada pelo segmento OP, de comprimento </w:t>
      </w:r>
      <w:r>
        <w:rPr>
          <w:i/>
          <w:lang w:val="pt-BR"/>
        </w:rPr>
        <w:t xml:space="preserve">e</w:t>
      </w:r>
      <w:r>
        <w:rPr>
          <w:lang w:val="pt-BR"/>
        </w:rPr>
        <w:t xml:space="preserve">, que forma com o trecho e</w:t>
      </w:r>
      <w:r>
        <w:rPr>
          <w:vertAlign w:val="subscript"/>
          <w:lang w:val="pt-BR"/>
        </w:rPr>
        <w:t xml:space="preserve">c</w:t>
      </w:r>
      <w:r>
        <w:rPr>
          <w:lang w:val="pt-BR"/>
        </w:rPr>
        <w:t xml:space="preserve"> o ângulo fixo ε:</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e</m:t>
                </m:r>
                <m:r>
                  <m:rPr>
                    <m:sty m:val="p"/>
                  </m:rPr>
                  <m:t>=</m:t>
                </m:r>
                <m:d>
                  <m:dPr>
                    <m:begChr m:val="|"/>
                    <m:sepChr m:val=""/>
                    <m:endChr m:val="|"/>
                    <m:grow/>
                  </m:dPr>
                  <m:e>
                    <m:sSub>
                      <m:e>
                        <m:r>
                          <m:t>e</m:t>
                        </m:r>
                      </m:e>
                      <m:sub>
                        <m:r>
                          <m:t>c</m:t>
                        </m:r>
                      </m:sub>
                    </m:sSub>
                    <m:r>
                      <m:rPr>
                        <m:sty m:val="p"/>
                      </m:rPr>
                      <m:t>+</m:t>
                    </m:r>
                    <m:sSub>
                      <m:e>
                        <m:r>
                          <m:t>C</m:t>
                        </m:r>
                      </m:e>
                      <m:sub>
                        <m:r>
                          <m:t>3</m:t>
                        </m:r>
                      </m:sub>
                    </m:sSub>
                    <m:r>
                      <m:t> </m:t>
                    </m:r>
                    <m:r>
                      <m:rPr>
                        <m:sty m:val="b"/>
                      </m:rPr>
                      <m:t>u</m:t>
                    </m:r>
                    <m:d>
                      <m:dPr>
                        <m:begChr m:val="("/>
                        <m:sepChr m:val=""/>
                        <m:endChr m:val=")"/>
                        <m:grow/>
                      </m:dPr>
                      <m:e>
                        <m:sSub>
                          <m:e>
                            <m:r>
                              <m:t>β</m:t>
                            </m:r>
                          </m:e>
                          <m:sub>
                            <m:r>
                              <m:t>c</m:t>
                            </m:r>
                          </m:sub>
                        </m:sSub>
                      </m:e>
                    </m:d>
                  </m:e>
                </m:d>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sSub>
                          <m:e>
                            <m:r>
                              <m:t>e</m:t>
                            </m:r>
                          </m:e>
                          <m:sub>
                            <m:r>
                              <m:t>c</m:t>
                            </m:r>
                          </m:sub>
                        </m:sSub>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(30)</w:t>
            </w:r>
          </w:p>
        </w:tc>
      </w:tr>
    </w:tbl>
    <w:p>
      <w:pPr>
        <w:rPr>
          <w:lang w:val="pt-BR"/>
        </w:rPr>
      </w:pPr>
      <w:r>
        <w:rPr>
          <w:lang w:val="pt-BR"/>
        </w:rPr>
        <w:t xml:space="preserve">Com e</w:t>
      </w:r>
      <w:r>
        <w:rPr>
          <w:vertAlign w:val="subscript"/>
          <w:lang w:val="pt-BR"/>
        </w:rPr>
        <w:t xml:space="preserve">c</w:t>
      </w:r>
      <w:r>
        <w:rPr>
          <w:lang w:val="pt-BR"/>
        </w:rPr>
        <w:t xml:space="preserve"> = 34,785 mm, C</w:t>
      </w:r>
      <w:r>
        <w:rPr>
          <w:vertAlign w:val="subscript"/>
          <w:lang w:val="pt-BR"/>
        </w:rPr>
        <w:t xml:space="preserve">3</w:t>
      </w:r>
      <w:r>
        <w:rPr>
          <w:lang w:val="pt-BR"/>
        </w:rPr>
        <w:t xml:space="preserve"> = 14,907 mm e β</w:t>
      </w:r>
      <w:r>
        <w:rPr>
          <w:vertAlign w:val="subscript"/>
          <w:lang w:val="pt-BR"/>
        </w:rPr>
        <w:t xml:space="preserve">c</w:t>
      </w:r>
      <w:r>
        <w:rPr>
          <w:lang w:val="pt-BR"/>
        </w:rPr>
        <w:t xml:space="preserve"> = −49,647°, medidos no CAD, resulta </w:t>
      </w:r>
      <w:r>
        <w:rPr>
          <w:i/>
          <w:lang w:val="pt-BR"/>
        </w:rPr>
        <w:t xml:space="preserve">e</w:t>
      </w:r>
      <w:r>
        <w:rPr>
          <w:lang w:val="pt-BR"/>
        </w:rPr>
        <w:t xml:space="preserve"> = 45,866 mm e ε = −14,340°. O vetor fixo de A a O, a posição de P e a do centro do elemento 78, na extremidade do vetor p,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 </m:t>
                </m:r>
                <m:r>
                  <m:t>α</m:t>
                </m:r>
                <m:r>
                  <m:rPr>
                    <m:sty m:val="p"/>
                  </m:rPr>
                  <m:t>=</m:t>
                </m:r>
                <m:sSup>
                  <m:e>
                    <m:r>
                      <m:t>90</m:t>
                    </m:r>
                  </m:e>
                  <m:sup>
                    <m:r>
                      <m:rPr>
                        <m:sty m:val="p"/>
                      </m:rPr>
                      <m:t>∘</m:t>
                    </m:r>
                  </m:sup>
                </m:sSup>
                <m:r>
                  <m:rPr>
                    <m:sty m:val="p"/>
                  </m:rPr>
                  <m:t>−</m:t>
                </m:r>
                <m:r>
                  <m:t>γ</m:t>
                </m:r>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q</m:t>
                    </m:r>
                  </m:e>
                </m:d>
                <m:r>
                  <m:rPr>
                    <m:sty m:val="p"/>
                  </m:rPr>
                  <m:t>,</m:t>
                </m:r>
                <m:r>
                  <m:t> </m:t>
                </m:r>
                <m:sSub>
                  <m:e>
                    <m:r>
                      <m:rPr>
                        <m:sty m:val="b"/>
                      </m:rPr>
                      <m:t>C</m:t>
                    </m:r>
                  </m:e>
                  <m:sub>
                    <m:r>
                      <m:t>78</m:t>
                    </m:r>
                  </m:sub>
                </m:sSub>
                <m:r>
                  <m:rPr>
                    <m:sty m:val="p"/>
                  </m:rPr>
                  <m:t>=</m:t>
                </m:r>
                <m:r>
                  <m:t>p</m:t>
                </m:r>
                <m:r>
                  <m:t> </m:t>
                </m:r>
                <m:r>
                  <m:rPr>
                    <m:sty m:val="b"/>
                  </m:rPr>
                  <m:t>u</m:t>
                </m:r>
                <m:d>
                  <m:dPr>
                    <m:begChr m:val="("/>
                    <m:sepChr m:val=""/>
                    <m:endChr m:val=")"/>
                    <m:grow/>
                  </m:dPr>
                  <m:e>
                    <m:r>
                      <m:t>q</m:t>
                    </m:r>
                    <m:r>
                      <m:rPr>
                        <m:sty m:val="p"/>
                      </m:rPr>
                      <m:t>+</m:t>
                    </m:r>
                    <m:r>
                      <m:t>φ</m:t>
                    </m:r>
                  </m:e>
                </m:d>
              </m:oMath>
            </m:oMathPara>
          </w:p>
        </w:tc>
        <w:tc>
          <w:tcPr>
            <w:tcW w:w="900" w:type="dxa"/>
            <w:vAlign w:val="center"/>
          </w:tcPr>
          <w:p>
            <w:pPr>
              <w:spacing w:before="60" w:after="60"/>
              <w:jc w:val="right"/>
              <w:rPr>
                <w:lang w:val="pt-BR"/>
              </w:rPr>
            </w:pPr>
            <w:r>
              <w:rPr>
                <w:lang w:val="pt-BR"/>
              </w:rPr>
              <w:t>(32)</w:t>
            </w:r>
          </w:p>
        </w:tc>
      </w:tr>
      <w:tr>
        <w:trPr>
          <w:cantSplit/>
          <w:jc w:val="center"/>
        </w:trPr>
        <w:tc>
          <w:tcPr>
            <w:tcW w:w="8460" w:type="dxa"/>
            <w:vAlign w:val="center"/>
          </w:tcPr>
          <w:p>
            <w:pPr>
              <w:spacing w:before="60" w:after="60"/>
              <w:jc w:val="center"/>
              <w:rPr>
                <w:lang w:val="pt-BR"/>
              </w:rPr>
            </w:pPr>
            <m:oMathPara>
              <m:oMathParaPr>
                <m:jc m:val="center"/>
              </m:oMathParaPr>
              <m:oMath>
                <m:r>
                  <m:t>φ</m:t>
                </m:r>
                <m:r>
                  <m:rPr>
                    <m:sty m:val="p"/>
                  </m:rPr>
                  <m:t>=</m:t>
                </m:r>
                <m:sSub>
                  <m:e>
                    <m:r>
                      <m:t>q</m:t>
                    </m:r>
                  </m:e>
                  <m:sub>
                    <m:r>
                      <m:t>78</m:t>
                    </m:r>
                    <m:r>
                      <m:rPr>
                        <m:sty m:val="p"/>
                      </m:rPr>
                      <m:t>,</m:t>
                    </m:r>
                    <m:r>
                      <m:rPr>
                        <m:sty m:val="p"/>
                      </m:rPr>
                      <m:t>p</m:t>
                    </m:r>
                    <m:r>
                      <m:rPr>
                        <m:sty m:val="p"/>
                      </m:rPr>
                      <m:t>o</m:t>
                    </m:r>
                    <m:r>
                      <m:rPr>
                        <m:sty m:val="p"/>
                      </m:rPr>
                      <m:t>s</m:t>
                    </m:r>
                    <m:r>
                      <m:rPr>
                        <m:sty m:val="p"/>
                      </m:rPr>
                      <m:t>e</m:t>
                    </m:r>
                  </m:sub>
                </m:sSub>
                <m:r>
                  <m:rPr>
                    <m:sty m:val="p"/>
                  </m:rPr>
                  <m:t>−</m:t>
                </m:r>
                <m:sSub>
                  <m:e>
                    <m:r>
                      <m:t>q</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(33)</w:t>
            </w:r>
          </w:p>
        </w:tc>
      </w:tr>
    </w:tbl>
    <w:p>
      <w:pPr>
        <w:rPr>
          <w:lang w:val="pt-BR"/>
        </w:rPr>
      </w:pPr>
      <w:r>
        <w:rPr>
          <w:lang w:val="pt-BR"/>
        </w:rPr>
        <w:t xml:space="preserve">com A = −r</w:t>
      </w:r>
      <w:r>
        <w:rPr>
          <w:vertAlign w:val="subscript"/>
          <w:lang w:val="pt-BR"/>
        </w:rPr>
        <w:t xml:space="preserve">AO</w:t>
      </w:r>
      <w:r>
        <w:rPr>
          <w:lang w:val="pt-BR"/>
        </w:rPr>
        <w:t xml:space="preserve">. O elemento 78 é preso ao braço, e φ é a defasagem constante entre a direção de p e q, 131,790° na geometria do CAD. Para q &gt; q*, o elástico é retilíneo de A a P (regime I), e o circuito fechado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e</m:t>
                </m:r>
                <m:r>
                  <m:t> </m:t>
                </m:r>
                <m:r>
                  <m:rPr>
                    <m:sty m:val="b"/>
                  </m:rPr>
                  <m:t>u</m:t>
                </m:r>
                <m:d>
                  <m:dPr>
                    <m:begChr m:val="("/>
                    <m:sepChr m:val=""/>
                    <m:endChr m:val=")"/>
                    <m:grow/>
                  </m:dPr>
                  <m:e>
                    <m:r>
                      <m:t>q</m:t>
                    </m:r>
                  </m:e>
                </m:d>
                <m:r>
                  <m:rPr>
                    <m:sty m:val="p"/>
                  </m:rPr>
                  <m:t>−</m:t>
                </m:r>
                <m:r>
                  <m:t>s</m:t>
                </m:r>
                <m:r>
                  <m:t> </m:t>
                </m:r>
                <m:r>
                  <m:rPr>
                    <m:sty m:val="b"/>
                  </m:rPr>
                  <m:t>u</m:t>
                </m:r>
                <m:d>
                  <m:dPr>
                    <m:begChr m:val="("/>
                    <m:sepChr m:val=""/>
                    <m:endChr m:val=")"/>
                    <m:grow/>
                  </m:dPr>
                  <m:e>
                    <m:r>
                      <m:t>ψ</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Para q ≤ q*, o elástico encosta no elemento 78 e fica dividido nos trechos de A ao elemento 78 e do elemento 78 a P (regime II). O elemento 78 só entra no circuito a partir do contato, e há dois circuitos: o circuito fechado que passa pelo elemento 78 e o triângulo formado por </w:t>
      </w:r>
      <w:r>
        <w:rPr>
          <w:i/>
          <w:lang w:val="pt-BR"/>
        </w:rPr>
        <w:t xml:space="preserve">e</w:t>
      </w:r>
      <w:r>
        <w:rPr>
          <w:lang w:val="pt-BR"/>
        </w:rPr>
        <w:t xml:space="preserve">, p e x,</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p</m:t>
                </m:r>
                <m:r>
                  <m:t> </m:t>
                </m:r>
                <m:r>
                  <m:rPr>
                    <m:sty m:val="b"/>
                  </m:rPr>
                  <m:t>u</m:t>
                </m:r>
                <m:d>
                  <m:dPr>
                    <m:begChr m:val="("/>
                    <m:sepChr m:val=""/>
                    <m:endChr m:val=")"/>
                    <m:grow/>
                  </m:dPr>
                  <m:e>
                    <m:r>
                      <m:t>q</m:t>
                    </m:r>
                    <m:r>
                      <m:rPr>
                        <m:sty m:val="p"/>
                      </m:rPr>
                      <m:t>+</m:t>
                    </m:r>
                    <m:r>
                      <m:t>φ</m:t>
                    </m:r>
                  </m:e>
                </m:d>
                <m:r>
                  <m:rPr>
                    <m:sty m:val="p"/>
                  </m:rPr>
                  <m:t>−</m:t>
                </m:r>
                <m:d>
                  <m:dPr>
                    <m:begChr m:val="("/>
                    <m:sepChr m:val=""/>
                    <m:endChr m:val=")"/>
                    <m:grow/>
                  </m:dPr>
                  <m:e>
                    <m:r>
                      <m:t>s</m:t>
                    </m:r>
                    <m:r>
                      <m:rPr>
                        <m:sty m:val="p"/>
                      </m:rPr>
                      <m:t>−</m:t>
                    </m:r>
                    <m:r>
                      <m:t>x</m:t>
                    </m:r>
                  </m:e>
                </m:d>
                <m:r>
                  <m:rPr>
                    <m:sty m:val="b"/>
                  </m:rPr>
                  <m:t>u</m:t>
                </m:r>
                <m:d>
                  <m:dPr>
                    <m:begChr m:val="("/>
                    <m:sepChr m:val=""/>
                    <m:endChr m:val=")"/>
                    <m:grow/>
                  </m:dPr>
                  <m:e>
                    <m:r>
                      <m:t>ψ</m:t>
                    </m:r>
                  </m:e>
                </m:d>
                <m:r>
                  <m:rPr>
                    <m:sty m:val="p"/>
                  </m:rPr>
                  <m:t>=</m:t>
                </m:r>
                <m:r>
                  <m:rPr>
                    <m:sty m:val="b"/>
                  </m:rPr>
                  <m:t>0</m:t>
                </m:r>
              </m:oMath>
            </m:oMathPara>
          </w:p>
        </w:tc>
        <w:tc>
          <w:tcPr>
            <w:tcW w:w="900" w:type="dxa"/>
            <w:vAlign w:val="center"/>
          </w:tcPr>
          <w:p>
            <w:pPr>
              <w:spacing w:before="60" w:after="60"/>
              <w:jc w:val="right"/>
              <w:rPr>
                <w:lang w:val="pt-BR"/>
              </w:rPr>
            </w:pPr>
            <w:r>
              <w:rPr>
                <w:lang w:val="pt-BR"/>
              </w:rPr>
              <w:t>(35)</w:t>
            </w:r>
          </w:p>
        </w:tc>
      </w:tr>
      <w:tr>
        <w:trPr>
          <w:cantSplit/>
          <w:jc w:val="center"/>
        </w:trPr>
        <w:tc>
          <w:tcPr>
            <w:tcW w:w="8460" w:type="dxa"/>
            <w:vAlign w:val="center"/>
          </w:tcPr>
          <w:p>
            <w:pPr>
              <w:spacing w:before="60" w:after="60"/>
              <w:jc w:val="center"/>
              <w:rPr>
                <w:lang w:val="pt-BR"/>
              </w:rPr>
            </w:pPr>
            <m:oMathPara>
              <m:oMathParaPr>
                <m:jc m:val="center"/>
              </m:oMathParaPr>
              <m:oMath>
                <m:r>
                  <m:t>x</m:t>
                </m:r>
                <m:r>
                  <m:rPr>
                    <m:sty m:val="p"/>
                  </m:rPr>
                  <m:t>=</m:t>
                </m:r>
                <m:d>
                  <m:dPr>
                    <m:begChr m:val="|"/>
                    <m:sepChr m:val=""/>
                    <m:endChr m:val="|"/>
                    <m:grow/>
                  </m:dPr>
                  <m:e>
                    <m:r>
                      <m:t>e</m:t>
                    </m:r>
                    <m:r>
                      <m:t> </m:t>
                    </m:r>
                    <m:r>
                      <m:rPr>
                        <m:sty m:val="b"/>
                      </m:rPr>
                      <m:t>u</m:t>
                    </m:r>
                    <m:d>
                      <m:dPr>
                        <m:begChr m:val="("/>
                        <m:sepChr m:val=""/>
                        <m:endChr m:val=")"/>
                        <m:grow/>
                      </m:dPr>
                      <m:e>
                        <m:r>
                          <m:t>q</m:t>
                        </m:r>
                      </m:e>
                    </m:d>
                    <m:r>
                      <m:rPr>
                        <m:sty m:val="p"/>
                      </m:rPr>
                      <m:t>−</m:t>
                    </m:r>
                    <m:r>
                      <m:t>p</m:t>
                    </m:r>
                    <m:r>
                      <m:t> </m:t>
                    </m:r>
                    <m:r>
                      <m:rPr>
                        <m:sty m:val="b"/>
                      </m:rPr>
                      <m:t>u</m:t>
                    </m:r>
                    <m:d>
                      <m:dPr>
                        <m:begChr m:val="("/>
                        <m:sepChr m:val=""/>
                        <m:endChr m:val=")"/>
                        <m:grow/>
                      </m:dPr>
                      <m:e>
                        <m:r>
                          <m:t>q</m:t>
                        </m:r>
                        <m:r>
                          <m:rPr>
                            <m:sty m:val="p"/>
                          </m:rPr>
                          <m:t>+</m:t>
                        </m:r>
                        <m:r>
                          <m:t>φ</m:t>
                        </m:r>
                      </m:e>
                    </m:d>
                  </m:e>
                </m:d>
              </m:oMath>
            </m:oMathPara>
          </w:p>
        </w:tc>
        <w:tc>
          <w:tcPr>
            <w:tcW w:w="900" w:type="dxa"/>
            <w:vAlign w:val="center"/>
          </w:tcPr>
          <w:p>
            <w:pPr>
              <w:spacing w:before="60" w:after="60"/>
              <w:jc w:val="right"/>
              <w:rPr>
                <w:lang w:val="pt-BR"/>
              </w:rPr>
            </w:pPr>
            <w:r>
              <w:rPr>
                <w:lang w:val="pt-BR"/>
              </w:rPr>
              <w:t>(36)</w:t>
            </w:r>
          </w:p>
        </w:tc>
      </w:tr>
    </w:tbl>
    <w:p>
      <w:pPr>
        <w:rPr>
          <w:lang w:val="pt-BR"/>
        </w:rPr>
      </w:pPr>
      <w:r>
        <w:rPr>
          <w:lang w:val="pt-BR"/>
        </w:rPr>
        <w:t xml:space="preserve">em que s é o comprimento total do elástico entre A e P, ψ a direção do trecho ligado a A e x o comprimento do trecho entre o elemento 78 e P. No triângulo, </w:t>
      </w:r>
      <w:r>
        <w:rPr>
          <w:i/>
          <w:lang w:val="pt-BR"/>
        </w:rPr>
        <w:t xml:space="preserve">e</w:t>
      </w:r>
      <w:r>
        <w:rPr>
          <w:lang w:val="pt-BR"/>
        </w:rPr>
        <w:t xml:space="preserve"> e p são constantes e o ângulo entre eles é a defasagem φ, de modo que x não depende de q:</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x</m:t>
                </m:r>
                <m:r>
                  <m:rPr>
                    <m:sty m:val="p"/>
                  </m:rPr>
                  <m:t>=</m:t>
                </m:r>
                <m:rad>
                  <m:radPr>
                    <m:degHide m:val="on"/>
                  </m:radPr>
                  <m:deg/>
                  <m:e>
                    <m:sSup>
                      <m:e>
                        <m:r>
                          <m:t>e</m:t>
                        </m:r>
                      </m:e>
                      <m:sup>
                        <m:r>
                          <m:t>2</m:t>
                        </m:r>
                      </m:sup>
                    </m:sSup>
                    <m:r>
                      <m:rPr>
                        <m:sty m:val="p"/>
                      </m:rPr>
                      <m:t>+</m:t>
                    </m:r>
                    <m:sSup>
                      <m:e>
                        <m:r>
                          <m:t>p</m:t>
                        </m:r>
                      </m:e>
                      <m:sup>
                        <m:r>
                          <m:t>2</m:t>
                        </m:r>
                      </m:sup>
                    </m:sSup>
                    <m:r>
                      <m:rPr>
                        <m:sty m:val="p"/>
                      </m:rPr>
                      <m:t>−</m:t>
                    </m:r>
                    <m:r>
                      <m:t>2</m:t>
                    </m:r>
                    <m:r>
                      <m:t> </m:t>
                    </m:r>
                    <m:r>
                      <m:t>e</m:t>
                    </m:r>
                    <m:r>
                      <m:t> </m:t>
                    </m:r>
                    <m:r>
                      <m:t>p</m:t>
                    </m:r>
                    <m:r>
                      <m:rPr>
                        <m:sty m:val="p"/>
                      </m:rPr>
                      <m:t>cos</m:t>
                    </m:r>
                    <m:r>
                      <m:t>φ</m:t>
                    </m:r>
                  </m:e>
                </m:rad>
              </m:oMath>
            </m:oMathPara>
          </w:p>
        </w:tc>
        <w:tc>
          <w:tcPr>
            <w:tcW w:w="900" w:type="dxa"/>
            <w:vAlign w:val="center"/>
          </w:tcPr>
          <w:p>
            <w:pPr>
              <w:spacing w:before="60" w:after="60"/>
              <w:jc w:val="right"/>
              <w:rPr>
                <w:lang w:val="pt-BR"/>
              </w:rPr>
            </w:pPr>
            <w:r>
              <w:rPr>
                <w:lang w:val="pt-BR"/>
              </w:rPr>
              <w:t>(37)</w:t>
            </w:r>
          </w:p>
        </w:tc>
      </w:tr>
    </w:tbl>
    <w:p>
      <w:pPr>
        <w:rPr>
          <w:lang w:val="pt-BR"/>
        </w:rPr>
      </w:pPr>
      <w:r>
        <w:rPr>
          <w:lang w:val="pt-BR"/>
        </w:rPr>
        <w:t xml:space="preserve">Com as grandezas do CAD, x = 51,360 mm. Cada regime tem solução fechada, sem procedimento iterativo, porque o lado direito das relações abaixo, a primeira para o regime I e a segunda para o regime II, é conhecido para cada q:</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s</m:t>
                </m:r>
                <m:r>
                  <m:t> </m:t>
                </m:r>
                <m:r>
                  <m:rPr>
                    <m:sty m:val="b"/>
                  </m:rPr>
                  <m:t>u</m:t>
                </m:r>
                <m:d>
                  <m:dPr>
                    <m:begChr m:val="("/>
                    <m:sepChr m:val=""/>
                    <m:endChr m:val=")"/>
                    <m:grow/>
                  </m:dPr>
                  <m:e>
                    <m:r>
                      <m:t>ψ</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(38)</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t>s</m:t>
                    </m:r>
                    <m:r>
                      <m:rPr>
                        <m:sty m:val="p"/>
                      </m:rPr>
                      <m:t>−</m:t>
                    </m:r>
                    <m:r>
                      <m:t>x</m:t>
                    </m:r>
                  </m:e>
                </m:d>
                <m:r>
                  <m:rPr>
                    <m:sty m:val="b"/>
                  </m:rPr>
                  <m:t>u</m:t>
                </m:r>
                <m:d>
                  <m:dPr>
                    <m:begChr m:val="("/>
                    <m:sepChr m:val=""/>
                    <m:endChr m:val=")"/>
                    <m:grow/>
                  </m:dPr>
                  <m:e>
                    <m:r>
                      <m:t>ψ</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(39)</w:t>
            </w:r>
          </w:p>
        </w:tc>
      </w:tr>
    </w:tbl>
    <w:p>
      <w:pPr>
        <w:pStyle w:val="Ttulo2"/>
        <w:rPr>
          <w:lang w:val="pt-BR"/>
        </w:rPr>
      </w:pPr>
      <w:r>
        <w:rPr>
          <w:lang w:val="pt-BR"/>
        </w:rPr>
        <w:t xml:space="preserve">3.2.5 Ponto de contato e troca de regime</w:t>
      </w:r>
    </w:p>
    <w:p>
      <w:pPr>
        <w:rPr>
          <w:lang w:val="pt-BR"/>
        </w:rPr>
      </w:pPr>
      <w:r>
        <w:rPr>
          <w:lang w:val="pt-BR"/>
        </w:rPr>
        <w:t xml:space="preserve">O contato não é imposto por um ângulo. Ele é detectado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O regime II ocorre quando κ ≥ 0, isto é, quando o elemento 78 ficaria do outro lado da reta de A a P se o elástico não o contornasse. O ângulo de contato q* é a raiz de κ, obtida por bissecção, com a condição de que o elemento 78 fique entre A e P. Para a geometria do CAD, q* = 83,203°, isto é, θ</w:t>
      </w:r>
      <w:r>
        <w:rPr>
          <w:vertAlign w:val="subscript"/>
          <w:lang w:val="pt-BR"/>
        </w:rPr>
        <w:t xml:space="preserve">el</w:t>
      </w:r>
      <w:r>
        <w:rPr>
          <w:lang w:val="pt-BR"/>
        </w:rPr>
        <w:t xml:space="preserve"> = 19,094°; nesse ponto, s = 387,222 mm e m = 5,163 mm nos dois regimes, porque A, o elemento 78 e P estão alinhados e o trecho x completa o comprimento.</w:t>
      </w:r>
    </w:p>
    <w:p>
      <w:pPr>
        <w:keepNext/>
        <w:spacing w:before="120" w:after="60"/>
        <w:rPr>
          <w:lang w:val="pt-BR"/>
        </w:rPr>
      </w:pPr>
      <w:r>
        <w:rPr>
          <w:b/>
          <w:lang w:val="pt-BR"/>
        </w:rPr>
        <w:t xml:space="preserve">Figura 3: Circuitos do mecanismo: regime I na pose do CAD (θ</w:t>
      </w:r>
      <w:r>
        <w:rPr>
          <w:b/>
          <w:vertAlign w:val="subscript"/>
          <w:lang w:val="pt-BR"/>
        </w:rPr>
        <w:t xml:space="preserve">el</w:t>
      </w:r>
      <w:r>
        <w:rPr>
          <w:b/>
          <w:lang w:val="pt-BR"/>
        </w:rPr>
        <w:t xml:space="preserve"> = 82,038°) e regime II em θ</w:t>
      </w:r>
      <w:r>
        <w:rPr>
          <w:b/>
          <w:vertAlign w:val="subscript"/>
          <w:lang w:val="pt-BR"/>
        </w:rPr>
        <w:t xml:space="preserve">el</w:t>
      </w:r>
      <w:r>
        <w:rPr>
          <w:b/>
          <w:lang w:val="pt-BR"/>
        </w:rPr>
        <w:t xml:space="preserve"> = 10°</w:t>
      </w:r>
    </w:p>
    <w:p>
      <w:pPr>
        <w:keepNext/>
        <w:spacing w:after="60"/>
        <w:jc w:val="center"/>
        <w:rPr>
          <w:lang w:val="pt-BR"/>
        </w:rPr>
      </w:pPr>
      <w:r>
        <w:rPr>
          <w:noProof/>
          <w:lang w:val="pt-BR"/>
        </w:rPr>
        <w:drawing>
          <wp:inline distT="0" distB="0" distL="0" distR="0">
            <wp:extent cx="5943600" cy="4992624"/>
            <wp:effectExtent l="0" t="0" r="0" b="0"/>
            <wp:docPr id="1002" name="Imagem 1002"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Circuitos do mecanismo da Ottobock. Acima, regime I na pose do CAD: vetores C1, C2, e e s fechando o circuito de A por O e P. Abaixo, regime II com o braço a 10 graus: circuito C1, C2, p e s menos x, e triângulo e, p, x. À direita, ampliação da região do pivô."/>
                    <pic:cNvPicPr/>
                  </pic:nvPicPr>
                  <pic:blipFill>
                    <a:blip r:embed="rIdExo2F2"/>
                    <a:stretch>
                      <a:fillRect/>
                    </a:stretch>
                  </pic:blipFill>
                  <pic:spPr>
                    <a:xfrm>
                      <a:off x="0" y="0"/>
                      <a:ext cx="5943600" cy="4992624"/>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A alavanca está representada pelo segmento OP, de comprimento </w:t>
      </w:r>
      <w:r>
        <w:rPr>
          <w:i/>
          <w:sz w:val="20"/>
          <w:szCs w:val="20"/>
          <w:lang w:val="pt-BR"/>
        </w:rPr>
        <w:t xml:space="preserve">e</w:t>
      </w:r>
      <w:r>
        <w:rPr>
          <w:sz w:val="20"/>
          <w:szCs w:val="20"/>
          <w:lang w:val="pt-BR"/>
        </w:rPr>
        <w:t xml:space="preserve">. Regime 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w:t>
      </w:r>
      <w:r>
        <w:rPr>
          <w:i/>
          <w:sz w:val="20"/>
          <w:szCs w:val="20"/>
          <w:lang w:val="pt-BR"/>
        </w:rPr>
        <w:t xml:space="preserve">e</w:t>
      </w:r>
      <w:r>
        <w:rPr>
          <w:sz w:val="20"/>
          <w:szCs w:val="20"/>
          <w:lang w:val="pt-BR"/>
        </w:rPr>
        <w:t xml:space="preserve"> e s. Regime II: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p e s − x, e triângulo </w:t>
      </w:r>
      <w:r>
        <w:rPr>
          <w:i/>
          <w:sz w:val="20"/>
          <w:szCs w:val="20"/>
          <w:lang w:val="pt-BR"/>
        </w:rPr>
        <w:t xml:space="preserve">e</w:t>
      </w:r>
      <w:r>
        <w:rPr>
          <w:sz w:val="20"/>
          <w:szCs w:val="20"/>
          <w:lang w:val="pt-BR"/>
        </w:rPr>
        <w:t xml:space="preserve">, p e x (</w:t>
      </w:r>
      <w:r>
        <w:rPr>
          <w:i/>
          <w:sz w:val="20"/>
          <w:szCs w:val="20"/>
          <w:lang w:val="pt-BR"/>
        </w:rPr>
        <w:t xml:space="preserve">e</w:t>
      </w:r>
      <w:r>
        <w:rPr>
          <w:sz w:val="20"/>
          <w:szCs w:val="20"/>
          <w:lang w:val="pt-BR"/>
        </w:rPr>
        <w:t xml:space="preserve"> tracejado); o elemento 78, na ponta de p, só entra depois do contato. As linhas pontilhadas indicam o eixo do braço.</w:t>
      </w:r>
    </w:p>
    <w:p>
      <w:pPr>
        <w:rPr>
          <w:lang w:val="pt-BR"/>
        </w:rPr>
      </w:pPr>
      <w:r>
        <w:rPr>
          <w:lang w:val="pt-BR"/>
        </w:rPr>
        <w:t xml:space="preserve">A Figura 4 sobrepõe esses circuitos à Figura 22 da patente, com o braço elevado e com o braço baixado. Em cada desenho, o modelo foi calculado na anteversão lida na figura, θ</w:t>
      </w:r>
      <w:r>
        <w:rPr>
          <w:vertAlign w:val="subscript"/>
          <w:lang w:val="pt-BR"/>
        </w:rPr>
        <w:t xml:space="preserve">el</w:t>
      </w:r>
      <w:r>
        <w:rPr>
          <w:lang w:val="pt-BR"/>
        </w:rPr>
        <w:t xml:space="preserve"> = 96,5° e −2,2°, e alinhado pelo centro da articulação 20, que faz o papel de O, e pela extremidade inferior do elástico desenhado, junto à braçadeira da barra 18, onde fica a ancoragem A.</w:t>
      </w:r>
    </w:p>
    <w:p>
      <w:pPr>
        <w:keepNext/>
        <w:spacing w:before="120" w:after="60"/>
        <w:rPr>
          <w:lang w:val="pt-BR"/>
        </w:rPr>
      </w:pPr>
      <w:r>
        <w:rPr>
          <w:b/>
          <w:lang w:val="pt-BR"/>
        </w:rPr>
        <w:t xml:space="preserve">Figura 4: Circuitos do modelo sobrepostos à Figura 22 da patente, com o braço elevado (regime I, θ</w:t>
      </w:r>
      <w:r>
        <w:rPr>
          <w:b/>
          <w:vertAlign w:val="subscript"/>
          <w:lang w:val="pt-BR"/>
        </w:rPr>
        <w:t xml:space="preserve">el</w:t>
      </w:r>
      <w:r>
        <w:rPr>
          <w:b/>
          <w:lang w:val="pt-BR"/>
        </w:rPr>
        <w:t xml:space="preserve"> = 96,5°) e baixado (regime II, θ</w:t>
      </w:r>
      <w:r>
        <w:rPr>
          <w:b/>
          <w:vertAlign w:val="subscript"/>
          <w:lang w:val="pt-BR"/>
        </w:rPr>
        <w:t xml:space="preserve">el</w:t>
      </w:r>
      <w:r>
        <w:rPr>
          <w:b/>
          <w:lang w:val="pt-BR"/>
        </w:rPr>
        <w:t xml:space="preserve"> = −2,2°)</w:t>
      </w:r>
    </w:p>
    <w:p>
      <w:pPr>
        <w:keepNext/>
        <w:spacing w:after="60"/>
        <w:jc w:val="center"/>
        <w:rPr>
          <w:lang w:val="pt-BR"/>
        </w:rPr>
      </w:pPr>
      <w:r>
        <w:rPr>
          <w:noProof/>
          <w:lang w:val="pt-BR"/>
        </w:rPr>
        <w:drawing>
          <wp:inline distT="0" distB="0" distL="0" distR="0">
            <wp:extent cx="5943600" cy="6894576"/>
            <wp:effectExtent l="0" t="0" r="0" b="0"/>
            <wp:docPr id="1003" name="Imagem 1003" descr="Figura 22 da EP 3 504 033 B1 em cinza, com os vetores do modelo sobrepostos: acima, braço elevado; abaixo, braço baixado, com o elástico apoiado no elemento 78; à direita, ampliações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Figura 22 da EP 3 504 033 B1 em cinza, com os vetores do modelo sobrepostos: acima, braço elevado; abaixo, braço baixado, com o elástico apoiado no elemento 78; à direita, ampliações da região do pivô."/>
                    <pic:cNvPicPr/>
                  </pic:nvPicPr>
                  <pic:blipFill>
                    <a:blip r:embed="rIdExo2F3"/>
                    <a:stretch>
                      <a:fillRect/>
                    </a:stretch>
                  </pic:blipFill>
                  <pic:spPr>
                    <a:xfrm>
                      <a:off x="0" y="0"/>
                      <a:ext cx="5943600" cy="6894576"/>
                    </a:xfrm>
                    <a:prstGeom prst="rect">
                      <a:avLst/>
                    </a:prstGeom>
                  </pic:spPr>
                </pic:pic>
              </a:graphicData>
            </a:graphic>
          </wp:inline>
        </w:drawing>
      </w:r>
    </w:p>
    <w:p>
      <w:pPr>
        <w:spacing w:before="60" w:after="60"/>
        <w:rPr>
          <w:lang w:val="pt-BR"/>
        </w:rPr>
      </w:pPr>
      <w:r>
        <w:rPr>
          <w:sz w:val="20"/>
          <w:szCs w:val="20"/>
          <w:lang w:val="pt-BR"/>
        </w:rPr>
        <w:t xml:space="preserve">Fonte: adaptada de OTTOBOCK (2023), Figura 22, p. 37 do documento B1, com os circuitos do modelo sobrepostos pelo autor.</w:t>
      </w:r>
    </w:p>
    <w:p>
      <w:pPr>
        <w:rPr>
          <w:lang w:val="pt-BR"/>
        </w:rPr>
      </w:pPr>
      <w:r>
        <w:rPr>
          <w:sz w:val="20"/>
          <w:szCs w:val="20"/>
          <w:lang w:val="pt-BR"/>
        </w:rPr>
        <w:t xml:space="preserve">Nota: desenho da patente em cinza, girado para a orientação de leitura; vetores, pontos e linhas pontilhadas do modelo como na Figura 3. À direita, ampliação da região do pivô.</w:t>
      </w:r>
    </w:p>
    <w:p>
      <w:pPr>
        <w:pStyle w:val="Ttulo2"/>
        <w:rPr>
          <w:lang w:val="pt-BR"/>
        </w:rPr>
      </w:pPr>
      <w:r>
        <w:rPr>
          <w:lang w:val="pt-BR"/>
        </w:rPr>
        <w:t xml:space="preserve">3.2.6 Comprimento do elástico, lei da mola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t>s</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em que s</w:t>
      </w:r>
      <w:r>
        <w:rPr>
          <w:vertAlign w:val="subscript"/>
          <w:lang w:val="pt-BR"/>
        </w:rPr>
        <w:t xml:space="preserve">0</w:t>
      </w:r>
      <w:r>
        <w:rPr>
          <w:lang w:val="pt-BR"/>
        </w:rPr>
        <w:t xml:space="preserve"> é o valor de s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s</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s(θ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3.2.9).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u(ψ):</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ψ</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x liga dois pontos do mesmo corpo; as forças que exerce sobre P e sobre o elemento 78 são iguais, opostas e colineares e não contribuem para o torque, o que corresponde à descrição da patente.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q</m:t>
                        </m:r>
                        <m:r>
                          <m:rPr>
                            <m:sty m:val="p"/>
                          </m:rPr>
                          <m:t>−</m:t>
                        </m:r>
                        <m:r>
                          <m:t>ψ</m:t>
                        </m:r>
                      </m:e>
                    </m:d>
                  </m:e>
                </m:func>
                <m:r>
                  <m:rPr>
                    <m:sty m:val="p"/>
                  </m:rPr>
                  <m:t>,</m:t>
                </m:r>
                <m:r>
                  <m:t> </m:t>
                </m:r>
                <m:sSub>
                  <m:e>
                    <m:r>
                      <m:t>m</m:t>
                    </m:r>
                  </m:e>
                  <m:sub>
                    <m:r>
                      <m:rPr>
                        <m:sty m:val="p"/>
                      </m:rPr>
                      <m:t>I</m:t>
                    </m:r>
                    <m:r>
                      <m:rPr>
                        <m:sty m:val="p"/>
                      </m:rPr>
                      <m:t>I</m:t>
                    </m:r>
                  </m:sub>
                </m:sSub>
                <m:r>
                  <m:rPr>
                    <m:sty m:val="p"/>
                  </m:rPr>
                  <m:t>=</m:t>
                </m:r>
                <m:r>
                  <m:t>p</m:t>
                </m:r>
                <m:func>
                  <m:fName>
                    <m:r>
                      <m:rPr>
                        <m:sty m:val="p"/>
                      </m:rPr>
                      <m:t>sin</m:t>
                    </m:r>
                  </m:fName>
                  <m:e>
                    <m:d>
                      <m:dPr>
                        <m:begChr m:val="("/>
                        <m:sepChr m:val=""/>
                        <m:endChr m:val=")"/>
                        <m:grow/>
                      </m:dPr>
                      <m:e>
                        <m:r>
                          <m:t>q</m:t>
                        </m:r>
                        <m:r>
                          <m:rPr>
                            <m:sty m:val="p"/>
                          </m:rPr>
                          <m:t>+</m:t>
                        </m:r>
                        <m:r>
                          <m:t>φ</m:t>
                        </m:r>
                        <m:r>
                          <m:rPr>
                            <m:sty m:val="p"/>
                          </m:rPr>
                          <m:t>−</m:t>
                        </m:r>
                        <m:r>
                          <m:t>ψ</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3.1.6,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t>s</m:t>
                    </m:r>
                  </m:num>
                  <m:den>
                    <m:r>
                      <m:t>d</m:t>
                    </m:r>
                    <m:r>
                      <m:t>q</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q em radianos, relação análoga à Equação (17), verificada numericamente nos dois regimes (seção 4.2.3). O sinal negativo, oposto ao da Equação (17), vem de q crescer com a elevação do braço, ao passo que θ* decresce; nos dois mecanismos, m é positivo quando assiste a subida, e o elástico se encurta quando o braço sobe e devolve energia, como descreve a patente.</w:t>
      </w:r>
    </w:p>
    <w:p>
      <w:pPr>
        <w:pStyle w:val="Ttulo2"/>
        <w:rPr>
          <w:lang w:val="pt-BR"/>
        </w:rPr>
      </w:pPr>
      <w:r>
        <w:rPr>
          <w:lang w:val="pt-BR"/>
        </w:rPr>
        <w:t xml:space="preserve">3.2.7 Faixa sem torque com o braço baixado</w:t>
      </w:r>
    </w:p>
    <w:p>
      <w:pPr>
        <w:rPr>
          <w:lang w:val="pt-BR"/>
        </w:rPr>
      </w:pPr>
      <w:r>
        <w:rPr>
          <w:lang w:val="pt-BR"/>
        </w:rPr>
        <w:t xml:space="preserve">Esta seção faz o papel da seção 3.1.7: indica onde o modelo libera o braço. Pela Equação (43), m</w:t>
      </w:r>
      <w:r>
        <w:rPr>
          <w:vertAlign w:val="subscript"/>
          <w:lang w:val="pt-BR"/>
        </w:rPr>
        <w:t xml:space="preserve">II</w:t>
      </w:r>
      <w:r>
        <w:rPr>
          <w:lang w:val="pt-BR"/>
        </w:rPr>
        <w:t xml:space="preserve"> é proporcional a p, de modo que, abaixo do contato, o torque só se anula se o elemento 78 estiver sobre o eixo. Com o elemento 78 sobre o eixo (p = 0), configuração preferida pela patente, x = </w:t>
      </w:r>
      <w:r>
        <w:rPr>
          <w:i/>
          <w:lang w:val="pt-BR"/>
        </w:rPr>
        <w:t xml:space="preserve">e</w:t>
      </w:r>
      <w:r>
        <w:rPr>
          <w:lang w:val="pt-BR"/>
        </w:rPr>
        <w:t xml:space="preserve"> e o ângulo de contato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p>
                  <m:e>
                    <m:r>
                      <m:t>q</m:t>
                    </m:r>
                  </m:e>
                  <m:sup>
                    <m:r>
                      <m:rPr>
                        <m:sty m:val="p"/>
                      </m:rPr>
                      <m:t>*</m:t>
                    </m:r>
                  </m:sup>
                </m:sSup>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Nesse caso, a direção de OP no contato coincide com a de r</w:t>
      </w:r>
      <w:r>
        <w:rPr>
          <w:vertAlign w:val="subscript"/>
          <w:lang w:val="pt-BR"/>
        </w:rPr>
        <w:t xml:space="preserve">AO</w:t>
      </w:r>
      <w:r>
        <w:rPr>
          <w:lang w:val="pt-BR"/>
        </w:rPr>
        <w:t xml:space="preserve">, a reta do elástico passa pelo pivô e o torque no regime II é nulo. Com as demais grandezas do CAD, a Equação (45) dá θ</w:t>
      </w:r>
      <w:r>
        <w:rPr>
          <w:vertAlign w:val="subscript"/>
          <w:lang w:val="pt-BR"/>
        </w:rPr>
        <w:t xml:space="preserve">el</w:t>
      </w:r>
      <w:r>
        <w:rPr>
          <w:lang w:val="pt-BR"/>
        </w:rPr>
        <w:t xml:space="preserve"> = 11,765°. As curvas da Figura 16 da patente partem de razão nula entre 14,23° e 14,36° (seção 4.2.2), entre os dois valores do modelo; só no caso p = 0, porém, o modelo tem torque nulo antes do contato (seção 4.2.9).</w:t>
      </w:r>
    </w:p>
    <w:p>
      <w:pPr>
        <w:pStyle w:val="Ttulo2"/>
        <w:rPr>
          <w:lang w:val="pt-BR"/>
        </w:rPr>
      </w:pPr>
      <w:r>
        <w:rPr>
          <w:lang w:val="pt-BR"/>
        </w:rPr>
        <w:t xml:space="preserve">3.2.8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O conjunto reúne o membro humano e o braço do exoesqueleto (elemento 8), cujo centro de massa é referido ao eixo da articulação 20 pela posição desse eixo no modelo em CAD (seção 4.2.1). Com o membro humano, alinhado ao eixo do braço, a</w:t>
      </w:r>
      <w:r>
        <w:rPr>
          <w:vertAlign w:val="subscript"/>
          <w:lang w:val="pt-BR"/>
        </w:rPr>
        <w:t xml:space="preserve">CG</w:t>
      </w:r>
      <w:r>
        <w:rPr>
          <w:lang w:val="pt-BR"/>
        </w:rPr>
        <w:t xml:space="preserve"> seria nulo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o braço do exoesqueleto desloca o centro de massa do conjunto em a</w:t>
      </w:r>
      <w:r>
        <w:rPr>
          <w:vertAlign w:val="subscript"/>
          <w:lang w:val="pt-BR"/>
        </w:rPr>
        <w:t xml:space="preserve">CG</w:t>
      </w:r>
      <w:r>
        <w:rPr>
          <w:lang w:val="pt-BR"/>
        </w:rPr>
        <w:t xml:space="preserve"> = 0,287°, e o máximo de τ</w:t>
      </w:r>
      <w:r>
        <w:rPr>
          <w:vertAlign w:val="subscript"/>
          <w:lang w:val="pt-BR"/>
        </w:rPr>
        <w:t xml:space="preserve">g</w:t>
      </w:r>
      <w:r>
        <w:rPr>
          <w:lang w:val="pt-BR"/>
        </w:rPr>
        <w:t xml:space="preserve">, 10,604 N·m, ocorre em θ</w:t>
      </w:r>
      <w:r>
        <w:rPr>
          <w:vertAlign w:val="subscript"/>
          <w:lang w:val="pt-BR"/>
        </w:rPr>
        <w:t xml:space="preserve">el</w:t>
      </w:r>
      <w:r>
        <w:rPr>
          <w:lang w:val="pt-BR"/>
        </w:rPr>
        <w:t xml:space="preserve"> = 89,7°.</w:t>
      </w:r>
    </w:p>
    <w:p>
      <w:pPr>
        <w:pStyle w:val="Ttulo2"/>
        <w:rPr>
          <w:lang w:val="pt-BR"/>
        </w:rPr>
      </w:pPr>
      <w:r>
        <w:rPr>
          <w:lang w:val="pt-BR"/>
        </w:rPr>
        <w:t xml:space="preserve">3.2.9 Dados da patente e identificação dos parâmetros</w:t>
      </w:r>
    </w:p>
    <w:p>
      <w:pPr>
        <w:rPr>
          <w:lang w:val="pt-BR"/>
        </w:rPr>
      </w:pPr>
      <w:r>
        <w:rPr>
          <w:lang w:val="pt-BR"/>
        </w:rP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5).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keepNext/>
        <w:spacing w:before="120" w:after="60"/>
        <w:rPr>
          <w:lang w:val="pt-BR"/>
        </w:rPr>
      </w:pPr>
      <w:r>
        <w:rPr>
          <w:b/>
          <w:lang w:val="pt-BR"/>
        </w:rPr>
        <w:t xml:space="preserve">Figura 5: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4" name="Imagem 1004"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eprodução da Figura 16 da EP 3 504 033 B1: três curvas, pontilhada, tracejada e contínua, em função da anteversão de 0 a 180 graus; ordenada sem escala."/>
                    <pic:cNvPicPr/>
                  </pic:nvPicPr>
                  <pic:blipFill>
                    <a:blip r:embed="rIdExo2F4"/>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pPr>
        <w:rPr>
          <w:lang w:val="pt-BR"/>
        </w:rPr>
      </w:pPr>
      <w:r>
        <w:rPr>
          <w:lang w:val="pt-BR"/>
        </w:rPr>
        <w:t xml:space="preserve">A Figura 17 da patente não foi digitalizada. A seção 4.2.8 faz apenas uma comparação visual com ela.</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4.2.5.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4.1.6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admite-se que a geometria e a rigidez sejam as mesmas nas três, hipótese testada pela coincidência dos fatores G</w:t>
      </w:r>
      <w:r>
        <w:rPr>
          <w:vertAlign w:val="subscript"/>
          <w:lang w:val="pt-BR"/>
        </w:rPr>
        <w:t xml:space="preserve">i</w:t>
      </w:r>
      <w:r>
        <w:rPr>
          <w:lang w:val="pt-BR"/>
        </w:rPr>
        <w:t xml:space="preserve"> (seção 4.2.4).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t>s</m:t>
                </m:r>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A Equação (49)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s(θ</w:t>
      </w:r>
      <w:r>
        <w:rPr>
          <w:vertAlign w:val="subscript"/>
          <w:lang w:val="pt-BR"/>
        </w:rPr>
        <w:t xml:space="preserve">el</w:t>
      </w:r>
      <w:r>
        <w:rPr>
          <w:lang w:val="pt-BR"/>
        </w:rPr>
        <w:t xml:space="preserve">) do circuito da seção 3.2.4: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o contato calculado com p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Como s decresce com θ</w:t>
      </w:r>
      <w:r>
        <w:rPr>
          <w:vertAlign w:val="subscript"/>
          <w:lang w:val="pt-BR"/>
        </w:rPr>
        <w:t xml:space="preserve">el</w:t>
      </w:r>
      <w:r>
        <w:rPr>
          <w:lang w:val="pt-BR"/>
        </w:rPr>
        <w:t xml:space="preserve">, Equação (44), o elástico afrouxa primeiro com o braço elevado, e a razão da curva menos tensionada deve chegar a zero onde s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11(a) sobrepõe as curvas ajustadas aos pontos extraídos.</w:t>
      </w:r>
    </w:p>
    <w:p>
      <w:pPr>
        <w:rPr>
          <w:lang w:val="pt-BR"/>
        </w:rPr>
      </w:pPr>
      <w:r>
        <w:rPr>
          <w:lang w:val="pt-BR"/>
        </w:rP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11(b)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(53)</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3.2.10 Varredura paramétrica do trecho e</w:t>
      </w:r>
      <w:r>
        <w:rPr>
          <w:vertAlign w:val="subscript"/>
          <w:lang w:val="pt-BR"/>
        </w:rPr>
        <w:t xml:space="preserve">c</w:t>
      </w:r>
      <w:r>
        <w:rPr>
          <w:lang w:val="pt-BR"/>
        </w:rPr>
        <w:t xml:space="preserve"> da alavanca</w:t>
      </w:r>
    </w:p>
    <w:p>
      <w:pPr>
        <w:rPr>
          <w:lang w:val="pt-BR"/>
        </w:rPr>
      </w:pPr>
      <w:r>
        <w:rPr>
          <w:lang w:val="pt-BR"/>
        </w:rPr>
        <w:t xml:space="preserve">O comprimento e</w:t>
      </w:r>
      <w:r>
        <w:rPr>
          <w:vertAlign w:val="subscript"/>
          <w:lang w:val="pt-BR"/>
        </w:rPr>
        <w:t xml:space="preserve">c</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o comprimento </w:t>
      </w:r>
      <w:r>
        <w:rPr>
          <w:i/>
          <w:lang w:val="pt-BR"/>
        </w:rPr>
        <w:t xml:space="preserve">e</w:t>
      </w:r>
      <w:r>
        <w:rPr>
          <w:lang w:val="pt-BR"/>
        </w:rPr>
        <w:t xml:space="preserve"> e a direção do segmento OP, isto é, a excentricidade do ponto de aplicação, um dos parâmetros de ajuste previstos na patente e objeto da Figura 17 da patente. Por isso, o papel de h na seção 4.1 é desempenhado aqui por e</w:t>
      </w:r>
      <w:r>
        <w:rPr>
          <w:vertAlign w:val="subscript"/>
          <w:lang w:val="pt-BR"/>
        </w:rPr>
        <w:t xml:space="preserve">c</w:t>
      </w:r>
      <w:r>
        <w:rPr>
          <w:lang w:val="pt-BR"/>
        </w:rPr>
        <w:t xml:space="preserve">. A varredura manteve s</w:t>
      </w:r>
      <w:r>
        <w:rPr>
          <w:vertAlign w:val="subscript"/>
          <w:lang w:val="pt-BR"/>
        </w:rPr>
        <w:t xml:space="preserve">0</w:t>
      </w:r>
      <w:r>
        <w:rPr>
          <w:lang w:val="pt-BR"/>
        </w:rPr>
        <w:t xml:space="preserve"> = 287,190 mm e K = 1,46670 N/mm, isto é, o mesmo elástico, e variou apenas e</w:t>
      </w:r>
      <w:r>
        <w:rPr>
          <w:vertAlign w:val="subscript"/>
          <w:lang w:val="pt-BR"/>
        </w:rPr>
        <w:t xml:space="preserve">c</w:t>
      </w:r>
      <w:r>
        <w:rPr>
          <w:lang w:val="pt-BR"/>
        </w:rPr>
        <w:t xml:space="preserve">, de 20 a 50 mm em passo de 0,05 mm, com o acréscimo do valor do CAD, num total de 602 valores. As demais grandezas ficaram congeladas nos valores da Tabela 14. Como na seção 3.1.10, trata-se de diagnóstico, e nenhum parâmetro é substituído pelo resultado.</w:t>
      </w:r>
    </w:p>
    <w:p>
      <w:pPr>
        <w:pStyle w:val="Ttulo2"/>
        <w:rPr>
          <w:lang w:val="pt-BR"/>
        </w:rPr>
      </w:pPr>
      <w:r>
        <w:rPr>
          <w:lang w:val="pt-BR"/>
        </w:rPr>
        <w:t xml:space="preserve">3.2.11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3.1.11,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 = 0. Os valores são de e</w:t>
      </w:r>
      <w:r>
        <w:rPr>
          <w:vertAlign w:val="subscript"/>
          <w:lang w:val="pt-BR"/>
        </w:rPr>
        <w:t xml:space="preserve">c</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q ≤ q* na malha, que o elemento 78 fica entre A e P na transição, que e</w:t>
      </w:r>
      <w:r>
        <w:rPr>
          <w:vertAlign w:val="subscript"/>
          <w:lang w:val="pt-BR"/>
        </w:rPr>
        <w:t xml:space="preserve">c</w:t>
      </w:r>
      <w:r>
        <w:rPr>
          <w:lang w:val="pt-BR"/>
        </w:rPr>
        <w:t xml:space="preserve"> é argumento obrigatório de toda a cadeia e que dois valores diferentes de e</w:t>
      </w:r>
      <w:r>
        <w:rPr>
          <w:vertAlign w:val="subscript"/>
          <w:lang w:val="pt-BR"/>
        </w:rPr>
        <w:t xml:space="preserve">c</w:t>
      </w:r>
      <w:r>
        <w:rPr>
          <w:lang w:val="pt-BR"/>
        </w:rPr>
        <w:t xml:space="preserve"> produzem curvas diferentes. Não há, para este modelo, um conjunto de testes automatizados executado com o pytest como o da seção 3.1.11; as verificações são asserções executadas a cada cálculo, e a identificação pelo espaçamento entre as curvas é conferida pelo teste sintético da seção 3.2.9.</w:t>
      </w:r>
    </w:p>
    <w:p>
      <w:pPr>
        <w:pStyle w:val="Ttulo2"/>
        <w:rPr>
          <w:lang w:val="pt-BR"/>
        </w:rPr>
      </w:pPr>
      <w:r>
        <w:rPr>
          <w:lang w:val="pt-BR"/>
        </w:rPr>
        <w:t xml:space="preserve">3.2.12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(54)</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(44),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/dq = −K δ m, de modo que a força generalizada elástica coincide, a menos do fator 1/1000, com o torque da Equação (43);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3.1.12, mas a escala resulta de uma hipótese de projeto, e não de dado do dispositivo. O momento de inércia disponível, I</w:t>
      </w:r>
      <w:r>
        <w:rPr>
          <w:vertAlign w:val="subscript"/>
          <w:lang w:val="pt-BR"/>
        </w:rPr>
        <w:t xml:space="preserve">O</w:t>
      </w:r>
      <w:r>
        <w:rPr>
          <w:lang w:val="pt-BR"/>
        </w:rPr>
        <w:t xml:space="preserve"> = 0,436010 kg·m</w:t>
      </w:r>
      <w:r>
        <w:rPr>
          <w:vertAlign w:val="superscript"/>
          <w:lang w:val="pt-BR"/>
        </w:rPr>
        <w:t xml:space="preserve">2</w:t>
      </w:r>
      <w:r>
        <w:rPr>
          <w:lang w:val="pt-BR"/>
        </w:rP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4.2.10.</w:t>
      </w:r>
    </w:p>
    <w:p>
      <w:pPr>
        <w:pStyle w:val="Ttulo2"/>
        <w:rPr>
          <w:lang w:val="pt-BR"/>
        </w:rPr>
      </w:pPr>
      <w:r>
        <w:rPr>
          <w:lang w:val="pt-BR"/>
        </w:rPr>
        <w:t xml:space="preserve">3.2.13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3.1.13. O modelo é plano, restrito ao plano sagital, e admite elástico linear e sem massa, F = K δ, elemento 78 pontual e sem atrito e eixo da articulação 20 no centro do ombro, com a barra 18 fixa em relação ao tronco, hipótese discutida na seção 3.2.3. O torque gravitacional considera o membro humano estendido, sem ferramenta na mão, e o braço do exoesqueleto; a alavanca, o elemento 78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4.1 apresenta os do gerador de torque da US 9.889.554 B2, e a seção 4.2, os do dispositivo da EP 3 504 033 B1, encerrada por uma comparação entre os dois. O terceiro dispositivo previsto, a US 9.737.374 B2, não foi analisado nesta etapa.</w:t>
      </w:r>
    </w:p>
    <w:p>
      <w:pPr>
        <w:pStyle w:val="Ttulo2"/>
        <w:rPr>
          <w:lang w:val="pt-BR"/>
        </w:rPr>
      </w:pPr>
      <w:r>
        <w:rPr>
          <w:lang w:val="pt-BR"/>
        </w:rPr>
        <w:t xml:space="preserve">4.1 Exoesqueleto 1</w:t>
      </w:r>
    </w:p>
    <w:p w14:paraId="69E970E9" w14:textId="77777777" w:rsidR="009C1161" w:rsidRDefault="003B1183">
      <w:pPr>
        <w:rPr>
          <w:lang w:val="pt-BR"/>
        </w:rPr>
      </w:pPr>
      <w:r>
        <w:rPr>
          <w:lang w:val="pt-BR"/>
        </w:rPr>
        <w:t>Esta seção apresenta os resultados das etapas descritas nas seções 3.1.1 a 3.1.11,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3.1.12 e a aplicação do procedimento à US 9.737.374 B2 não foram executadas.</w:t>
      </w:r>
    </w:p>
    <w:p w14:paraId="3B9D99E0" w14:textId="77777777" w:rsidR="009C1161" w:rsidRDefault="003B1183">
      <w:pPr>
        <w:pStyle w:val="Ttulo2"/>
        <w:rPr>
          <w:lang w:val="pt-BR"/>
        </w:rPr>
      </w:pPr>
      <w:r>
        <w:rPr>
          <w:lang w:val="pt-BR"/>
        </w:rPr>
        <w:t>4.1.1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4.1.8).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4.1.2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3.1.3,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4.1.3 Verificação da cadeia de cálculo</w:t>
      </w:r>
    </w:p>
    <w:p w14:paraId="19FD541C" w14:textId="77777777" w:rsidR="009C1161" w:rsidRDefault="003B1183">
      <w:pPr>
        <w:rPr>
          <w:lang w:val="pt-BR"/>
        </w:rPr>
      </w:pPr>
      <w:r>
        <w:rPr>
          <w:lang w:val="pt-BR"/>
        </w:rPr>
        <w:t>As verificações automáticas da seção 3.1.11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4.1.4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3.1.6).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3.1.10),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4.1.7.</w:t>
      </w:r>
    </w:p>
    <w:p w14:paraId="782D974B" w14:textId="77777777" w:rsidR="009C1161" w:rsidRDefault="003B1183">
      <w:pPr>
        <w:rPr>
          <w:lang w:val="pt-BR"/>
        </w:rPr>
      </w:pPr>
      <w:r>
        <w:rPr>
          <w:lang w:val="pt-BR"/>
        </w:rPr>
        <w:t xml:space="preserve">A comparação entre formulações obedece à regra da seção 3.1.9.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4.1.3) e, por isso, foi abandonada: o menor RMSE não é critério de validade física.</w:t>
      </w:r>
    </w:p>
    <w:p w14:paraId="0812233E" w14:textId="77777777" w:rsidR="009C1161" w:rsidRDefault="003B1183">
      <w:pPr>
        <w:pStyle w:val="Ttulo2"/>
        <w:rPr>
          <w:lang w:val="pt-BR"/>
        </w:rPr>
      </w:pPr>
      <w:r>
        <w:rPr>
          <w:lang w:val="pt-BR"/>
        </w:rPr>
        <w:t>4.1.5 Qualidade do ajuste à curva da patente</w:t>
      </w:r>
    </w:p>
    <w:p w14:paraId="57A8ACB1" w14:textId="77777777" w:rsidR="00244E34" w:rsidRDefault="003B1183" w:rsidP="00E2321D">
      <w:pPr>
        <w:jc w:val="center"/>
        <w:rPr>
          <w:noProof/>
          <w:lang w:val="pt-BR"/>
        </w:rPr>
      </w:pPr>
      <w:r>
        <w:rPr>
          <w:lang w:val="pt-BR"/>
        </w:rPr>
        <w:t>A Figura 6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6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4.1.9).</w:t>
      </w:r>
    </w:p>
    <w:p w14:paraId="276675D0" w14:textId="77777777" w:rsidR="009C1161" w:rsidRDefault="003B1183">
      <w:pPr>
        <w:pStyle w:val="Ttulo2"/>
        <w:rPr>
          <w:lang w:val="pt-BR"/>
        </w:rPr>
      </w:pPr>
      <w:r>
        <w:rPr>
          <w:lang w:val="pt-BR"/>
        </w:rPr>
        <w:t>4.1.6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3.1.5.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4.1.8).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4.1.7 Varredura paramétrica de h com K congelado</w:t>
      </w:r>
    </w:p>
    <w:p w14:paraId="7DA42DE0" w14:textId="77777777" w:rsidR="009C1161" w:rsidRDefault="003B1183">
      <w:pPr>
        <w:rPr>
          <w:lang w:val="pt-BR"/>
        </w:rPr>
      </w:pPr>
      <w:r>
        <w:rPr>
          <w:lang w:val="pt-BR"/>
        </w:rPr>
        <w:t xml:space="preserve">A Figura 7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7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8 apresenta o RMSE em função de h.</w:t>
      </w:r>
    </w:p>
    <w:p w14:paraId="7976DECD" w14:textId="77777777" w:rsidR="009C1161" w:rsidRDefault="003B1183">
      <w:pPr>
        <w:keepNext/>
        <w:spacing w:before="120" w:after="60"/>
        <w:rPr>
          <w:lang w:val="pt-BR"/>
        </w:rPr>
      </w:pPr>
      <w:r>
        <w:rPr>
          <w:b/>
          <w:lang w:val="pt-BR"/>
        </w:rPr>
        <w:lastRenderedPageBreak/>
        <w:t>Figura 8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4.1.8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4.1.6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9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9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4.1.9 Limitações dos resultados</w:t>
      </w:r>
    </w:p>
    <w:p w14:paraId="3E503245" w14:textId="77777777" w:rsidR="009C1161" w:rsidRDefault="003B1183">
      <w:pPr>
        <w:rPr>
          <w:lang w:val="pt-BR"/>
        </w:rPr>
      </w:pPr>
      <w:r>
        <w:rPr>
          <w:lang w:val="pt-BR"/>
        </w:rPr>
        <w:t>Além das limitações de escopo da seção 3.1.13,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4.2 Exoesqueleto 2</w:t>
      </w:r>
    </w:p>
    <w:p>
      <w:pPr>
        <w:rPr>
          <w:lang w:val="pt-BR"/>
        </w:rPr>
      </w:pPr>
      <w:r>
        <w:rPr>
          <w:lang w:val="pt-BR"/>
        </w:rPr>
        <w:t xml:space="preserve">Esta seção apresenta os resultados das etapas das seções 3.2.1 a 3.2.11, aplicadas ao dispositivo da EP 3 504 033 B1. Salvo indicação em contrário, os números foram obtidos com a geometria do CAD, e</w:t>
      </w:r>
      <w:r>
        <w:rPr>
          <w:vertAlign w:val="subscript"/>
          <w:lang w:val="pt-BR"/>
        </w:rPr>
        <w:t xml:space="preserve">c</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1,46670 N/mm, hipótese de projeto. As etapas dinâmicas da seção 3.2.12 não foram executadas.</w:t>
      </w:r>
    </w:p>
    <w:p>
      <w:pPr>
        <w:pStyle w:val="Ttulo2"/>
        <w:rPr>
          <w:lang w:val="pt-BR"/>
        </w:rPr>
      </w:pPr>
      <w:r>
        <w:rPr>
          <w:lang w:val="pt-BR"/>
        </w:rPr>
        <w:t xml:space="preserve">4.2.1 Geometria reconstruída e propriedades de massa</w:t>
      </w:r>
    </w:p>
    <w:p>
      <w:pPr>
        <w:rPr>
          <w:lang w:val="pt-BR"/>
        </w:rPr>
      </w:pPr>
      <w:r>
        <w:rPr>
          <w:lang w:val="pt-BR"/>
        </w:rPr>
        <w:t xml:space="preserve">A Tabela 14 reúne as grandezas medidas no modelo em CAD e as que delas derivam, com a origem de cada uma (seção 3.2.1).</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 = 90° − γ</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lang w:val="pt-BR"/>
              </w:rPr>
              <w:t xml:space="preserve">e</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4.2.8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e</w:t>
            </w:r>
            <w:r>
              <w:rPr>
                <w:vertAlign w:val="subscript"/>
                <w:lang w:val="pt-BR"/>
              </w:rPr>
              <w:t xml:space="preserve">c</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e</w:t>
            </w:r>
            <w:r>
              <w:rPr>
                <w:vertAlign w:val="subscript"/>
                <w:lang w:val="pt-BR"/>
              </w:rPr>
              <w:t xml:space="preserve">c</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c,pose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s</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Comprimento do segmento OP</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e</w:t>
            </w:r>
            <w:r>
              <w:rPr>
                <w:vertAlign w:val="subscript"/>
                <w:lang w:val="pt-BR"/>
              </w:rPr>
              <w:t xml:space="preserve">c</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Direção de OP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146,147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q</w:t>
            </w:r>
            <w:r>
              <w:rPr>
                <w:vertAlign w:val="subscript"/>
                <w:lang w:val="pt-BR"/>
              </w:rPr>
              <w:t xml:space="preserve">c,pose</w:t>
            </w:r>
            <w:r>
              <w:rPr>
                <w:lang w:val="pt-BR"/>
              </w:rPr>
              <w:t xml:space="preserve"> + ε</w:t>
            </w:r>
          </w:p>
        </w:tc>
      </w:tr>
      <w:tr>
        <w:trPr>
          <w:cantSplit/>
          <w:jc w:val="center"/>
        </w:trPr>
        <w:tc>
          <w:tcPr>
            <w:tcW w:w="3560" w:type="dxa"/>
            <w:vAlign w:val="center"/>
          </w:tcPr>
          <w:p>
            <w:pPr>
              <w:keepNext/>
              <w:spacing w:before="20" w:after="20" w:line="240" w:lineRule="auto"/>
              <w:rPr>
                <w:lang w:val="pt-BR"/>
              </w:rPr>
            </w:pPr>
            <w:r>
              <w:rPr>
                <w:lang w:val="pt-BR"/>
              </w:rPr>
              <w:t xml:space="preserve">Defasagem entre a direção de p e q</w:t>
            </w:r>
          </w:p>
        </w:tc>
        <w:tc>
          <w:tcPr>
            <w:tcW w:w="1200" w:type="dxa"/>
            <w:vAlign w:val="center"/>
          </w:tcPr>
          <w:p>
            <w:pPr>
              <w:keepNext/>
              <w:spacing w:before="20" w:after="20" w:line="240" w:lineRule="auto"/>
              <w:jc w:val="center"/>
              <w:rPr>
                <w:lang w:val="pt-BR"/>
              </w:rPr>
            </w:pPr>
            <w:r>
              <w:rPr>
                <w:lang w:val="pt-BR"/>
              </w:rPr>
              <w:t xml:space="preserve">φ</w:t>
            </w:r>
          </w:p>
        </w:tc>
        <w:tc>
          <w:tcPr>
            <w:tcW w:w="1000" w:type="dxa"/>
            <w:vAlign w:val="center"/>
          </w:tcPr>
          <w:p>
            <w:pPr>
              <w:keepNext/>
              <w:spacing w:before="20" w:after="20" w:line="240" w:lineRule="auto"/>
              <w:jc w:val="center"/>
              <w:rPr>
                <w:lang w:val="pt-BR"/>
              </w:rPr>
            </w:pPr>
            <w:r>
              <w:rPr>
                <w:lang w:val="pt-BR"/>
              </w:rPr>
              <w:t xml:space="preserve">131,790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(33)</w:t>
            </w:r>
          </w:p>
        </w:tc>
      </w:tr>
      <w:tr>
        <w:trPr>
          <w:cantSplit/>
          <w:jc w:val="center"/>
        </w:trPr>
        <w:tc>
          <w:tcPr>
            <w:tcW w:w="3560" w:type="dxa"/>
            <w:vAlign w:val="center"/>
          </w:tcPr>
          <w:p>
            <w:pPr>
              <w:keepNext/>
              <w:spacing w:before="20" w:after="20" w:line="240" w:lineRule="auto"/>
              <w:rPr>
                <w:lang w:val="pt-BR"/>
              </w:rPr>
            </w:pPr>
            <w:r>
              <w:rPr>
                <w:lang w:val="pt-BR"/>
              </w:rPr>
              <w:t xml:space="preserve">Defasagem entre q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−25,891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(31)</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x</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(37)</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3.2.3). O valor de e</w:t>
      </w:r>
      <w:r>
        <w:rPr>
          <w:sz w:val="20"/>
          <w:szCs w:val="20"/>
          <w:vertAlign w:val="subscript"/>
          <w:lang w:val="pt-BR"/>
        </w:rPr>
        <w:t xml:space="preserve">c</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3.1.4); a coincidência deve ser conferida no modelo em CAD.</w:t>
      </w:r>
    </w:p>
    <w:p>
      <w:pPr>
        <w:rPr>
          <w:lang w:val="pt-BR"/>
        </w:rPr>
      </w:pPr>
      <w:r>
        <w:rPr>
          <w:lang w:val="pt-BR"/>
        </w:rPr>
        <w:t xml:space="preserve">Na pose do CAD, o modelo situa P em (−38,090; 25,551) mm e o centro do elemento 78 em (1,071; −7,680) mm, e calcula s = 359,7679 mm, que difere do comprimento medido s</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 = 7,754 mm do eixo da articulação, enquanto a patente prefere esse elemento sobre o eixo; as consequências dessa diferença são tratadas nas seções 3.2.7 e 4.2.9.</w:t>
      </w:r>
    </w:p>
    <w:p>
      <w:pPr>
        <w:keepNext/>
        <w:spacing w:before="120" w:after="60"/>
        <w:rPr>
          <w:lang w:val="pt-BR"/>
        </w:rPr>
      </w:pPr>
      <w:r>
        <w:rPr>
          <w:b/>
          <w:lang w:val="pt-BR"/>
        </w:rPr>
        <w:t xml:space="preserve">Tabela 15: Propriedades de massa do conjunto que gira com o braço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r>
        <w:trPr>
          <w:cantSplit/>
          <w:jc w:val="center"/>
        </w:trPr>
        <w:tc>
          <w:tcPr>
            <w:tcW w:w="1660" w:type="dxa"/>
            <w:vAlign w:val="center"/>
          </w:tcPr>
          <w:p>
            <w:pPr>
              <w:keepNext/>
              <w:spacing w:before="20" w:after="20" w:line="240" w:lineRule="auto"/>
              <w:rPr>
                <w:lang w:val="pt-BR"/>
              </w:rPr>
            </w:pPr>
            <w:r>
              <w:rPr>
                <w:lang w:val="pt-BR"/>
              </w:rPr>
              <w:t xml:space="preserve">Braço do exoesqueleto (elemento 8)</w:t>
            </w:r>
          </w:p>
        </w:tc>
        <w:tc>
          <w:tcPr>
            <w:tcW w:w="1300" w:type="dxa"/>
            <w:vAlign w:val="center"/>
          </w:tcPr>
          <w:p>
            <w:pPr>
              <w:keepNext/>
              <w:spacing w:before="20" w:after="20" w:line="240" w:lineRule="auto"/>
              <w:jc w:val="center"/>
              <w:rPr>
                <w:lang w:val="pt-BR"/>
              </w:rPr>
            </w:pPr>
            <w:r>
              <w:rPr>
                <w:lang w:val="pt-BR"/>
              </w:rPr>
              <w:t xml:space="preserve">0,1640</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47,362</w:t>
            </w:r>
          </w:p>
        </w:tc>
        <w:tc>
          <w:tcPr>
            <w:tcW w:w="1600" w:type="dxa"/>
            <w:vAlign w:val="center"/>
          </w:tcPr>
          <w:p>
            <w:pPr>
              <w:keepNext/>
              <w:spacing w:before="20" w:after="20" w:line="240" w:lineRule="auto"/>
              <w:jc w:val="center"/>
              <w:rPr>
                <w:lang w:val="pt-BR"/>
              </w:rPr>
            </w:pPr>
            <w:r>
              <w:rPr>
                <w:lang w:val="pt-BR"/>
              </w:rPr>
              <w:t xml:space="preserve">0,000966</w:t>
            </w:r>
          </w:p>
        </w:tc>
        <w:tc>
          <w:tcPr>
            <w:tcW w:w="1600" w:type="dxa"/>
            <w:vAlign w:val="center"/>
          </w:tcPr>
          <w:p>
            <w:pPr>
              <w:keepNext/>
              <w:spacing w:before="20" w:after="20" w:line="240" w:lineRule="auto"/>
              <w:jc w:val="center"/>
              <w:rPr>
                <w:lang w:val="pt-BR"/>
              </w:rPr>
            </w:pPr>
            <w:r>
              <w:rPr>
                <w:lang w:val="pt-BR"/>
              </w:rPr>
              <w:t xml:space="preserve">0,001334</w:t>
            </w:r>
          </w:p>
        </w:tc>
      </w:tr>
      <w:tr>
        <w:trPr>
          <w:cantSplit/>
          <w:jc w:val="center"/>
        </w:trPr>
        <w:tc>
          <w:tcPr>
            <w:tcW w:w="1660" w:type="dxa"/>
            <w:vAlign w:val="center"/>
          </w:tcPr>
          <w:p>
            <w:pPr>
              <w:keepNext/>
              <w:spacing w:before="20" w:after="20" w:line="240" w:lineRule="auto"/>
              <w:rPr>
                <w:lang w:val="pt-BR"/>
              </w:rPr>
            </w:pPr>
            <w:r>
              <w:rPr>
                <w:lang w:val="pt-BR"/>
              </w:rPr>
              <w:t xml:space="preserve">Conjunto</w:t>
            </w:r>
          </w:p>
        </w:tc>
        <w:tc>
          <w:tcPr>
            <w:tcW w:w="1300" w:type="dxa"/>
            <w:vAlign w:val="center"/>
          </w:tcPr>
          <w:p>
            <w:pPr>
              <w:keepNext/>
              <w:spacing w:before="20" w:after="20" w:line="240" w:lineRule="auto"/>
              <w:jc w:val="center"/>
              <w:rPr>
                <w:lang w:val="pt-BR"/>
              </w:rPr>
            </w:pPr>
            <w:r>
              <w:rPr>
                <w:lang w:val="pt-BR"/>
              </w:rPr>
              <w:t xml:space="preserve">3,7702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286,819</w:t>
            </w:r>
          </w:p>
        </w:tc>
        <w:tc>
          <w:tcPr>
            <w:tcW w:w="1600" w:type="dxa"/>
            <w:vAlign w:val="center"/>
          </w:tcPr>
          <w:p>
            <w:pPr>
              <w:keepNext/>
              <w:spacing w:before="20" w:after="20" w:line="240" w:lineRule="auto"/>
              <w:jc w:val="center"/>
              <w:rPr>
                <w:lang w:val="pt-BR"/>
              </w:rPr>
            </w:pPr>
            <w:r>
              <w:rPr>
                <w:lang w:val="pt-BR"/>
              </w:rPr>
              <w:t xml:space="preserve">0,125859</w:t>
            </w:r>
          </w:p>
        </w:tc>
        <w:tc>
          <w:tcPr>
            <w:tcW w:w="1600" w:type="dxa"/>
            <w:vAlign w:val="center"/>
          </w:tcPr>
          <w:p>
            <w:pPr>
              <w:keepNext/>
              <w:spacing w:before="20" w:after="20" w:line="240" w:lineRule="auto"/>
              <w:jc w:val="center"/>
              <w:rPr>
                <w:lang w:val="pt-BR"/>
              </w:rPr>
            </w:pPr>
            <w:r>
              <w:rPr>
                <w:lang w:val="pt-BR"/>
              </w:rPr>
              <w:t xml:space="preserve">0,436010</w:t>
            </w:r>
          </w:p>
        </w:tc>
      </w:tr>
    </w:tbl>
    <w:p>
      <w:pPr>
        <w:spacing w:before="60" w:after="60"/>
        <w:rPr>
          <w:lang w:val="pt-BR"/>
        </w:rPr>
      </w:pPr>
      <w:r>
        <w:rPr>
          <w:sz w:val="20"/>
          <w:szCs w:val="20"/>
          <w:lang w:val="pt-BR"/>
        </w:rPr>
        <w:t xml:space="preserve">Fonte: elaborada pelo autor, com dados de de Leva (1996) e do modelo em CAD.</w:t>
      </w:r>
    </w:p>
    <w:p>
      <w:pPr>
        <w:rPr>
          <w:lang w:val="pt-BR"/>
        </w:rPr>
      </w:pPr>
      <w:r>
        <w:rPr>
          <w:lang w:val="pt-BR"/>
        </w:rPr>
        <w:t xml:space="preserve">A consistência foi conferida pela Equação (1): para o membro humano,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e, para o conjunto, 0,125859 + 0,310151 = 0,436010 kg·m</w:t>
      </w:r>
      <w:r>
        <w:rPr>
          <w:vertAlign w:val="superscript"/>
          <w:lang w:val="pt-BR"/>
        </w:rPr>
        <w:t xml:space="preserve">2</w:t>
      </w:r>
      <w:r>
        <w:rPr>
          <w:lang w:val="pt-BR"/>
        </w:rPr>
        <w:t xml:space="preserve">. A amplitude do momento gravitacional é M g d = 10,550 N·m para o membro e 10,604 N·m para o conjunto.</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3.2.3),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4.1.1 tem o mesmo membro humano e soma a ele as peças do outro exoesqueleto.</w:t>
      </w:r>
    </w:p>
    <w:p>
      <w:pPr>
        <w:pStyle w:val="Ttulo2"/>
        <w:rPr>
          <w:lang w:val="pt-BR"/>
        </w:rPr>
      </w:pPr>
      <w:r>
        <w:rPr>
          <w:lang w:val="pt-BR"/>
        </w:rPr>
        <w:t xml:space="preserve">4.2.2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3.2.9).</w:t>
      </w:r>
    </w:p>
    <w:p>
      <w:pPr>
        <w:pStyle w:val="Ttulo2"/>
        <w:rPr>
          <w:lang w:val="pt-BR"/>
        </w:rPr>
      </w:pPr>
      <w:r>
        <w:rPr>
          <w:lang w:val="pt-BR"/>
        </w:rPr>
        <w:t xml:space="preserve">4.2.3 Verificação da cadeia de cálculo</w:t>
      </w:r>
    </w:p>
    <w:p>
      <w:pPr>
        <w:rPr>
          <w:lang w:val="pt-BR"/>
        </w:rPr>
      </w:pPr>
      <w:r>
        <w:rPr>
          <w:lang w:val="pt-BR"/>
        </w:rPr>
        <w:t xml:space="preserve">As verificações automáticas da seção 3.2.11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0,063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(35)</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x constante em q, Equação (37)</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(44)</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(44)</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s no contato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 = 0: q* numérico contra a Equação (45)</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 = 0: s = |r</w:t>
            </w:r>
            <w:r>
              <w:rPr>
                <w:vertAlign w:val="subscript"/>
                <w:lang w:val="pt-BR"/>
              </w:rPr>
              <w:t xml:space="preserve">AO</w:t>
            </w:r>
            <w:r>
              <w:rPr>
                <w:lang w:val="pt-BR"/>
              </w:rPr>
              <w:t xml:space="preserve">| + </w:t>
            </w:r>
            <w:r>
              <w:rPr>
                <w:i/>
                <w:lang w:val="pt-BR"/>
              </w:rPr>
              <w:t xml:space="preserve">e</w:t>
            </w:r>
            <w:r>
              <w:rPr>
                <w:lang w:val="pt-BR"/>
              </w:rPr>
              <w:t xml:space="preserve">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e</w:t>
            </w:r>
            <w:r>
              <w:rPr>
                <w:vertAlign w:val="subscript"/>
                <w:lang w:val="pt-BR"/>
              </w:rPr>
              <w:t xml:space="preserve">c</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0,063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q,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4.2.4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(49).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na patente,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1,65068 N/mm, com pico de τ de 4,252 N·m em 92,1°; no ajuste de forma, o s</w:t>
      </w:r>
      <w:r>
        <w:rPr>
          <w:vertAlign w:val="subscript"/>
          <w:lang w:val="pt-BR"/>
        </w:rPr>
        <w:t xml:space="preserve">0</w:t>
      </w:r>
      <w:r>
        <w:rPr>
          <w:lang w:val="pt-BR"/>
        </w:rPr>
        <w:t xml:space="preserve"> da tracejada vai de 167,098 mm para 280,059 mm, com 4 dos 40 pontos ajustados no regime II, e K</w:t>
      </w:r>
      <w:r>
        <w:rPr>
          <w:vertAlign w:val="subscript"/>
          <w:lang w:val="pt-BR"/>
        </w:rPr>
        <w:t xml:space="preserve">40</w:t>
      </w:r>
      <w:r>
        <w:rPr>
          <w:lang w:val="pt-BR"/>
        </w:rPr>
        <w:t xml:space="preserve">, de 0,52377 para 1,31188 N/mm. Com a abscissa espelhada, o RMSE sobe para 1,31 mm e os três valores de s</w:t>
      </w:r>
      <w:r>
        <w:rPr>
          <w:vertAlign w:val="subscript"/>
          <w:lang w:val="pt-BR"/>
        </w:rPr>
        <w:t xml:space="preserve">0</w:t>
      </w:r>
      <w:r>
        <w:rPr>
          <w:lang w:val="pt-BR"/>
        </w:rPr>
        <w:t xml:space="preserve"> ficam acima de s(0°)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(50) coincidem nas três curvas (Figura 10(a)), com dispersão mediana de 0,87% entre 20° e 165° e de no máximo 4,69% até 150°. Acima de 150°, a dispersão cresce, até 104,6% em 165°, porque a extensão da curva pontilhada tende a zero e o quociente da Equação (50) fica mal condicionado. O comprimento do elástico lido no espaçamento entre as curvas pontilhada e contínua, s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s do CAD em 1,12 mm RMS e no máximo 2,31 mm entre 35° e 155°: a variação de s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s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s(180°)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s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keepNext/>
        <w:spacing w:before="120" w:after="60"/>
        <w:rPr>
          <w:lang w:val="pt-BR"/>
        </w:rPr>
      </w:pPr>
      <w:r>
        <w:rPr>
          <w:b/>
          <w:lang w:val="pt-BR"/>
        </w:rPr>
        <w:t xml:space="preserve">Figura 10: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5" name="Imagem 1005"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À esquerda, razão de cada curva dividida pela extensão do elástico, em função da anteversão, com as três curvas sobrepostas; à direita, fator comum lido na figura e forma prevista pelo model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4.2.5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10(b)). Normalizada em 90°, a razão entre os dois vale 0,39 em 20°, 0,79 em 60°, 1,33 em 120°, 2,02 em 150° e 2,97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conjunto, a razão calculada não reproduz a Figura 16 da patente: com escala comum às três curvas, o coeficiente de determinação é −0,521 (pontilhada), −1,565 (tracejada) e −0,635 (contínua). Como o s implícito na figura concorda com o do CAD (seção 4.2.4), a diferença não se explica por s. Restam o braço de momento, que depende da derivada de s, e o torque do peso que a patente usou para formar a razão, que o texto não define de forma consistente (seção 3.2.9). Entre 35° e 155°, a concordância de s limita a primeira causa: pela Equação (44), atribuir ao braço de momento toda a diferença afastaria o s implícito do s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3.2.9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277,43 mm na pontilhada, 167,10 mm na tracejada e o limite s</w:t>
      </w:r>
      <w:r>
        <w:rPr>
          <w:vertAlign w:val="subscript"/>
          <w:lang w:val="pt-BR"/>
        </w:rPr>
        <w:t xml:space="preserve">0</w:t>
      </w:r>
      <w:r>
        <w:rPr>
          <w:lang w:val="pt-BR"/>
        </w:rP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273,02 a 281,36</w:t>
            </w:r>
          </w:p>
        </w:tc>
        <w:tc>
          <w:tcPr>
            <w:tcW w:w="2150" w:type="dxa"/>
            <w:vAlign w:val="center"/>
          </w:tcPr>
          <w:p>
            <w:pPr>
              <w:keepNext/>
              <w:spacing w:before="20" w:after="20" w:line="240" w:lineRule="auto"/>
              <w:jc w:val="center"/>
              <w:rPr>
                <w:lang w:val="pt-BR"/>
              </w:rPr>
            </w:pPr>
            <w:r>
              <w:rPr>
                <w:lang w:val="pt-BR"/>
              </w:rPr>
              <w:t xml:space="preserve">152,49 a 179,55</w:t>
            </w:r>
          </w:p>
        </w:tc>
        <w:tc>
          <w:tcPr>
            <w:tcW w:w="2160" w:type="dxa"/>
            <w:vAlign w:val="center"/>
          </w:tcPr>
          <w:p>
            <w:pPr>
              <w:keepNext/>
              <w:spacing w:before="20" w:after="20" w:line="240" w:lineRule="auto"/>
              <w:jc w:val="center"/>
              <w:rPr>
                <w:lang w:val="pt-BR"/>
              </w:rPr>
            </w:pPr>
            <w:r>
              <w:rPr>
                <w:lang w:val="pt-BR"/>
              </w:rPr>
              <w:t xml:space="preserve">0,00 a 4,72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2,95496</w:t>
            </w:r>
          </w:p>
        </w:tc>
        <w:tc>
          <w:tcPr>
            <w:tcW w:w="2150" w:type="dxa"/>
            <w:vAlign w:val="center"/>
          </w:tcPr>
          <w:p>
            <w:pPr>
              <w:keepNext/>
              <w:spacing w:before="20" w:after="20" w:line="240" w:lineRule="auto"/>
              <w:jc w:val="center"/>
              <w:rPr>
                <w:lang w:val="pt-BR"/>
              </w:rPr>
            </w:pPr>
            <w:r>
              <w:rPr>
                <w:lang w:val="pt-BR"/>
              </w:rPr>
              <w:t xml:space="preserve">1,62444</w:t>
            </w:r>
          </w:p>
        </w:tc>
        <w:tc>
          <w:tcPr>
            <w:tcW w:w="2160" w:type="dxa"/>
            <w:vAlign w:val="center"/>
          </w:tcPr>
          <w:p>
            <w:pPr>
              <w:keepNext/>
              <w:spacing w:before="20" w:after="20" w:line="240" w:lineRule="auto"/>
              <w:jc w:val="center"/>
              <w:rPr>
                <w:lang w:val="pt-BR"/>
              </w:rPr>
            </w:pPr>
            <w:r>
              <w:rPr>
                <w:lang w:val="pt-BR"/>
              </w:rPr>
              <w:t xml:space="preserve">1,08614</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0,1614</w:t>
            </w:r>
          </w:p>
        </w:tc>
        <w:tc>
          <w:tcPr>
            <w:tcW w:w="2150" w:type="dxa"/>
            <w:vAlign w:val="center"/>
          </w:tcPr>
          <w:p>
            <w:pPr>
              <w:keepNext/>
              <w:spacing w:before="20" w:after="20" w:line="240" w:lineRule="auto"/>
              <w:jc w:val="center"/>
              <w:rPr>
                <w:lang w:val="pt-BR"/>
              </w:rPr>
            </w:pPr>
            <w:r>
              <w:rPr>
                <w:lang w:val="pt-BR"/>
              </w:rPr>
              <w:t xml:space="preserve">0,1111</w:t>
            </w:r>
          </w:p>
        </w:tc>
        <w:tc>
          <w:tcPr>
            <w:tcW w:w="2160" w:type="dxa"/>
            <w:vAlign w:val="center"/>
          </w:tcPr>
          <w:p>
            <w:pPr>
              <w:keepNext/>
              <w:spacing w:before="20" w:after="20" w:line="240" w:lineRule="auto"/>
              <w:jc w:val="center"/>
              <w:rPr>
                <w:lang w:val="pt-BR"/>
              </w:rPr>
            </w:pPr>
            <w:r>
              <w:rPr>
                <w:lang w:val="pt-BR"/>
              </w:rPr>
              <w:t xml:space="preserve">0,1497</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0,1407</w:t>
            </w:r>
          </w:p>
        </w:tc>
        <w:tc>
          <w:tcPr>
            <w:tcW w:w="2150" w:type="dxa"/>
            <w:vAlign w:val="center"/>
          </w:tcPr>
          <w:p>
            <w:pPr>
              <w:keepNext/>
              <w:spacing w:before="20" w:after="20" w:line="240" w:lineRule="auto"/>
              <w:jc w:val="center"/>
              <w:rPr>
                <w:lang w:val="pt-BR"/>
              </w:rPr>
            </w:pPr>
            <w:r>
              <w:rPr>
                <w:lang w:val="pt-BR"/>
              </w:rPr>
              <w:t xml:space="preserve">0,0953</w:t>
            </w:r>
          </w:p>
        </w:tc>
        <w:tc>
          <w:tcPr>
            <w:tcW w:w="2160" w:type="dxa"/>
            <w:vAlign w:val="center"/>
          </w:tcPr>
          <w:p>
            <w:pPr>
              <w:keepNext/>
              <w:spacing w:before="20" w:after="20" w:line="240" w:lineRule="auto"/>
              <w:jc w:val="center"/>
              <w:rPr>
                <w:lang w:val="pt-BR"/>
              </w:rPr>
            </w:pPr>
            <w:r>
              <w:rPr>
                <w:lang w:val="pt-BR"/>
              </w:rPr>
              <w:t xml:space="preserve">0,1002</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0,3548, em 162,08°</w:t>
            </w:r>
          </w:p>
        </w:tc>
        <w:tc>
          <w:tcPr>
            <w:tcW w:w="2150" w:type="dxa"/>
            <w:vAlign w:val="center"/>
          </w:tcPr>
          <w:p>
            <w:pPr>
              <w:keepNext/>
              <w:spacing w:before="20" w:after="20" w:line="240" w:lineRule="auto"/>
              <w:jc w:val="center"/>
              <w:rPr>
                <w:lang w:val="pt-BR"/>
              </w:rPr>
            </w:pPr>
            <w:r>
              <w:rPr>
                <w:lang w:val="pt-BR"/>
              </w:rPr>
              <w:t xml:space="preserve">0,2559, em 21,39°</w:t>
            </w:r>
          </w:p>
        </w:tc>
        <w:tc>
          <w:tcPr>
            <w:tcW w:w="2160" w:type="dxa"/>
            <w:vAlign w:val="center"/>
          </w:tcPr>
          <w:p>
            <w:pPr>
              <w:keepNext/>
              <w:spacing w:before="20" w:after="20" w:line="240" w:lineRule="auto"/>
              <w:jc w:val="center"/>
              <w:rPr>
                <w:lang w:val="pt-BR"/>
              </w:rPr>
            </w:pPr>
            <w:r>
              <w:rPr>
                <w:lang w:val="pt-BR"/>
              </w:rPr>
              <w:t xml:space="preserve">0,3308,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0,5690</w:t>
            </w:r>
          </w:p>
        </w:tc>
        <w:tc>
          <w:tcPr>
            <w:tcW w:w="2150" w:type="dxa"/>
            <w:vAlign w:val="center"/>
          </w:tcPr>
          <w:p>
            <w:pPr>
              <w:keepNext/>
              <w:spacing w:before="20" w:after="20" w:line="240" w:lineRule="auto"/>
              <w:jc w:val="center"/>
              <w:rPr>
                <w:lang w:val="pt-BR"/>
              </w:rPr>
            </w:pPr>
            <w:r>
              <w:rPr>
                <w:lang w:val="pt-BR"/>
              </w:rPr>
              <w:t xml:space="preserve">0,8560</w:t>
            </w:r>
          </w:p>
        </w:tc>
        <w:tc>
          <w:tcPr>
            <w:tcW w:w="2160" w:type="dxa"/>
            <w:vAlign w:val="center"/>
          </w:tcPr>
          <w:p>
            <w:pPr>
              <w:keepNext/>
              <w:spacing w:before="20" w:after="20" w:line="240" w:lineRule="auto"/>
              <w:jc w:val="center"/>
              <w:rPr>
                <w:lang w:val="pt-BR"/>
              </w:rPr>
            </w:pPr>
            <w:r>
              <w:rPr>
                <w:lang w:val="pt-BR"/>
              </w:rPr>
              <w:t xml:space="preserve">0,9466</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76,465</w:t>
            </w:r>
          </w:p>
        </w:tc>
        <w:tc>
          <w:tcPr>
            <w:tcW w:w="2150" w:type="dxa"/>
            <w:vAlign w:val="center"/>
          </w:tcPr>
          <w:p>
            <w:pPr>
              <w:keepNext/>
              <w:spacing w:before="20" w:after="20" w:line="240" w:lineRule="auto"/>
              <w:jc w:val="center"/>
              <w:rPr>
                <w:lang w:val="pt-BR"/>
              </w:rPr>
            </w:pPr>
            <w:r>
              <w:rPr>
                <w:lang w:val="pt-BR"/>
              </w:rPr>
              <w:t xml:space="preserve">186,800</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1,27956</w:t>
            </w:r>
          </w:p>
        </w:tc>
        <w:tc>
          <w:tcPr>
            <w:tcW w:w="2150" w:type="dxa"/>
            <w:vAlign w:val="center"/>
          </w:tcPr>
          <w:p>
            <w:pPr>
              <w:keepNext/>
              <w:spacing w:before="20" w:after="20" w:line="240" w:lineRule="auto"/>
              <w:jc w:val="center"/>
              <w:rPr>
                <w:lang w:val="pt-BR"/>
              </w:rPr>
            </w:pPr>
            <w:r>
              <w:rPr>
                <w:lang w:val="pt-BR"/>
              </w:rPr>
              <w:t xml:space="preserve">0,52377</w:t>
            </w:r>
          </w:p>
        </w:tc>
        <w:tc>
          <w:tcPr>
            <w:tcW w:w="2160" w:type="dxa"/>
            <w:vAlign w:val="center"/>
          </w:tcPr>
          <w:p>
            <w:pPr>
              <w:keepNext/>
              <w:spacing w:before="20" w:after="20" w:line="240" w:lineRule="auto"/>
              <w:jc w:val="center"/>
              <w:rPr>
                <w:lang w:val="pt-BR"/>
              </w:rPr>
            </w:pPr>
            <w:r>
              <w:rPr>
                <w:lang w:val="pt-BR"/>
              </w:rPr>
              <w:t xml:space="preserve">0,27647</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0,4330</w:t>
            </w:r>
          </w:p>
        </w:tc>
        <w:tc>
          <w:tcPr>
            <w:tcW w:w="2150" w:type="dxa"/>
            <w:vAlign w:val="center"/>
          </w:tcPr>
          <w:p>
            <w:pPr>
              <w:keepNext/>
              <w:spacing w:before="20" w:after="20" w:line="240" w:lineRule="auto"/>
              <w:jc w:val="center"/>
              <w:rPr>
                <w:lang w:val="pt-BR"/>
              </w:rPr>
            </w:pPr>
            <w:r>
              <w:rPr>
                <w:lang w:val="pt-BR"/>
              </w:rPr>
              <w:t xml:space="preserve">0,3224</w:t>
            </w:r>
          </w:p>
        </w:tc>
        <w:tc>
          <w:tcPr>
            <w:tcW w:w="2160" w:type="dxa"/>
            <w:vAlign w:val="center"/>
          </w:tcPr>
          <w:p>
            <w:pPr>
              <w:keepNext/>
              <w:spacing w:before="20" w:after="20" w:line="240" w:lineRule="auto"/>
              <w:jc w:val="center"/>
              <w:rPr>
                <w:lang w:val="pt-BR"/>
              </w:rPr>
            </w:pPr>
            <w:r>
              <w:rPr>
                <w:lang w:val="pt-BR"/>
              </w:rPr>
              <w:t xml:space="preserve">0,2545</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8,34 mm na curva pontilhada e 27,06 mm na tracejada; na contínua, a faixa encosta no limite s</w:t>
      </w:r>
      <w:r>
        <w:rPr>
          <w:vertAlign w:val="subscript"/>
          <w:lang w:val="pt-BR"/>
        </w:rPr>
        <w:t xml:space="preserve">0</w:t>
      </w:r>
      <w:r>
        <w:rPr>
          <w:lang w:val="pt-BR"/>
        </w:rPr>
        <w:t xml:space="preserve"> = 0. O ajuste é pior que o da seção 4.1: R</w:t>
      </w:r>
      <w:r>
        <w:rPr>
          <w:vertAlign w:val="superscript"/>
          <w:lang w:val="pt-BR"/>
        </w:rPr>
        <w:t xml:space="preserve">2</w:t>
      </w:r>
      <w:r>
        <w:rPr>
          <w:lang w:val="pt-BR"/>
        </w:rP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0,52377 N/mm e F(90°) = 97,84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227,040</w:t>
            </w:r>
          </w:p>
        </w:tc>
        <w:tc>
          <w:tcPr>
            <w:tcW w:w="2150" w:type="dxa"/>
            <w:vAlign w:val="center"/>
          </w:tcPr>
          <w:p>
            <w:pPr>
              <w:keepNext/>
              <w:spacing w:before="20" w:after="20" w:line="240" w:lineRule="auto"/>
              <w:jc w:val="center"/>
              <w:rPr>
                <w:lang w:val="pt-BR"/>
              </w:rPr>
            </w:pPr>
            <w:r>
              <w:rPr>
                <w:lang w:val="pt-BR"/>
              </w:rPr>
              <w:t xml:space="preserve">162,401</w:t>
            </w:r>
          </w:p>
        </w:tc>
        <w:tc>
          <w:tcPr>
            <w:tcW w:w="2160" w:type="dxa"/>
            <w:vAlign w:val="center"/>
          </w:tcPr>
          <w:p>
            <w:pPr>
              <w:keepNext/>
              <w:spacing w:before="20" w:after="20" w:line="240" w:lineRule="auto"/>
              <w:jc w:val="center"/>
              <w:rPr>
                <w:lang w:val="pt-BR"/>
              </w:rPr>
            </w:pPr>
            <w:r>
              <w:rPr>
                <w:lang w:val="pt-BR"/>
              </w:rPr>
              <w:t xml:space="preserve">100,009</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21,35%</w:t>
            </w:r>
          </w:p>
        </w:tc>
        <w:tc>
          <w:tcPr>
            <w:tcW w:w="2150" w:type="dxa"/>
            <w:vAlign w:val="center"/>
          </w:tcPr>
          <w:p>
            <w:pPr>
              <w:keepNext/>
              <w:spacing w:before="20" w:after="20" w:line="240" w:lineRule="auto"/>
              <w:jc w:val="center"/>
              <w:rPr>
                <w:lang w:val="pt-BR"/>
              </w:rPr>
            </w:pPr>
            <w:r>
              <w:rPr>
                <w:lang w:val="pt-BR"/>
              </w:rPr>
              <w:t xml:space="preserve">6,57%</w:t>
            </w:r>
          </w:p>
        </w:tc>
        <w:tc>
          <w:tcPr>
            <w:tcW w:w="2160" w:type="dxa"/>
            <w:vAlign w:val="center"/>
          </w:tcPr>
          <w:p>
            <w:pPr>
              <w:keepNext/>
              <w:spacing w:before="20" w:after="20" w:line="240" w:lineRule="auto"/>
              <w:jc w:val="center"/>
              <w:rPr>
                <w:lang w:val="pt-BR"/>
              </w:rPr>
            </w:pPr>
            <w:r>
              <w:rPr>
                <w:lang w:val="pt-BR"/>
              </w:rPr>
              <w:t xml:space="preserve">6,45%</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0,1240</w:t>
            </w:r>
          </w:p>
        </w:tc>
        <w:tc>
          <w:tcPr>
            <w:tcW w:w="2150" w:type="dxa"/>
            <w:vAlign w:val="center"/>
          </w:tcPr>
          <w:p>
            <w:pPr>
              <w:keepNext/>
              <w:spacing w:before="20" w:after="20" w:line="240" w:lineRule="auto"/>
              <w:jc w:val="center"/>
              <w:rPr>
                <w:lang w:val="pt-BR"/>
              </w:rPr>
            </w:pPr>
            <w:r>
              <w:rPr>
                <w:lang w:val="pt-BR"/>
              </w:rPr>
              <w:t xml:space="preserve">0,8557</w:t>
            </w:r>
          </w:p>
        </w:tc>
        <w:tc>
          <w:tcPr>
            <w:tcW w:w="2160" w:type="dxa"/>
            <w:vAlign w:val="center"/>
          </w:tcPr>
          <w:p>
            <w:pPr>
              <w:keepNext/>
              <w:spacing w:before="20" w:after="20" w:line="240" w:lineRule="auto"/>
              <w:jc w:val="center"/>
              <w:rPr>
                <w:lang w:val="pt-BR"/>
              </w:rPr>
            </w:pPr>
            <w:r>
              <w:rPr>
                <w:lang w:val="pt-BR"/>
              </w:rPr>
              <w:t xml:space="preserve">0,9048</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35,96%</w:t>
            </w:r>
          </w:p>
        </w:tc>
        <w:tc>
          <w:tcPr>
            <w:tcW w:w="2150" w:type="dxa"/>
            <w:vAlign w:val="center"/>
          </w:tcPr>
          <w:p>
            <w:pPr>
              <w:keepNext/>
              <w:spacing w:before="20" w:after="20" w:line="240" w:lineRule="auto"/>
              <w:jc w:val="center"/>
              <w:rPr>
                <w:lang w:val="pt-BR"/>
              </w:rPr>
            </w:pPr>
            <w:r>
              <w:rPr>
                <w:lang w:val="pt-BR"/>
              </w:rPr>
              <w:t xml:space="preserve">13,28%</w:t>
            </w:r>
          </w:p>
        </w:tc>
        <w:tc>
          <w:tcPr>
            <w:tcW w:w="2160" w:type="dxa"/>
            <w:vAlign w:val="center"/>
          </w:tcPr>
          <w:p>
            <w:pPr>
              <w:keepNext/>
              <w:spacing w:before="20" w:after="20" w:line="240" w:lineRule="auto"/>
              <w:jc w:val="center"/>
              <w:rPr>
                <w:lang w:val="pt-BR"/>
              </w:rPr>
            </w:pPr>
            <w:r>
              <w:rPr>
                <w:lang w:val="pt-BR"/>
              </w:rPr>
              <w:t xml:space="preserve">3,44%</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−1,4848</w:t>
            </w:r>
          </w:p>
        </w:tc>
        <w:tc>
          <w:tcPr>
            <w:tcW w:w="2150" w:type="dxa"/>
            <w:vAlign w:val="center"/>
          </w:tcPr>
          <w:p>
            <w:pPr>
              <w:keepNext/>
              <w:spacing w:before="20" w:after="20" w:line="240" w:lineRule="auto"/>
              <w:jc w:val="center"/>
              <w:rPr>
                <w:lang w:val="pt-BR"/>
              </w:rPr>
            </w:pPr>
            <w:r>
              <w:rPr>
                <w:lang w:val="pt-BR"/>
              </w:rPr>
              <w:t xml:space="preserve">0,4095</w:t>
            </w:r>
          </w:p>
        </w:tc>
        <w:tc>
          <w:tcPr>
            <w:tcW w:w="2160" w:type="dxa"/>
            <w:vAlign w:val="center"/>
          </w:tcPr>
          <w:p>
            <w:pPr>
              <w:keepNext/>
              <w:spacing w:before="20" w:after="20" w:line="240" w:lineRule="auto"/>
              <w:jc w:val="center"/>
              <w:rPr>
                <w:lang w:val="pt-BR"/>
              </w:rPr>
            </w:pPr>
            <w:r>
              <w:rPr>
                <w:lang w:val="pt-BR"/>
              </w:rPr>
              <w:t xml:space="preserve">0,9730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1,5794, comum às três curvas; na força constante, c é ajustado por curva.</w:t>
      </w:r>
    </w:p>
    <w:p>
      <w:pPr>
        <w:rPr>
          <w:lang w:val="pt-BR"/>
        </w:rPr>
      </w:pPr>
      <w:r>
        <w:rPr>
          <w:lang w:val="pt-BR"/>
        </w:rPr>
        <w:t xml:space="preserve">O ajuste conjunto ordena os comprimentos de referência como as pré-tensões descritas na patente: s</w:t>
      </w:r>
      <w:r>
        <w:rPr>
          <w:vertAlign w:val="subscript"/>
          <w:lang w:val="pt-BR"/>
        </w:rPr>
        <w:t xml:space="preserve">0</w:t>
      </w:r>
      <w:r>
        <w:rPr>
          <w:lang w:val="pt-BR"/>
        </w:rPr>
        <w:t xml:space="preserve"> = 227,040 mm na curva pontilhada, 162,401 mm na tracejada e 100,009 mm na contínua; menor s</w:t>
      </w:r>
      <w:r>
        <w:rPr>
          <w:vertAlign w:val="subscript"/>
          <w:lang w:val="pt-BR"/>
        </w:rPr>
        <w:t xml:space="preserve">0</w:t>
      </w:r>
      <w:r>
        <w:rPr>
          <w:lang w:val="pt-BR"/>
        </w:rP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lang w:val="pt-BR"/>
        </w:rPr>
        <w:t xml:space="preserve">0</w:t>
      </w:r>
      <w:r>
        <w:rPr>
          <w:lang w:val="pt-BR"/>
        </w:rPr>
        <w:t xml:space="preserve"> = 0, e as outras duas com erros de 35,96% e 13,28%.</w:t>
      </w:r>
    </w:p>
    <w:p>
      <w:pPr>
        <w:rPr>
          <w:lang w:val="pt-BR"/>
        </w:rPr>
      </w:pPr>
      <w:r>
        <w:rPr>
          <w:lang w:val="pt-BR"/>
        </w:rPr>
        <w:t xml:space="preserve">A pré-tensão da curva pontilhada, descrita como quase nula, também diverge do ajuste de forma. Pelo critério da seção 4.2.4, a extensão em 180°, essa curva teria 19,50 mm com o s</w:t>
      </w:r>
      <w:r>
        <w:rPr>
          <w:vertAlign w:val="subscript"/>
          <w:lang w:val="pt-BR"/>
        </w:rPr>
        <w:t xml:space="preserve">0</w:t>
      </w:r>
      <w:r>
        <w:rPr>
          <w:lang w:val="pt-BR"/>
        </w:rPr>
        <w:t xml:space="preserve"> individual e 69,89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11: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6" name="Imagem 1006"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6"/>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4.2.6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1,46670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lang w:val="pt-BR"/>
              </w:rPr>
              <w:t xml:space="preserve">e</w:t>
            </w:r>
            <w:r>
              <w:rPr>
                <w:vertAlign w:val="subscript"/>
                <w:lang w:val="pt-BR"/>
              </w:rPr>
              <w:t xml:space="preserve">{c</w:t>
            </w:r>
            <w:r>
              <w:rPr>
                <w:lang w:val="pt-BR"/>
              </w:rPr>
              <w:t xml:space="preserv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4.2.8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 φ</w:t>
            </w:r>
          </w:p>
        </w:tc>
        <w:tc>
          <w:tcPr>
            <w:tcW w:w="1500" w:type="dxa"/>
            <w:vAlign w:val="center"/>
          </w:tcPr>
          <w:p>
            <w:pPr>
              <w:keepNext/>
              <w:spacing w:before="20" w:after="20" w:line="240" w:lineRule="auto"/>
              <w:jc w:val="center"/>
              <w:rPr>
                <w:lang w:val="pt-BR"/>
              </w:rPr>
            </w:pPr>
            <w:r>
              <w:rPr>
                <w:lang w:val="pt-BR"/>
              </w:rPr>
              <w:t xml:space="preserve">7,754 mm; 131,790°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 = 0</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−25,891°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163,951 g; 47,362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Incluídos no peso e na inércia; eixos do Fusion admitidos paralelos aos do modelo</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4.2.7 Comportamento do elástico e do mecanismo</w:t>
      </w:r>
    </w:p>
    <w:p>
      <w:pPr>
        <w:rPr>
          <w:lang w:val="pt-BR"/>
        </w:rPr>
      </w:pPr>
      <w:r>
        <w:rPr>
          <w:lang w:val="pt-BR"/>
        </w:rPr>
        <w:t xml:space="preserve">Na faixa de 0° a 180° de anteversão, q varia de 64,109° a 244,109°,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3.1.5. Como m não se anula, não há ponto morto na faixa, ao contrário da seção 3.1.7. A Tabela 22 reúne as grandezas do circuito em ângulos representativos.</w:t>
      </w:r>
    </w:p>
    <w:p>
      <w:pPr>
        <w:keepNext/>
        <w:spacing w:before="120" w:after="60"/>
        <w:rPr>
          <w:lang w:val="pt-BR"/>
        </w:rPr>
      </w:pPr>
      <w:r>
        <w:rPr>
          <w:b/>
          <w:lang w:val="pt-BR"/>
        </w:rPr>
        <w:t xml:space="preserve">Tabela 22: Grandezas do circuito em ângulos representativos (e</w:t>
      </w:r>
      <w:r>
        <w:rPr>
          <w:b/>
          <w:vertAlign w:val="subscript"/>
          <w:lang w:val="pt-BR"/>
        </w:rPr>
        <w:t xml:space="preserve">c</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q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s (mm)</w:t>
            </w:r>
          </w:p>
        </w:tc>
        <w:tc>
          <w:tcPr>
            <w:tcW w:w="1300" w:type="dxa"/>
            <w:shd w:val="clear" w:color="auto" w:fill="F2F2F2"/>
            <w:vAlign w:val="center"/>
          </w:tcPr>
          <w:p>
            <w:pPr>
              <w:keepNext/>
              <w:spacing w:before="20" w:after="20" w:line="240" w:lineRule="auto"/>
              <w:jc w:val="center"/>
              <w:rPr>
                <w:lang w:val="pt-BR"/>
              </w:rPr>
            </w:pPr>
            <w:r>
              <w:rPr>
                <w:b/>
                <w:lang w:val="pt-BR"/>
              </w:rPr>
              <w:t xml:space="preserve">ψ (°)</w:t>
            </w:r>
          </w:p>
        </w:tc>
        <w:tc>
          <w:tcPr>
            <w:tcW w:w="1700" w:type="dxa"/>
            <w:shd w:val="clear" w:color="auto" w:fill="F2F2F2"/>
            <w:vAlign w:val="center"/>
          </w:tcPr>
          <w:p>
            <w:pPr>
              <w:keepNext/>
              <w:spacing w:before="20" w:after="20" w:line="240" w:lineRule="auto"/>
              <w:jc w:val="center"/>
              <w:rPr>
                <w:lang w:val="pt-BR"/>
              </w:rPr>
            </w:pPr>
            <w:r>
              <w:rPr>
                <w:b/>
                <w:lang w:val="pt-BR"/>
              </w:rPr>
              <w:t xml:space="preserve">s − x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64,109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74,109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83,203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94,109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124,109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146,147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154,109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184,109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214,109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244,109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149,67 N a 14,29 N. O ajuste de forma levaria a valores bem diferentes: com s</w:t>
      </w:r>
      <w:r>
        <w:rPr>
          <w:vertAlign w:val="subscript"/>
          <w:lang w:val="pt-BR"/>
        </w:rPr>
        <w:t xml:space="preserve">0</w:t>
      </w:r>
      <w:r>
        <w:rPr>
          <w:lang w:val="pt-BR"/>
        </w:rPr>
        <w:t xml:space="preserve"> = 167,098 mm, a extensão iria de 222,13 a 129,83 mm, com deformação de 132,9%, e a força, com o K</w:t>
      </w:r>
      <w:r>
        <w:rPr>
          <w:vertAlign w:val="subscript"/>
          <w:lang w:val="pt-BR"/>
        </w:rPr>
        <w:t xml:space="preserve">40</w:t>
      </w:r>
      <w:r>
        <w:rPr>
          <w:lang w:val="pt-BR"/>
        </w:rPr>
        <w:t xml:space="preserve"> correspondente, de 116,35 a 68,00 N. A viabilidade dessas extensões depende do elemento elástico, que a patente não especifica.</w:t>
      </w:r>
    </w:p>
    <w:p>
      <w:pPr>
        <w:pStyle w:val="Ttulo2"/>
        <w:rPr>
          <w:lang w:val="pt-BR"/>
        </w:rPr>
      </w:pPr>
      <w:r>
        <w:rPr>
          <w:lang w:val="pt-BR"/>
        </w:rPr>
        <w:t xml:space="preserve">4.2.8 Varredura paramétrica do trecho e</w:t>
      </w:r>
      <w:r>
        <w:rPr>
          <w:vertAlign w:val="subscript"/>
          <w:lang w:val="pt-BR"/>
        </w:rPr>
        <w:t xml:space="preserve">c</w:t>
      </w:r>
      <w:r>
        <w:rPr>
          <w:lang w:val="pt-BR"/>
        </w:rPr>
        <w:t xml:space="preserve"> da alavanca</w:t>
      </w:r>
    </w:p>
    <w:p>
      <w:pPr>
        <w:rPr>
          <w:lang w:val="pt-BR"/>
        </w:rPr>
      </w:pPr>
      <w:r>
        <w:rPr>
          <w:lang w:val="pt-BR"/>
        </w:rPr>
        <w:t xml:space="preserve">Dos três critérios de validade física da seção 3.1.10, adaptados ao mecanismo, o fechamento dos dois regimes (s &gt; 0 e s − x &gt; 0) e o trabalho virtual foram atendidos em todos os valores de e</w:t>
      </w:r>
      <w:r>
        <w:rPr>
          <w:vertAlign w:val="subscript"/>
          <w:lang w:val="pt-BR"/>
        </w:rPr>
        <w:t xml:space="preserve">c</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e</w:t>
      </w:r>
      <w:r>
        <w:rPr>
          <w:vertAlign w:val="subscript"/>
          <w:lang w:val="pt-BR"/>
        </w:rPr>
        <w:t xml:space="preserve">c</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e</w:t>
      </w:r>
      <w:r>
        <w:rPr>
          <w:vertAlign w:val="subscript"/>
          <w:lang w:val="pt-BR"/>
        </w:rPr>
        <w:t xml:space="preserve">c</w:t>
      </w:r>
      <w:r>
        <w:rPr>
          <w:lang w:val="pt-BR"/>
        </w:rPr>
        <w:t xml:space="preserve"> = 45 mm, frouxa de 177,72° a 180°. A transição de regime desloca-se de θ</w:t>
      </w:r>
      <w:r>
        <w:rPr>
          <w:vertAlign w:val="subscript"/>
          <w:lang w:val="pt-BR"/>
        </w:rPr>
        <w:t xml:space="preserve">el</w:t>
      </w:r>
      <w:r>
        <w:rPr>
          <w:lang w:val="pt-BR"/>
        </w:rPr>
        <w:t xml:space="preserve"> = 26,91° (e</w:t>
      </w:r>
      <w:r>
        <w:rPr>
          <w:vertAlign w:val="subscript"/>
          <w:lang w:val="pt-BR"/>
        </w:rPr>
        <w:t xml:space="preserve">c</w:t>
      </w:r>
      <w:r>
        <w:rPr>
          <w:lang w:val="pt-BR"/>
        </w:rPr>
        <w:t xml:space="preserve"> = 20 mm) para 14,46° (e</w:t>
      </w:r>
      <w:r>
        <w:rPr>
          <w:vertAlign w:val="subscript"/>
          <w:lang w:val="pt-BR"/>
        </w:rPr>
        <w:t xml:space="preserve">c</w:t>
      </w:r>
      <w:r>
        <w:rPr>
          <w:lang w:val="pt-BR"/>
        </w:rPr>
        <w:t xml:space="preserve"> = 50 mm). A Tabela 23 e a Figura 12 mostram a família de curvas para cinco valores de e</w:t>
      </w:r>
      <w:r>
        <w:rPr>
          <w:vertAlign w:val="subscript"/>
          <w:lang w:val="pt-BR"/>
        </w:rPr>
        <w:t xml:space="preserve">c</w:t>
      </w:r>
      <w:r>
        <w:rPr>
          <w:lang w:val="pt-BR"/>
        </w:rPr>
        <w:t xml:space="preserve">.</w:t>
      </w:r>
    </w:p>
    <w:p>
      <w:pPr>
        <w:keepNext/>
        <w:spacing w:before="120" w:after="60"/>
        <w:rPr>
          <w:lang w:val="pt-BR"/>
        </w:rPr>
      </w:pPr>
      <w:r>
        <w:rPr>
          <w:b/>
          <w:lang w:val="pt-BR"/>
        </w:rPr>
        <w:t xml:space="preserve">Tabela 23: Família de curvas em e</w:t>
      </w:r>
      <w:r>
        <w:rPr>
          <w:b/>
          <w:vertAlign w:val="subscript"/>
          <w:lang w:val="pt-BR"/>
        </w:rPr>
        <w:t xml:space="preserve">c</w:t>
      </w:r>
      <w:r>
        <w:rPr>
          <w:b/>
          <w:lang w:val="pt-BR"/>
        </w:rPr>
        <w:t xml:space="preserve">, com s</w:t>
      </w:r>
      <w:r>
        <w:rPr>
          <w:b/>
          <w:vertAlign w:val="subscript"/>
          <w:lang w:val="pt-BR"/>
        </w:rPr>
        <w:t xml:space="preserve">0</w:t>
      </w:r>
      <w:r>
        <w:rPr>
          <w:b/>
          <w:lang w:val="pt-BR"/>
        </w:rPr>
        <w:t xml:space="preserve"> = 287,190 mm e K = 1,46670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lang w:val="pt-BR"/>
              </w:rPr>
              <w:t xml:space="preserve">e</w:t>
            </w:r>
            <w:r>
              <w:rPr>
                <w:b/>
                <w:vertAlign w:val="subscript"/>
                <w:lang w:val="pt-BR"/>
              </w:rPr>
              <w:t xml:space="preserve">c</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x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3,313</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3,291</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3,841</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3,773</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4,376</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4,242</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4,990</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4,761</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5,609</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5,268</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e</w:t>
      </w:r>
      <w:r>
        <w:rPr>
          <w:vertAlign w:val="subscript"/>
          <w:lang w:val="pt-BR"/>
        </w:rPr>
        <w:t xml:space="preserve">c</w:t>
      </w:r>
      <w:r>
        <w:rPr>
          <w:lang w:val="pt-BR"/>
        </w:rPr>
        <w:t xml:space="preserve"> se cruzam, o torque aumenta com e</w:t>
      </w:r>
      <w:r>
        <w:rPr>
          <w:vertAlign w:val="subscript"/>
          <w:lang w:val="pt-BR"/>
        </w:rPr>
        <w:t xml:space="preserve">c</w:t>
      </w:r>
      <w:r>
        <w:rPr>
          <w:lang w:val="pt-BR"/>
        </w:rPr>
        <w:t xml:space="preserve">; acima desse ângulo, diminui. Com o aumento de e</w:t>
      </w:r>
      <w:r>
        <w:rPr>
          <w:vertAlign w:val="subscript"/>
          <w:lang w:val="pt-BR"/>
        </w:rPr>
        <w:t xml:space="preserve">c</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lang w:val="pt-BR"/>
        </w:rPr>
        <w:t xml:space="preserve">g</w:t>
      </w:r>
      <w:r>
        <w:rPr>
          <w:lang w:val="pt-BR"/>
        </w:rPr>
        <w:t xml:space="preserve"> da família têm máximo entre 54,8° e 76,0°, que ocorre mais cedo quanto maior o trecho e</w:t>
      </w:r>
      <w:r>
        <w:rPr>
          <w:vertAlign w:val="subscript"/>
          <w:lang w:val="pt-BR"/>
        </w:rPr>
        <w:t xml:space="preserve">c</w:t>
      </w:r>
      <w:r>
        <w:rPr>
          <w:lang w:val="pt-BR"/>
        </w:rP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12: Família de curvas em e</w:t>
      </w:r>
      <w:r>
        <w:rPr>
          <w:b/>
          <w:vertAlign w:val="subscript"/>
          <w:lang w:val="pt-BR"/>
        </w:rPr>
        <w:t xml:space="preserve">c</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7" name="Imagem 1007"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Cinco curvas para o trecho e de 25 a 45 mm em função da anteversão: à esquerda, torque por unidade de rigidez; à direita, razão entre o torque do elástico e o do peso."/>
                    <pic:cNvPicPr/>
                  </pic:nvPicPr>
                  <pic:blipFill>
                    <a:blip r:embed="rIdExo2F7"/>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4.2.9 Confronto com o torque gravitacional</w:t>
      </w:r>
    </w:p>
    <w:p>
      <w:pPr>
        <w:rPr>
          <w:lang w:val="pt-BR"/>
        </w:rPr>
      </w:pPr>
      <w:r>
        <w:rPr>
          <w:lang w:val="pt-BR"/>
        </w:rPr>
        <w:t xml:space="preserve">A forma do torque do elástico pode ser comparada à do peso sem depender de K, normalizando cada curva pelo próprio pico (Figura 13).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13: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8" name="Imagem 1008"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m 1008" descr="Torque do elástico e torque do peso normalizados, de 0 a 180 graus, com a faixa correspondente aos valores de s0 obtidos nas faixas de ângulo testadas."/>
                    <pic:cNvPicPr/>
                  </pic:nvPicPr>
                  <pic:blipFill>
                    <a:blip r:embed="rIdExo2F8"/>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14 e a Tabela 24 descrevem um cenário de projeto, e não o dispositivo comercial. Nesse cenário, o torque do elástico atinge 4,376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0,34 em 30° a 0,43 em 60°, 0,40 em 90° e 0,21 em 150°, com 0,20 em 170°. A força e a extensão do elástico nesse cenário estão na seção 4.2.7.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1,46670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q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s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74,109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148,02</w:t>
            </w:r>
          </w:p>
        </w:tc>
        <w:tc>
          <w:tcPr>
            <w:tcW w:w="940" w:type="dxa"/>
            <w:vAlign w:val="center"/>
          </w:tcPr>
          <w:p>
            <w:pPr>
              <w:keepNext/>
              <w:spacing w:before="20" w:after="20" w:line="240" w:lineRule="auto"/>
              <w:jc w:val="center"/>
              <w:rPr>
                <w:lang w:val="pt-BR"/>
              </w:rPr>
            </w:pPr>
            <w:r>
              <w:rPr>
                <w:lang w:val="pt-BR"/>
              </w:rPr>
              <w:t xml:space="preserve">0,892</w:t>
            </w:r>
          </w:p>
        </w:tc>
        <w:tc>
          <w:tcPr>
            <w:tcW w:w="1000" w:type="dxa"/>
            <w:vAlign w:val="center"/>
          </w:tcPr>
          <w:p>
            <w:pPr>
              <w:keepNext/>
              <w:spacing w:before="20" w:after="20" w:line="240" w:lineRule="auto"/>
              <w:jc w:val="center"/>
              <w:rPr>
                <w:lang w:val="pt-BR"/>
              </w:rPr>
            </w:pPr>
            <w:r>
              <w:rPr>
                <w:lang w:val="pt-BR"/>
              </w:rPr>
              <w:t xml:space="preserve">1,894</w:t>
            </w:r>
          </w:p>
        </w:tc>
        <w:tc>
          <w:tcPr>
            <w:tcW w:w="880" w:type="dxa"/>
            <w:vAlign w:val="center"/>
          </w:tcPr>
          <w:p>
            <w:pPr>
              <w:keepNext/>
              <w:spacing w:before="20" w:after="20" w:line="240" w:lineRule="auto"/>
              <w:jc w:val="center"/>
              <w:rPr>
                <w:lang w:val="pt-BR"/>
              </w:rPr>
            </w:pPr>
            <w:r>
              <w:rPr>
                <w:lang w:val="pt-BR"/>
              </w:rPr>
              <w:t xml:space="preserve">0,471</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94,109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144,21</w:t>
            </w:r>
          </w:p>
        </w:tc>
        <w:tc>
          <w:tcPr>
            <w:tcW w:w="940" w:type="dxa"/>
            <w:vAlign w:val="center"/>
          </w:tcPr>
          <w:p>
            <w:pPr>
              <w:keepNext/>
              <w:spacing w:before="20" w:after="20" w:line="240" w:lineRule="auto"/>
              <w:jc w:val="center"/>
              <w:rPr>
                <w:lang w:val="pt-BR"/>
              </w:rPr>
            </w:pPr>
            <w:r>
              <w:rPr>
                <w:lang w:val="pt-BR"/>
              </w:rPr>
              <w:t xml:space="preserve">1,834</w:t>
            </w:r>
          </w:p>
        </w:tc>
        <w:tc>
          <w:tcPr>
            <w:tcW w:w="1000" w:type="dxa"/>
            <w:vAlign w:val="center"/>
          </w:tcPr>
          <w:p>
            <w:pPr>
              <w:keepNext/>
              <w:spacing w:before="20" w:after="20" w:line="240" w:lineRule="auto"/>
              <w:jc w:val="center"/>
              <w:rPr>
                <w:lang w:val="pt-BR"/>
              </w:rPr>
            </w:pPr>
            <w:r>
              <w:rPr>
                <w:lang w:val="pt-BR"/>
              </w:rPr>
              <w:t xml:space="preserve">5,348</w:t>
            </w:r>
          </w:p>
        </w:tc>
        <w:tc>
          <w:tcPr>
            <w:tcW w:w="880" w:type="dxa"/>
            <w:vAlign w:val="center"/>
          </w:tcPr>
          <w:p>
            <w:pPr>
              <w:keepNext/>
              <w:spacing w:before="20" w:after="20" w:line="240" w:lineRule="auto"/>
              <w:jc w:val="center"/>
              <w:rPr>
                <w:lang w:val="pt-BR"/>
              </w:rPr>
            </w:pPr>
            <w:r>
              <w:rPr>
                <w:lang w:val="pt-BR"/>
              </w:rPr>
              <w:t xml:space="preserve">0,343</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124,109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127,04</w:t>
            </w:r>
          </w:p>
        </w:tc>
        <w:tc>
          <w:tcPr>
            <w:tcW w:w="940" w:type="dxa"/>
            <w:vAlign w:val="center"/>
          </w:tcPr>
          <w:p>
            <w:pPr>
              <w:keepNext/>
              <w:spacing w:before="20" w:after="20" w:line="240" w:lineRule="auto"/>
              <w:jc w:val="center"/>
              <w:rPr>
                <w:lang w:val="pt-BR"/>
              </w:rPr>
            </w:pPr>
            <w:r>
              <w:rPr>
                <w:lang w:val="pt-BR"/>
              </w:rPr>
              <w:t xml:space="preserve">3,973</w:t>
            </w:r>
          </w:p>
        </w:tc>
        <w:tc>
          <w:tcPr>
            <w:tcW w:w="1000" w:type="dxa"/>
            <w:vAlign w:val="center"/>
          </w:tcPr>
          <w:p>
            <w:pPr>
              <w:keepNext/>
              <w:spacing w:before="20" w:after="20" w:line="240" w:lineRule="auto"/>
              <w:jc w:val="center"/>
              <w:rPr>
                <w:lang w:val="pt-BR"/>
              </w:rPr>
            </w:pPr>
            <w:r>
              <w:rPr>
                <w:lang w:val="pt-BR"/>
              </w:rPr>
              <w:t xml:space="preserve">9,210</w:t>
            </w:r>
          </w:p>
        </w:tc>
        <w:tc>
          <w:tcPr>
            <w:tcW w:w="880" w:type="dxa"/>
            <w:vAlign w:val="center"/>
          </w:tcPr>
          <w:p>
            <w:pPr>
              <w:keepNext/>
              <w:spacing w:before="20" w:after="20" w:line="240" w:lineRule="auto"/>
              <w:jc w:val="center"/>
              <w:rPr>
                <w:lang w:val="pt-BR"/>
              </w:rPr>
            </w:pPr>
            <w:r>
              <w:rPr>
                <w:lang w:val="pt-BR"/>
              </w:rPr>
              <w:t xml:space="preserve">0,431</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154,109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97,84</w:t>
            </w:r>
          </w:p>
        </w:tc>
        <w:tc>
          <w:tcPr>
            <w:tcW w:w="940" w:type="dxa"/>
            <w:vAlign w:val="center"/>
          </w:tcPr>
          <w:p>
            <w:pPr>
              <w:keepNext/>
              <w:spacing w:before="20" w:after="20" w:line="240" w:lineRule="auto"/>
              <w:jc w:val="center"/>
              <w:rPr>
                <w:lang w:val="pt-BR"/>
              </w:rPr>
            </w:pPr>
            <w:r>
              <w:rPr>
                <w:lang w:val="pt-BR"/>
              </w:rPr>
              <w:t xml:space="preserve">4,242</w:t>
            </w:r>
          </w:p>
        </w:tc>
        <w:tc>
          <w:tcPr>
            <w:tcW w:w="1000" w:type="dxa"/>
            <w:vAlign w:val="center"/>
          </w:tcPr>
          <w:p>
            <w:pPr>
              <w:keepNext/>
              <w:spacing w:before="20" w:after="20" w:line="240" w:lineRule="auto"/>
              <w:jc w:val="center"/>
              <w:rPr>
                <w:lang w:val="pt-BR"/>
              </w:rPr>
            </w:pPr>
            <w:r>
              <w:rPr>
                <w:lang w:val="pt-BR"/>
              </w:rPr>
              <w:t xml:space="preserve">10,604</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184,109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63,11</w:t>
            </w:r>
          </w:p>
        </w:tc>
        <w:tc>
          <w:tcPr>
            <w:tcW w:w="940" w:type="dxa"/>
            <w:vAlign w:val="center"/>
          </w:tcPr>
          <w:p>
            <w:pPr>
              <w:keepNext/>
              <w:spacing w:before="20" w:after="20" w:line="240" w:lineRule="auto"/>
              <w:jc w:val="center"/>
              <w:rPr>
                <w:lang w:val="pt-BR"/>
              </w:rPr>
            </w:pPr>
            <w:r>
              <w:rPr>
                <w:lang w:val="pt-BR"/>
              </w:rPr>
              <w:t xml:space="preserve">2,845</w:t>
            </w:r>
          </w:p>
        </w:tc>
        <w:tc>
          <w:tcPr>
            <w:tcW w:w="1000" w:type="dxa"/>
            <w:vAlign w:val="center"/>
          </w:tcPr>
          <w:p>
            <w:pPr>
              <w:keepNext/>
              <w:spacing w:before="20" w:after="20" w:line="240" w:lineRule="auto"/>
              <w:jc w:val="center"/>
              <w:rPr>
                <w:lang w:val="pt-BR"/>
              </w:rPr>
            </w:pPr>
            <w:r>
              <w:rPr>
                <w:lang w:val="pt-BR"/>
              </w:rPr>
              <w:t xml:space="preserve">9,157</w:t>
            </w:r>
          </w:p>
        </w:tc>
        <w:tc>
          <w:tcPr>
            <w:tcW w:w="880" w:type="dxa"/>
            <w:vAlign w:val="center"/>
          </w:tcPr>
          <w:p>
            <w:pPr>
              <w:keepNext/>
              <w:spacing w:before="20" w:after="20" w:line="240" w:lineRule="auto"/>
              <w:jc w:val="center"/>
              <w:rPr>
                <w:lang w:val="pt-BR"/>
              </w:rPr>
            </w:pPr>
            <w:r>
              <w:rPr>
                <w:lang w:val="pt-BR"/>
              </w:rPr>
              <w:t xml:space="preserve">0,311</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214,109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31,97</w:t>
            </w:r>
          </w:p>
        </w:tc>
        <w:tc>
          <w:tcPr>
            <w:tcW w:w="940" w:type="dxa"/>
            <w:vAlign w:val="center"/>
          </w:tcPr>
          <w:p>
            <w:pPr>
              <w:keepNext/>
              <w:spacing w:before="20" w:after="20" w:line="240" w:lineRule="auto"/>
              <w:jc w:val="center"/>
              <w:rPr>
                <w:lang w:val="pt-BR"/>
              </w:rPr>
            </w:pPr>
            <w:r>
              <w:rPr>
                <w:lang w:val="pt-BR"/>
              </w:rPr>
              <w:t xml:space="preserve">1,080</w:t>
            </w:r>
          </w:p>
        </w:tc>
        <w:tc>
          <w:tcPr>
            <w:tcW w:w="1000" w:type="dxa"/>
            <w:vAlign w:val="center"/>
          </w:tcPr>
          <w:p>
            <w:pPr>
              <w:keepNext/>
              <w:spacing w:before="20" w:after="20" w:line="240" w:lineRule="auto"/>
              <w:jc w:val="center"/>
              <w:rPr>
                <w:lang w:val="pt-BR"/>
              </w:rPr>
            </w:pPr>
            <w:r>
              <w:rPr>
                <w:lang w:val="pt-BR"/>
              </w:rPr>
              <w:t xml:space="preserve">5,256</w:t>
            </w:r>
          </w:p>
        </w:tc>
        <w:tc>
          <w:tcPr>
            <w:tcW w:w="880" w:type="dxa"/>
            <w:vAlign w:val="center"/>
          </w:tcPr>
          <w:p>
            <w:pPr>
              <w:keepNext/>
              <w:spacing w:before="20" w:after="20" w:line="240" w:lineRule="auto"/>
              <w:jc w:val="center"/>
              <w:rPr>
                <w:lang w:val="pt-BR"/>
              </w:rPr>
            </w:pPr>
            <w:r>
              <w:rPr>
                <w:lang w:val="pt-BR"/>
              </w:rPr>
              <w:t xml:space="preserve">0,205</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234,109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18,16</w:t>
            </w:r>
          </w:p>
        </w:tc>
        <w:tc>
          <w:tcPr>
            <w:tcW w:w="940" w:type="dxa"/>
            <w:vAlign w:val="center"/>
          </w:tcPr>
          <w:p>
            <w:pPr>
              <w:keepNext/>
              <w:spacing w:before="20" w:after="20" w:line="240" w:lineRule="auto"/>
              <w:jc w:val="center"/>
              <w:rPr>
                <w:lang w:val="pt-BR"/>
              </w:rPr>
            </w:pPr>
            <w:r>
              <w:rPr>
                <w:lang w:val="pt-BR"/>
              </w:rPr>
              <w:t xml:space="preserve">0,352</w:t>
            </w:r>
          </w:p>
        </w:tc>
        <w:tc>
          <w:tcPr>
            <w:tcW w:w="1000" w:type="dxa"/>
            <w:vAlign w:val="center"/>
          </w:tcPr>
          <w:p>
            <w:pPr>
              <w:keepNext/>
              <w:spacing w:before="20" w:after="20" w:line="240" w:lineRule="auto"/>
              <w:jc w:val="center"/>
              <w:rPr>
                <w:lang w:val="pt-BR"/>
              </w:rPr>
            </w:pPr>
            <w:r>
              <w:rPr>
                <w:lang w:val="pt-BR"/>
              </w:rPr>
              <w:t xml:space="preserve">1,789</w:t>
            </w:r>
          </w:p>
        </w:tc>
        <w:tc>
          <w:tcPr>
            <w:tcW w:w="880" w:type="dxa"/>
            <w:vAlign w:val="center"/>
          </w:tcPr>
          <w:p>
            <w:pPr>
              <w:keepNext/>
              <w:spacing w:before="20" w:after="20" w:line="240" w:lineRule="auto"/>
              <w:jc w:val="center"/>
              <w:rPr>
                <w:lang w:val="pt-BR"/>
              </w:rPr>
            </w:pPr>
            <w:r>
              <w:rPr>
                <w:lang w:val="pt-BR"/>
              </w:rPr>
              <w:t xml:space="preserve">0,197</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3.2.9); τ</w:t>
      </w:r>
      <w:r>
        <w:rPr>
          <w:sz w:val="20"/>
          <w:szCs w:val="20"/>
          <w:vertAlign w:val="subscript"/>
          <w:lang w:val="pt-BR"/>
        </w:rPr>
        <w:t xml:space="preserve">g</w:t>
      </w:r>
      <w:r>
        <w:rPr>
          <w:sz w:val="20"/>
          <w:szCs w:val="20"/>
          <w:lang w:val="pt-BR"/>
        </w:rPr>
        <w:t xml:space="preserve"> considera o membro humano e o braço do exoesqueleto.</w:t>
      </w:r>
    </w:p>
    <w:p>
      <w:pPr>
        <w:keepNext/>
        <w:spacing w:before="120" w:after="60"/>
        <w:rPr>
          <w:lang w:val="pt-BR"/>
        </w:rPr>
      </w:pPr>
      <w:r>
        <w:rPr>
          <w:b/>
          <w:lang w:val="pt-BR"/>
        </w:rPr>
        <w:t xml:space="preserve">Figura 14: Torque do elástico com K = K</w:t>
      </w:r>
      <w:r>
        <w:rPr>
          <w:b/>
          <w:vertAlign w:val="subscript"/>
          <w:lang w:val="pt-BR"/>
        </w:rPr>
        <w:t xml:space="preserve">40</w:t>
      </w:r>
      <w:r>
        <w:rPr>
          <w:b/>
          <w:lang w:val="pt-BR"/>
        </w:rPr>
        <w:t xml:space="preserve"> no cenário de projeto, torque do peso do membro e do braço do exoesqueleto e alvo de 40%</w:t>
      </w:r>
    </w:p>
    <w:p>
      <w:pPr>
        <w:keepNext/>
        <w:spacing w:after="60"/>
        <w:jc w:val="center"/>
        <w:rPr>
          <w:lang w:val="pt-BR"/>
        </w:rPr>
      </w:pPr>
      <w:r>
        <w:rPr>
          <w:noProof/>
          <w:lang w:val="pt-BR"/>
        </w:rPr>
        <w:drawing>
          <wp:inline distT="0" distB="0" distL="0" distR="0">
            <wp:extent cx="5486400" cy="2880360"/>
            <wp:effectExtent l="0" t="0" r="0" b="0"/>
            <wp:docPr id="1009" name="Imagem 1009"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agem 1009" descr="Torque do elástico no cenário de projeto, torque do peso e 40 por cento do torque do peso em função da anteversão, com a razão entre eles indicada em 30, 60, 90, 120 e 150 graus."/>
                    <pic:cNvPicPr/>
                  </pic:nvPicPr>
                  <pic:blipFill>
                    <a:blip r:embed="rIdExo2F9"/>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1,44125 a 1,50164 N/mm, e o pico de τ, de 4,368 a 4,388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4.1.8,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83,60° e 177,05°, de modo que, no modelo, a subcompensação recai sobre a faixa acima da horizontal, onde se concentra o risco documentado por van der Molen et al. (2017) e Seidler et al. (2020). Como essa forma depende da geometria do CAD, que não reproduz a Figura 16 da patente (seção 4.2.5), a leitura vale para o modelo.</w:t>
      </w:r>
    </w:p>
    <w:p>
      <w:pPr>
        <w:pStyle w:val="Ttulo2"/>
        <w:rPr>
          <w:lang w:val="pt-BR"/>
        </w:rPr>
      </w:pPr>
      <w:r>
        <w:rPr>
          <w:lang w:val="pt-BR"/>
        </w:rPr>
        <w:t xml:space="preserve">4.2.10 Limitações dos resultados</w:t>
      </w:r>
    </w:p>
    <w:p>
      <w:pPr>
        <w:rPr>
          <w:lang w:val="pt-BR"/>
        </w:rPr>
      </w:pPr>
      <w:r>
        <w:rPr>
          <w:lang w:val="pt-BR"/>
        </w:rPr>
        <w:t xml:space="preserve">Além das limitações de escopo da seção 3.2.13, os resultados comportam as ressalvas da Tabela 25, que reúne o que falta para concluir cada etapa, a consequência da ausência e a forma de obter o dado. A principal é a diferença de forma entre o modelo e a Figura 16 da patente (seção 4.2.5):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4.1.1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q</w:t>
            </w:r>
            <w:r>
              <w:rPr>
                <w:vertAlign w:val="subscript"/>
                <w:lang w:val="pt-BR"/>
              </w:rPr>
              <w:t xml:space="preserve">0</w:t>
            </w:r>
            <w:r>
              <w:rPr>
                <w:lang w:val="pt-BR"/>
              </w:rPr>
              <w:t xml:space="preserve">, o contato,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3.2.3 e 4.2.4)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3.2.3)</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e</w:t>
            </w:r>
            <w:r>
              <w:rPr>
                <w:vertAlign w:val="subscript"/>
                <w:lang w:val="pt-BR"/>
              </w:rPr>
              <w:t xml:space="preserve">c</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e</w:t>
            </w:r>
            <w:r>
              <w:rPr>
                <w:vertAlign w:val="subscript"/>
                <w:lang w:val="pt-BR"/>
              </w:rPr>
              <w:t xml:space="preserve">c</w:t>
            </w:r>
          </w:p>
        </w:tc>
        <w:tc>
          <w:tcPr>
            <w:tcW w:w="3480" w:type="dxa"/>
            <w:vAlign w:val="center"/>
          </w:tcPr>
          <w:p>
            <w:pPr>
              <w:keepNext/>
              <w:spacing w:before="20" w:after="20" w:line="240" w:lineRule="auto"/>
              <w:rPr>
                <w:lang w:val="pt-BR"/>
              </w:rPr>
            </w:pPr>
            <w:r>
              <w:rPr>
                <w:lang w:val="pt-BR"/>
              </w:rPr>
              <w:t xml:space="preserve">Conferir e</w:t>
            </w:r>
            <w:r>
              <w:rPr>
                <w:vertAlign w:val="subscript"/>
                <w:lang w:val="pt-BR"/>
              </w:rPr>
              <w:t xml:space="preserve">c</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 = 0, preferido pela patente</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e</w:t>
            </w:r>
            <w:r>
              <w:rPr>
                <w:vertAlign w:val="subscript"/>
                <w:lang w:val="pt-BR"/>
              </w:rPr>
              <w:t xml:space="preserve">c</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4.2.11 Comparação com o exoesqueleto 1</w:t>
      </w:r>
    </w:p>
    <w:p>
      <w:pPr>
        <w:rPr>
          <w:lang w:val="pt-BR"/>
        </w:rPr>
      </w:pPr>
      <w:r>
        <w:rPr>
          <w:lang w:val="pt-BR"/>
        </w:rPr>
        <w:t xml:space="preserve">A Tabela 26 compara os dois dispositivos com os números das seções 4.1 e 4.2. Os ângulos são comparáveis porque as duas convenções medem o braço a partir da posição pendente: a elevação anatômica da seção 3.1.3 e a anteversão da seção 3.2.3.</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4.1)</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4.2)</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0,569 a 0,947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150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Membro humano e braço do exoesqueleto, pico de 10,604 N·m</w:t>
            </w:r>
          </w:p>
        </w:tc>
      </w:tr>
    </w:tbl>
    <w:p>
      <w:pPr>
        <w:spacing w:before="60" w:after="60"/>
        <w:rPr>
          <w:lang w:val="pt-BR"/>
        </w:rPr>
      </w:pPr>
      <w:r>
        <w:rPr>
          <w:sz w:val="20"/>
          <w:szCs w:val="20"/>
          <w:lang w:val="pt-BR"/>
        </w:rPr>
        <w:t xml:space="preserve">Fonte: elaborada pelo autor, com os resultados das seções 4.1 e 4.2.</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4.1.5).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4.1.8). Com o s</w:t>
      </w:r>
      <w:r>
        <w:rPr>
          <w:vertAlign w:val="subscript"/>
          <w:lang w:val="pt-BR"/>
        </w:rPr>
        <w:t xml:space="preserve">0</w:t>
      </w:r>
      <w:r>
        <w:rPr>
          <w:lang w:val="pt-BR"/>
        </w:rPr>
        <w:t xml:space="preserve"> adotado, a forma normalizada do elástico na EP 3 504 033 B1 acompanha a do peso de 46° a 84° e fica abaixo dela entre 84° e 177°, com diferença normalizada de até −0,270 em 139,3° (seção 4.2.9).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5.1 trata do gerador de torque da US 9.889.554 B2, e a seção 5.2, do dispositivo da EP 3 504 033 B1.</w:t>
      </w:r>
    </w:p>
    <w:p>
      <w:pPr>
        <w:pStyle w:val="Ttulo2"/>
        <w:rPr>
          <w:lang w:val="pt-BR"/>
        </w:rPr>
      </w:pPr>
      <w:r>
        <w:rPr>
          <w:lang w:val="pt-BR"/>
        </w:rPr>
        <w:t xml:space="preserve">5.1 Exoesqueleto 1</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5.2.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3.2, 4.2 e 5.2.</w:t>
      </w:r>
    </w:p>
    <w:p>
      <w:pPr>
        <w:pStyle w:val="Ttulo2"/>
        <w:rPr>
          <w:lang w:val="pt-BR"/>
        </w:rPr>
      </w:pPr>
      <w:r>
        <w:rPr>
          <w:lang w:val="pt-BR"/>
        </w:rPr>
        <w:t xml:space="preserve">5.2 Exoesqueleto 2</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e</w:t>
      </w:r>
      <w:r>
        <w:rPr>
          <w:vertAlign w:val="subscript"/>
          <w:lang w:val="pt-BR"/>
        </w:rPr>
        <w:t xml:space="preserve">c</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0,47 em 10°, 0,34 em 30°, 0,43 em 60°, 0,40 em 90° e 0,21 em 150°, com mínimo de 0,18 em 163,4°.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e</w:t>
      </w:r>
      <w:r>
        <w:rPr>
          <w:vertAlign w:val="subscript"/>
          <w:lang w:val="pt-BR"/>
        </w:rPr>
        <w:t xml:space="preserve">c</w:t>
      </w:r>
      <w:r>
        <w:rPr>
          <w:lang w:val="pt-BR"/>
        </w:rPr>
        <w:t xml:space="preserve"> mostrou que o elástico permanece tracionado em toda a faixa só para e</w:t>
      </w:r>
      <w:r>
        <w:rPr>
          <w:vertAlign w:val="subscript"/>
          <w:lang w:val="pt-BR"/>
        </w:rPr>
        <w:t xml:space="preserve">c</w:t>
      </w:r>
      <w:r>
        <w:rPr>
          <w:lang w:val="pt-BR"/>
        </w:rPr>
        <w:t xml:space="preserve"> ≤ 44,50 mm; o aumento de e</w:t>
      </w:r>
      <w:r>
        <w:rPr>
          <w:vertAlign w:val="subscript"/>
          <w:lang w:val="pt-BR"/>
        </w:rPr>
        <w:t xml:space="preserve">c</w:t>
      </w:r>
      <w:r>
        <w:rPr>
          <w:lang w:val="pt-BR"/>
        </w:rPr>
        <w:t xml:space="preserve"> antecipa a transição de regime, de 26,91° para 14,46°, e desloca o pico do torque de 84,7° para 74,8° entre e</w:t>
      </w:r>
      <w:r>
        <w:rPr>
          <w:vertAlign w:val="subscript"/>
          <w:lang w:val="pt-BR"/>
        </w:rPr>
        <w:t xml:space="preserve">c</w:t>
      </w:r>
      <w:r>
        <w:rPr>
          <w:lang w:val="pt-BR"/>
        </w:rPr>
        <w:t xml:space="preserve"> = 25 mm e e</w:t>
      </w:r>
      <w:r>
        <w:rPr>
          <w:vertAlign w:val="subscript"/>
          <w:lang w:val="pt-BR"/>
        </w:rPr>
        <w:t xml:space="preserve">c</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3.2.12.</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e o valor de e</w:t>
      </w:r>
      <w:r>
        <w:rPr>
          <w:vertAlign w:val="subscript"/>
          <w:lang w:val="pt-BR"/>
        </w:rPr>
        <w:t xml:space="preserve">c</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v. 21, n. 7, art. 071006, jul. 2026.</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p>
      <w:r>
        <w:t xml:space="preserve">ZEIAEE, A. et al. Design and kinematic analysis of a novel upper limb exoskeleton for rehabilitation of stroke patients. In: INTERNATIONAL CONFERENCE ON REHABILITATION ROBOTICS (ICORR), 2017, Londres. </w:t>
      </w:r>
      <w:r>
        <w:rPr>
          <w:b/>
        </w:rPr>
        <w:t>Proceedings</w:t>
      </w:r>
      <w:r>
        <w:t xml:space="preserve"> [...]. [S.l.]: IEEE, 2017. p. 759-764. DOI: </w:t>
      </w:r>
      <w:hyperlink r:id="rIdExo2Doi2" w:history="1">
        <w:r>
          <w:rPr>
            <w:rStyle w:val="Hyperlink"/>
          </w:rPr>
          <w:t>10.1109/ICORR.2017.8009339</w:t>
        </w:r>
      </w:hyperlink>
      <w: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F8" Type="http://schemas.openxmlformats.org/officeDocument/2006/relationships/image" Target="media/exo2_8.png"/><Relationship Id="rIdExo2F9" Type="http://schemas.openxmlformats.org/officeDocument/2006/relationships/image" Target="media/exo2_9.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 Id="rIdExo2Doi2" Type="http://schemas.openxmlformats.org/officeDocument/2006/relationships/hyperlink" Target="https://doi.org/10.1109/ICORR.2017.8009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