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52B92" w14:textId="77777777" w:rsidR="00FD1B34" w:rsidRPr="00955B75" w:rsidRDefault="00000000">
      <w:pPr>
        <w:pStyle w:val="Ttulo1"/>
        <w:rPr>
          <w:lang w:val="pt-BR"/>
        </w:rPr>
      </w:pPr>
      <w:r>
        <w:rPr>
          <w:lang w:val="pt-BR"/>
        </w:rPr>
        <w:t>Modelagem e simulação de mecanismos passivos de apoio ao braço</w:t>
      </w:r>
    </w:p>
    <w:p w14:paraId="1D605F23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 INTRODUÇÃO</w:t>
      </w:r>
    </w:p>
    <w:p w14:paraId="152E7EB6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Vários setores como: Montagem automotiva, construção civil, solda e manutenção industrial exigem do trabalhador a manutenção dos braços elevados, muitas vezes acima da linha dos ombros. A análise de van der Molen et al. (2017) associa a elevação dos braços ao dobro do risco de distúrbios na articulação ombro, e Seidler et al. (2020) estimam aumento de 21% no risco a cada mil horas de trabalho com as mãos acima dessa linha.</w:t>
      </w:r>
    </w:p>
    <w:p w14:paraId="33BFBA0D" w14:textId="77777777" w:rsidR="00FD1B34" w:rsidRPr="00955B75" w:rsidRDefault="00000000">
      <w:pPr>
        <w:rPr>
          <w:lang w:val="pt-BR"/>
        </w:rPr>
      </w:pPr>
      <w:r>
        <w:rPr>
          <w:lang w:val="pt-BR"/>
        </w:rPr>
        <w:t>Em 2025, no Brasil, foram concedidos 4,12 milhões afastamentos por incapacidade temporária, e as lesões do ombro (CID M75) ficaram entre as maiores causas, com 135.093 concessões (AGÊNCIA BRASIL, 2026). Na série de 2008 a 2018, os distúrbios osteomusculares relacionados ao trabalho responderam por 786.923 benefícios acidentários, e o CID M75 foi a razão de afastamento mais frequente entre as mulheres (MANOEL; CAVALCANTE, 2025).</w:t>
      </w:r>
    </w:p>
    <w:p w14:paraId="5D514576" w14:textId="77777777" w:rsidR="00FD1B34" w:rsidRPr="00955B75" w:rsidRDefault="00000000">
      <w:pPr>
        <w:rPr>
          <w:lang w:val="pt-BR"/>
        </w:rPr>
      </w:pPr>
      <w:r>
        <w:rPr>
          <w:lang w:val="pt-BR"/>
        </w:rPr>
        <w:t>Os exoesqueletos surgem, então, como uma das respostas a esse problema. Os modelos passivos, que devolvem ao usuário a energia armazenada em molas, são os modelos predominantes no meio industrial por serem leves, baratos e independentes de fonte externa de energia (DE LOOZE et al., 2016; REYES et al., 2023). Revisões de estudos experimentais sugerem redução consistente da atividade dos deltoides e do trapézio durante o trabalho acima da cabeça (BÄR et al., 2021; MOELLER et al., 2022).</w:t>
      </w:r>
    </w:p>
    <w:p w14:paraId="11E29750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Em um dispositivo passivo o auxílio é consequência da geometria do mecanismo e da mola. O torque entregue é uma função do ângulo de elevação, e projetar o dispositivo significa aproximar essa curva do torque gravitacional do braço. Quando as duas curvas se afastam, o exoesqueleto ajuda demais em uma faixa e de menos em outra, provocando uma compensação com a musculatura do usuário (NASR; FERGUSON; McPHEE, 2022).</w:t>
      </w:r>
    </w:p>
    <w:p w14:paraId="3CD38A91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Os modelos que chegaram ao mercado estão descritos em patentes, que detalham o mecanismo, mas não permitem quantificá-lo: apesar de conter as curvas de torque nos eixos, nenhuma delas informa massa, inércia ou rigidez. Avaliar um mecanismo desses exige reconstruir sua geometria e resolver o problema em duas etapas, o equilíbrio estático, que dimensiona a compensação de gravidade, e a dinâmica multicorpos, que expõe inércia, forças de Coriolis e atrito durante o movimento real.</w:t>
      </w:r>
    </w:p>
    <w:p w14:paraId="1A77A07D" w14:textId="77777777" w:rsidR="00FD1B34" w:rsidRPr="00955B75" w:rsidRDefault="00000000">
      <w:pPr>
        <w:rPr>
          <w:lang w:val="pt-BR"/>
        </w:rPr>
      </w:pPr>
      <w:r>
        <w:rPr>
          <w:lang w:val="pt-BR"/>
        </w:rPr>
        <w:t>Este trabalho trata dessa lacuna: modelar e simular, de forma integrada, o comportamento estático e dinâmico de mecanismos passivos de apoio ao braço reconstruídos a partir de suas patentes, usando formulações amplamente conhecidas como a formulação de Lagrange e parâmetros antropométricos de referência.</w:t>
      </w:r>
    </w:p>
    <w:p w14:paraId="7A549DA5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1.1 Objetivos</w:t>
      </w:r>
    </w:p>
    <w:p w14:paraId="1B30B2A9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1.1.1 Objetivo geral</w:t>
      </w:r>
    </w:p>
    <w:p w14:paraId="3642D0A4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Modelar e simular o comportamento estático e dinâmico de mecanismos passivos de apoio ao braço descritos em patentes, tomando como caso de referência o gerador de torque de mola da US 9.889.554 </w:t>
        <w:lastRenderedPageBreak/>
        <w:t>B2, US 9.737.374 B2 e da EP 3 504 033 B1 e comparar o torque entregue pelo mecanismo ao torque gravitacional do conjunto braço–exoesqueleto ao longo da faixa de elevação.</w:t>
      </w:r>
    </w:p>
    <w:p w14:paraId="3C4AF5DA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1.1.2 Objetivos específicos</w:t>
      </w:r>
    </w:p>
    <w:p w14:paraId="22C6709B" w14:textId="77777777" w:rsidR="00FD1B34" w:rsidRPr="00955B75" w:rsidRDefault="00000000">
      <w:pPr>
        <w:rPr>
          <w:lang w:val="pt-BR"/>
        </w:rPr>
      </w:pPr>
      <w:r>
        <w:rPr>
          <w:lang w:val="pt-BR"/>
        </w:rPr>
        <w:t>a) reconstruir em CAD a geometria do gerador de torque a partir dos desenhos da patente e extrair massa, centro de massa e momentos de inércia de cada peça;</w:t>
      </w:r>
    </w:p>
    <w:p w14:paraId="31DABDEE" w14:textId="77777777" w:rsidR="00FD1B34" w:rsidRPr="00955B75" w:rsidRDefault="00000000">
      <w:pPr>
        <w:rPr>
          <w:lang w:val="pt-BR"/>
        </w:rPr>
      </w:pPr>
      <w:r>
        <w:rPr>
          <w:lang w:val="pt-BR"/>
        </w:rPr>
        <w:t>b) estimar os parâmetros inerciais de braço, antebraço e mão segundo de Leva (1996) e transportá-los ao eixo da junta pelo teorema dos eixos paralelos;</w:t>
      </w:r>
    </w:p>
    <w:p w14:paraId="2FB52236" w14:textId="77777777" w:rsidR="00FD1B34" w:rsidRPr="00955B75" w:rsidRDefault="00000000">
      <w:pPr>
        <w:rPr>
          <w:lang w:val="pt-BR"/>
        </w:rPr>
      </w:pPr>
      <w:r>
        <w:rPr>
          <w:lang w:val="pt-BR"/>
        </w:rPr>
        <w:t>c) formular a cinemática de circuito fechado do mecanismo, obtendo o comprimento do cabo, a condição de tangência na polia, o braço de momento e o torque em função do ângulo;</w:t>
      </w:r>
    </w:p>
    <w:p w14:paraId="52EE47C9" w14:textId="77777777" w:rsidR="00FD1B34" w:rsidRPr="00955B75" w:rsidRDefault="00000000">
      <w:pPr>
        <w:rPr>
          <w:lang w:val="pt-BR"/>
        </w:rPr>
      </w:pPr>
      <w:r>
        <w:rPr>
          <w:lang w:val="pt-BR"/>
        </w:rPr>
        <w:t>d) identificar, por mínimos quadrados e sob restrições geométricas declaradas, os parâmetros que a patente não informa — posição da ancoragem, comprimento livre e rigidez da mola e calibração angular;</w:t>
      </w:r>
    </w:p>
    <w:p w14:paraId="1A44BF84" w14:textId="77777777" w:rsidR="00FD1B34" w:rsidRPr="00955B75" w:rsidRDefault="00000000">
      <w:pPr>
        <w:rPr>
          <w:lang w:val="pt-BR"/>
        </w:rPr>
      </w:pPr>
      <w:r>
        <w:rPr>
          <w:lang w:val="pt-BR"/>
        </w:rPr>
        <w:t>e) calcular, de forma independente da cadeia do cabo, o torque gravitacional do conjunto braço–exoesqueleto e confrontar as duas curvas ao longo da faixa de elevação;</w:t>
      </w:r>
    </w:p>
    <w:p w14:paraId="5A73E818" w14:textId="77777777" w:rsidR="00FD1B34" w:rsidRPr="00955B75" w:rsidRDefault="00000000">
      <w:pPr>
        <w:rPr>
          <w:lang w:val="pt-BR"/>
        </w:rPr>
      </w:pPr>
      <w:r>
        <w:rPr>
          <w:lang w:val="pt-BR"/>
        </w:rPr>
        <w:t>f) obter a equação de movimento pela formulação de Lagrange e integrá-la numericamente, avaliando a resposta sob velocidades e acelerações transitórias;</w:t>
      </w:r>
    </w:p>
    <w:p w14:paraId="2B9BC2F4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g) acoplar o modelo ao MBDyn por meio de força estrutural externa, com troca de dados via </w:t>
      </w:r>
      <w:r>
        <w:rPr>
          <w:i/>
          <w:lang w:val="pt-BR"/>
        </w:rPr>
        <w:t>socket</w:t>
      </w:r>
      <w:r>
        <w:rPr>
          <w:lang w:val="pt-BR"/>
        </w:rPr>
        <w:t xml:space="preserve">, para a simulação multicorpos do conjunto humano–exoesqueleto.</w:t>
      </w:r>
    </w:p>
    <w:p w14:paraId="1192C324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1.2 Justificativa</w:t>
      </w:r>
    </w:p>
    <w:p w14:paraId="4654EDE8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auxílio de um exoesqueleto passivo depende apenas da geometria e da mola, parâmetros que são definidos durante o projeto e inalteráveis após a manufatura do modelo. Um modelo confiável permite estudar rigidez, pré-carga e posição dos suportes antes do protótipo físico, quando mudar ainda é barato, e permite comparar mecanismos concorrentes sobre a mesma base quantitativa — algo que as patentes, por si, não oferecem.</w:t>
      </w:r>
    </w:p>
    <w:p w14:paraId="4337AF1A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escolha de ferramentas livres, Python e MBDyn, torna o modelo reprodutível por outros grupos e extensível a sistemas multicorpos mais completos. E o tema tem endereço local: as lesões de ombro continuam entre as principais causas de afastamento no país, em setores que concentram trabalho acima da cabeça.</w:t>
      </w:r>
    </w:p>
    <w:p w14:paraId="4A455FC5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 FUNDAMENTAÇÃO TEÓRICA</w:t>
      </w:r>
    </w:p>
    <w:p w14:paraId="6277F4E9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2.1 Carga do ombro no trabalho acima da cabeça</w:t>
      </w:r>
    </w:p>
    <w:p w14:paraId="2EFB8183" w14:textId="77777777" w:rsidR="00FD1B34" w:rsidRPr="00955B75" w:rsidRDefault="00000000">
      <w:pPr>
        <w:rPr>
          <w:lang w:val="pt-BR"/>
        </w:rPr>
      </w:pPr>
      <w:r>
        <w:rPr>
          <w:lang w:val="pt-BR"/>
        </w:rPr>
        <w:t>Durante atividades que exigem a manutenção dos braços elevados, o sistema musculoesquelético é submetido a demandas intensas de torque articular (MOELLER et al., 2022; PERRY; ROSEN; BURNS, 2007). A contração dos músculos flexores e abdutores para vencer a gravidade induz à fadiga precoce e eleva o risco de Distúrbios Osteomusculares Relacionados ao Trabalho (DORT).</w:t>
      </w:r>
    </w:p>
    <w:p w14:paraId="01A44387" w14:textId="77777777" w:rsidR="00FD1B34" w:rsidRPr="00955B75" w:rsidRDefault="00000000">
      <w:pPr>
        <w:rPr>
          <w:lang w:val="pt-BR"/>
        </w:rPr>
      </w:pPr>
      <w:r>
        <w:rPr>
          <w:lang w:val="pt-BR"/>
        </w:rPr>
        <w:lastRenderedPageBreak/>
        <w:t xml:space="preserve">A evidência epidemiológica disponível indica relação dose-dependente entre a exposição postural e o desfecho clínico. A meta-análise de van der Molen et al. (2017) atribui à elevação de braços e mãos a duplicação do risco de distúrbios específicos do ombro, enquanto Seidler et al. (2020) quantificam acréscimo de 21% no risco a cada mil horas acumuladas de trabalho com as mãos acima da linha dos ombros — faixa angular na qual se intensifica a compressão subacromial sobre os tendões do manguito rotador.</w:t>
      </w:r>
    </w:p>
    <w:p w14:paraId="15BF49B8" w14:textId="77777777" w:rsidR="00FD1B34" w:rsidRPr="00955B75" w:rsidRDefault="00000000">
      <w:pPr>
        <w:rPr>
          <w:lang w:val="pt-BR"/>
        </w:rPr>
      </w:pPr>
      <w:r>
        <w:rPr>
          <w:lang w:val="pt-BR"/>
        </w:rPr>
        <w:t>O torque exigido do ombro depende do ângulo de elevação (</w:t>
      </w:r>
      <w:r>
        <w:t>θ</w:t>
      </w:r>
      <w:r>
        <w:rPr>
          <w:lang w:val="pt-BR"/>
        </w:rPr>
        <w:t xml:space="preserve">). Sob condições estáticas ou semiestáticas, o momento gravitacional sobre o conjunto braço–antebraço varia proporcionalmente ao seno do ângulo articular, com pico quando o segmento fica perpendicular ao vetor da gravidade, a 90° de elevação (GRAZI et al., 2020; PALAZZI et al., 2022). É esse perfil que qualquer dispositivo de apoio precisa acompanhar.</w:t>
      </w:r>
    </w:p>
    <w:p w14:paraId="667BC9BF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2.2 Exoesqueletos de membro superior</w:t>
      </w:r>
    </w:p>
    <w:p w14:paraId="35F788AE" w14:textId="77777777" w:rsidR="00FD1B34" w:rsidRPr="00955B75" w:rsidRDefault="00000000">
      <w:pPr>
        <w:rPr>
          <w:lang w:val="pt-BR"/>
        </w:rPr>
      </w:pPr>
      <w:r>
        <w:rPr>
          <w:lang w:val="pt-BR"/>
        </w:rPr>
        <w:t>Avanços na robótica e na biomecânica aceleraram o desenvolvimento de exoesqueletos que interagem com a estrutura musculoesquelética humana (GULL; BAI; BAK, 2020). Na reabilitação, apoiam pacientes com sequelas neurológicas, como as do Acidente Vascular Cerebral (BARSOTTI et al., 2015; BOUTERAA; BEN ABDALLAH, 2016; ZEIAEE et al., 2017); na indústria, reduzem a sobrecarga física de trabalhadores (MOELLER et al., 2022; SPADA et al., 2017).</w:t>
      </w:r>
    </w:p>
    <w:p w14:paraId="744346BC" w14:textId="77777777" w:rsidR="00FD1B34" w:rsidRDefault="00000000">
      <w:r>
        <w:rPr>
          <w:lang w:val="pt-BR"/>
        </w:rPr>
        <w:t xml:space="preserve">Quanto à fonte de energia empregada, tais dispositivos classificam-se em ativos, que incorporam atuadores, sensores e malhas de controle (PERRY; ROSEN; BURNS, 2007; RAHMAN et al., 2015); passivos, que armazenam e restituem energia por meio de elementos elásticos, sem qualquer fonte externa de potência; e semipassivos, que regulam mecanicamente o nível de assistência sem, contudo, injetar energia no movimento (GRAZI et al., 2020). No contexto ocupacional de apoio ao ombro, as arquiteturas passivas predominam, e o estado da arte, os desafios abertos e as direções futuras de pesquisa desse grupo encontram-se sistematizados por Reyes et al. </w:t>
      </w:r>
      <w:r>
        <w:t>(2023).</w:t>
      </w:r>
    </w:p>
    <w:p w14:paraId="53FD9E18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No caso dos dispositivos ativos, o desempenho é condicionado tanto pela arquitetura mecânica quanto pela instrumentação responsável por estimar a intenção de movimento do usuário. Atia et al. (2018) acompanham a cinemática do braço por unidades inerciais em protótipo de baixo custo, ao passo que Obukhov et al. (2025) recorrem à fusão de eletromiografia, unidades inerciais e rastreadores de realidade virtual para classificar a atividade motora que comanda o exoesqueleto. Tal aparato instrumental inexiste nos dispositivos passivos, nos quais a assistência fica integralmente determinada na etapa de projeto do mecanismo — circunstância que confere ao modelo preditivo um peso que ele não teria em um sistema controlado.</w:t>
      </w:r>
    </w:p>
    <w:p w14:paraId="43A6EC0A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Entre os passivos destinados ao levantamento de cargas, Ning et al. (2023) organizam a estrutura em módulos de braço, ombro e costas e dimensionam o conjunto a partir da tração da mola. Os efeitos documentados pela literatura experimental apresentam direção consistente, porém magnitude variável: a meta-análise de Bär et al. (2021) reúne as reduções de esforço físico agudo associadas ao uso de exoesqueletos ocupacionais, e Moeller et al. (2022) registram diminuição da atividade de deltoide e trapézio na maioria dos 35 estudos revisados, acompanhada, entretanto, de efeitos indesejados quando o ajuste do dispositivo não corresponde à tarefa executada.</w:t>
      </w:r>
    </w:p>
    <w:p w14:paraId="75BA15FE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lastRenderedPageBreak/>
        <w:t>2.3 Compensação de gravidade em mecanismos passivos</w:t>
      </w:r>
    </w:p>
    <w:p w14:paraId="7EEAB3B8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compensação de gravidade constitui problema clássico da síntese de mecanismos. Arakelian (2016) sistematiza as soluções em três grupos, definidos pela natureza da força compensadora — contrapesos, molas ou força ativa proveniente de atuador auxiliar —, e Nguyen (2026) atualiza o panorama das alternativas estritamente passivas e de seus limites de aplicação. Em exoesqueletos vestíveis, a inviabilidade do contrapeso impõe o predomínio da solução elástica, quase sempre associada a cabos, polias ou cames encarregados de moldar a curva de torque; nessa linha, Ning et al. (2022) projetam o perfil da came a partir do módulo de armazenamento de energia da mola e validam o resultado por eletromiografia.</w:t>
      </w:r>
    </w:p>
    <w:p w14:paraId="0CFDA331" w14:textId="77777777" w:rsidR="00FD1B34" w:rsidRPr="00955B75" w:rsidRDefault="00000000">
      <w:pPr>
        <w:rPr>
          <w:lang w:val="pt-BR"/>
        </w:rPr>
      </w:pPr>
      <w:r>
        <w:rPr>
          <w:lang w:val="pt-BR"/>
        </w:rPr>
        <w:t>A patente US 9.889.554 B2 (VAN ENGELHOVEN; KAZEROONI, 2018) descreve arranjo dessa natureza: um elo proximal, solidário a uma base fixada ao tronco, articula-se com um elo distal que acompanha o braço, e um gerador de força de tração, constituído por mola e cabo tensionado sobre uma polia, produz o torque de apoio. Abaixo de um ângulo de transição (</w:t>
      </w:r>
      <w:r>
        <w:rPr>
          <w:i/>
          <w:lang w:val="pt-BR"/>
        </w:rPr>
        <w:t xml:space="preserve">toggle angle</w:t>
      </w:r>
      <w:r>
        <w:rPr>
          <w:lang w:val="pt-BR"/>
        </w:rPr>
        <w:t>), uma protuberância situada junto à junta restringe a mola, de modo que o torque decai a valor residual e o membro recupera liberdade de movimento. A patente EP 3 504 033 B1 (OTTOBOCK, 2023), por sua vez, endereça o mesmo problema por caminho construtivo distinto, transmitindo a força de um atuador passivo por meio de elemento rígido apoiado na pelve.</w:t>
      </w:r>
    </w:p>
    <w:p w14:paraId="796A4053" w14:textId="77777777" w:rsidR="00FD1B34" w:rsidRPr="00955B75" w:rsidRDefault="00000000">
      <w:pPr>
        <w:rPr>
          <w:lang w:val="pt-BR"/>
        </w:rPr>
      </w:pPr>
      <w:r>
        <w:rPr>
          <w:lang w:val="pt-BR"/>
        </w:rPr>
        <w:t>Em ambos os documentos, contudo, as figuras exibem apenas a forma dos perfis de torque, desprovidas de escala nos eixos, o que inviabiliza o aproveitamento direto dos dados publicados e motiva a reconstrução geométrica adotada neste trabalho.</w:t>
      </w:r>
    </w:p>
    <w:p w14:paraId="7C32B2D3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2.4 Curva torque × ângulo e ajuste ao perfil gravitacional</w:t>
      </w:r>
    </w:p>
    <w:p w14:paraId="40034077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mapeamento da curva torque × ângulo gerada pelo mecanismo permite alinhar o perfil de suporte elástico à curva anatômica de carga do braço, otimizando a entrega de torque nas posições de maior exigência (NING et al., 2022; OKABE et al., 2025). Palazzi et al. (2022) mostram, em um exoesqueleto balanceado por gravidade, redução de 89% no torque de pico do ombro quando esse ajuste é bem resolvido.</w:t>
      </w:r>
    </w:p>
    <w:p w14:paraId="57CCD9CA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ajuste, entretanto, encontra limite intrínseco à natureza passiva do dispositivo. Nasr, Ferguson e McPhee (2022) otimizam mecanismos passivos de ombro mediante simulação dinâmica inversa e equações algébrico-diferenciais e concluem que um mecanismo dessa classe entrega torque específico para cada ângulo de elevação, condição que o torna adequado a uma tarefa e inadequado às demais. Daí decorrem as soluções semipassivas de assistência regulável (GRAZI et al., 2020) e as configurações ativo-passivas (NASR; BELL; McPHEE, 2023); na primeira direção, Grazi et al. (2022) regulam o nível de assistência em tempo real a partir dos sinais cinemáticos captados pelos próprios sensores embarcados no dispositivo.</w:t>
      </w:r>
    </w:p>
    <w:p w14:paraId="68CBFBF0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2.5 Compatibilidade cinemática e forças de interface</w:t>
      </w:r>
    </w:p>
    <w:p w14:paraId="748D130E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membro superior tem arquitetura anatômica complexa, com destaque para o complexo do ombro, modelável como junta de três graus de rotação cujo centro glenoumeral se desloca durante a elevação do braço (GOPURA; KIGUCHI, 2009; SHEN et al., 2020). Os desalinhamentos entre os eixos de rotação da estrutura e as articulações biológicas geram hiperestaticidade e, com ela, forças parasitas de </w:t>
        <w:lastRenderedPageBreak/>
        <w:t>cisalhamento e pressão excessiva nos apoios de fixação, comprometendo conforto e eficiência (ZEIAEE et al., 2017).</w:t>
      </w:r>
    </w:p>
    <w:p w14:paraId="6320FD5D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Näf et al. (2018) revisam nove categorias de estratégias de compensação de desalinhamento e as avaliam segundo o domínio de aplicação e os requisitos específicos de cada um, ao passo que Yoon et al. (2022) demonstram que a otimização da posição das juntas de um exoesqueleto de ombro reduz simultaneamente a força de interação e o volume ocupado pela estrutura. Tais forças de contato constituem, precisamente, uma das grandezas de saída que o modelo desenvolvido neste trabalho se propõe a estimar.</w:t>
      </w:r>
    </w:p>
    <w:p w14:paraId="03A4CD9A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 xml:space="preserve">2.6 Modelagem dinâmica multicorpos</w:t>
      </w:r>
    </w:p>
    <w:p w14:paraId="6470473D" w14:textId="77777777" w:rsidR="00FD1B34" w:rsidRPr="00955B75" w:rsidRDefault="00000000">
      <w:pPr>
        <w:rPr>
          <w:lang w:val="pt-BR"/>
        </w:rPr>
      </w:pPr>
      <w:r>
        <w:rPr>
          <w:lang w:val="pt-BR"/>
        </w:rPr>
        <w:t>A análise de equilíbrio estático dimensiona a compensação de gravidade (PALAZZI et al., 2022), mas durante o movimento real ela é sobreposta por componentes dinâmicas: matriz de inércia M(</w:t>
      </w:r>
      <w:r>
        <w:t>θ</w:t>
      </w:r>
      <w:r>
        <w:rPr>
          <w:lang w:val="pt-BR"/>
        </w:rPr>
        <w:t>), forças de Coriolis e centrífugas C(</w:t>
      </w:r>
      <w:r>
        <w:t>θ</w:t>
      </w:r>
      <w:r>
        <w:rPr>
          <w:lang w:val="pt-BR"/>
        </w:rPr>
        <w:t>,</w:t>
      </w:r>
      <w:r>
        <w:t>θ</w:t>
      </w:r>
      <w:r>
        <w:rPr>
          <w:lang w:val="pt-BR"/>
        </w:rPr>
        <w:t>'), atrito articular não linear com folga (</w:t>
      </w:r>
      <w:r>
        <w:rPr>
          <w:i/>
          <w:lang w:val="pt-BR"/>
        </w:rPr>
        <w:t>backlash</w:t>
      </w:r>
      <w:r>
        <w:rPr>
          <w:lang w:val="pt-BR"/>
        </w:rPr>
        <w:t xml:space="preserve">) e histerese nos mecanismos de transmissão (RAHMAN et al., 2015; WANG et al., 2022). Daí a necessidade de estender o modelo a uma análise multicorpos, pela formulação de Euler-Lagrange ou por equações algébrico-diferenciais, avaliando o comportamento sob velocidades e acelerações transitórias.</w:t>
      </w:r>
    </w:p>
    <w:p w14:paraId="4269D523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Os parâmetros inerciais dos segmentos corporais que alimentam essa formulação provêm de tabelas antropométricas: de Leva (1996) ajusta os valores de Zatsiorsky e Seluyanov aos centros articulares, procedimento que viabiliza o transporte de massa e momentos de inércia ao eixo da junta do exoesqueleto pelo teorema dos eixos paralelos.</w:t>
      </w:r>
    </w:p>
    <w:p w14:paraId="712281B8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MBDyn, programa livre de dinâmica multicorpos desenvolvido no Politecnico di Milano, integra sistemas dessa natureza segundo a formulação apresentada por Masarati, Morandini e Mantegazza (2014) e admite forças externas trocadas por </w:t>
      </w:r>
      <w:r>
        <w:rPr>
          <w:i/>
          <w:lang w:val="pt-BR"/>
        </w:rPr>
        <w:t>socket</w:t>
      </w:r>
      <w:r>
        <w:rPr>
          <w:lang w:val="pt-BR"/>
        </w:rPr>
        <w:t xml:space="preserve">, o que viabiliza o acoplamento com um modelo implementado em Python. Trabalhos recentes percorrem esse caminho: Nasr, Ferguson e McPhee (2022) e Nasr, Bell e McPhee (2023) modelam o conjunto humano–exoesqueleto como cadeia cinemática fechada, enquanto Musso, Oliveira e Bai (2022) descrevem matematicamente um exoesqueleto passivo não rígido e o avaliam por simulação musculoesquelética.</w:t>
      </w:r>
    </w:p>
    <w:p w14:paraId="53D76029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2.7 Arquiteturas passivas de apoio ao ombro</w:t>
      </w:r>
    </w:p>
    <w:p w14:paraId="0890E987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Três arquiteturas comerciais consolidaram soluções distintas para esse mesmo problema. O shoulderX, desenvolvido na Universidade da Califórnia em Berkeley, gera o torque por conjunto mola–cabo–polia montado entre um elo proximal e um elo distal: a mola traciona um cabo que contorna a polia solidária ao elo distal, e uma protuberância junto à junta restringe o gerador de força além do ângulo de transição, instaurando a zona neutra em que o torque é praticamente nulo com o braço baixado (VAN ENGELHOVEN; KAZEROONI, 2018).</w:t>
      </w:r>
    </w:p>
    <w:p w14:paraId="3A5B9159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Airframe, da Levitate Technologies, adota sistema adaptativo de apoio no qual o elemento elástico é progressivamente engajado à medida que o braço se eleva, transferindo-se a carga ao tronco e à cintura pélvica (DOYLE, 2017). Já o Paexo, da Ottobock, emprega elemento elástico atuando sobre braço de alavanca ajustável, de modo que o suporte é máximo com o braço próximo da horizontal e se anula com o braço junto ao corpo (OTTOBOCK, 2023). Apesar das diferenças construtivas, as três soluções perseguem idêntico objetivo funcional: sintetizar, por meio da geometria e de um único elemento </w:t>
        <w:lastRenderedPageBreak/>
        <w:t>elástico, perfil de torque que acompanhe o momento gravitacional do membro superior ao longo da elevação.</w:t>
      </w:r>
    </w:p>
    <w:p w14:paraId="65E3CABD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avaliação experimental desses dispositivos evidencia, contudo, que o ganho não é automático. Kim et al. (2018a) relatam redução de até 45% no pico de atividade muscular do ombro em tarefas simuladas de furar e montar acima da cabeça, acompanhada de queda no tempo de execução e de aumento no número de erros; em trabalho complementar, os mesmos autores documentam efeitos não previstos sobre a cinemática do ombro, o equilíbrio postural e a carga na coluna (KIM et al., 2018b). A leitura de projeto que daí decorre é direta: o benefício depende menos da magnitude do torque fornecido do que de sua distribuição angular, o que converte o requisito de projeto em uma curva </w:t>
      </w:r>
      <w:r>
        <w:t>τ</w:t>
      </w:r>
      <w:r>
        <w:rPr>
          <w:lang w:val="pt-BR"/>
        </w:rPr>
        <w:t>(</w:t>
      </w:r>
      <w:r>
        <w:t>θ</w:t>
      </w:r>
      <w:r>
        <w:rPr>
          <w:lang w:val="pt-BR"/>
        </w:rPr>
        <w:t>), e não em valor isolado de torque máximo.</w:t>
      </w:r>
    </w:p>
    <w:p w14:paraId="6EE59278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2.8 Balanceamento estático por molas</w:t>
      </w:r>
    </w:p>
    <w:p w14:paraId="7830EF51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síntese de um perfil de torque por meio de molas dispõe de base teórica consolidada. Herder (2001) formaliza os sistemas de energia nula, nos quais a soma das energias potenciais gravitacional e elástica permanece constante em toda a faixa de movimento, e demonstra que o balanceamento perfeito exige molas de comprimento livre nulo, obtidas na prática por arranjos de cabo e polia.</w:t>
      </w:r>
    </w:p>
    <w:p w14:paraId="0859DBA8" w14:textId="77777777" w:rsidR="00FD1B34" w:rsidRPr="00955B75" w:rsidRDefault="00000000">
      <w:pPr>
        <w:rPr>
          <w:lang w:val="pt-BR"/>
        </w:rPr>
      </w:pPr>
      <w:r>
        <w:rPr>
          <w:lang w:val="pt-BR"/>
        </w:rPr>
        <w:t>Wu, Wang e Du (2016) aplicam o princípio a um exoesqueleto de membro superior e relatam redução de 34,6% no consumo de potência em relação à configuração não balanceada. Em exoesqueletos vestíveis, porém, o balanceamento perfeito não constitui o alvo: as restrições de empacotamento, o curso admissível da mola e a exigência de anular o suporte com o braço baixado convertem o problema em exercício de projeto restrito, no qual se busca a melhor aproximação de um perfil desejado dentro de limites construtivos, e não a compensação integral do peso. Por essa razão, o torque de um mecanismo passivo resulta do produto entre a força elástica, função da extensão da mola, e o braço de momento do cabo, ambos dependentes da configuração de forma não linear.</w:t>
      </w:r>
    </w:p>
    <w:p w14:paraId="7A4C7ECA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2.9 Parâmetros inerciais do membro superior e transporte de eixos</w:t>
      </w:r>
    </w:p>
    <w:p w14:paraId="63A90584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O cálculo do torque gravitacional e das equações de movimento pressupõe o conhecimento da massa, da posição do centro de massa e dos momentos de inércia de braço, antebraço e mão. De Leva (1996) ajusta os dados de Zatsiorsky e Seluyanov, obtidos por varredura de raios gama, de modo que as posições de centro de massa e os raios de giração fiquem referenciados aos centros articulares usualmente adotados em biomecânica, e não aos marcos ósseos originais. Os valores são expressos como frações da massa corporal total e do comprimento do segmento, o que permite escalar o modelo para o indivíduo de referência adotado.</w:t>
      </w:r>
    </w:p>
    <w:p w14:paraId="664575CA" w14:textId="77777777" w:rsidR="00FD1B34" w:rsidRPr="00955B75" w:rsidRDefault="00000000">
      <w:pPr>
        <w:rPr>
          <w:lang w:val="pt-BR"/>
        </w:rPr>
      </w:pPr>
      <w:r>
        <w:rPr>
          <w:lang w:val="pt-BR"/>
        </w:rPr>
        <w:t>Como tais parâmetros são fornecidos no centro de massa de cada segmento, sua transposição ao eixo da junta do exoesqueleto demanda o teorema dos eixos paralelos, segundo o qual o momento de inércia em eixo paralelo corresponde à soma do momento no centro de massa com o produto da massa pelo quadrado da distância entre os eixos. Cabe distinguir, nesse ponto, as duas grandezas que o procedimento alimenta: o momento estático do peso, dependente apenas da massa e do braço horizontal do centro de gravidade, e o momento de inércia, que descreve a resistência à aceleração angular e comparece exclusivamente na análise dinâmica.</w:t>
      </w:r>
    </w:p>
    <w:p w14:paraId="11C4A23F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lastRenderedPageBreak/>
        <w:t>2.10 Identificação de parâmetros a partir de curvas publicadas</w:t>
      </w:r>
    </w:p>
    <w:p w14:paraId="3F9118E3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Quando os parâmetros construtivos não são divulgados pelo fabricante, resta identificá-los a partir daquilo que a patente efetivamente publica. As curvas de torque dessas fontes são, em geral, qualitativas: a ordenada aparece rotulada apenas como torque, sem unidade declarada, circunstância que permite ajustar a forma do perfil, mas não convertê-lo em newton-metro sem dado adicional documentado.</w:t>
      </w:r>
    </w:p>
    <w:p w14:paraId="3C7499AD" w14:textId="77777777" w:rsidR="00FD1B34" w:rsidRPr="00955B75" w:rsidRDefault="00000000">
      <w:pPr>
        <w:rPr>
          <w:lang w:val="pt-BR"/>
        </w:rPr>
      </w:pPr>
      <w:r>
        <w:rPr>
          <w:lang w:val="pt-BR"/>
        </w:rPr>
        <w:t>O procedimento usual consiste no ajuste por mínimos quadrados dos parâmetros desconhecidos contra os pontos extraídos da curva, sob restrições geométricas e de projeto explicitadas, avaliado por indicadores como a raiz do erro quadrático médio e o coeficiente de determinação. Dois cuidados distinguem um ajuste defensável de um exercício circular: a separação entre a etapa de identificação e a etapa de uso, com o congelamento dos parâmetros antes da avaliação do modelo, e a classificação de cada grandeza quanto à origem — medida, de literatura, identificada, derivada ou assumida — de modo que nenhum parâmetro ajustado seja apresentado como medida.</w:t>
      </w:r>
    </w:p>
    <w:p w14:paraId="60385A30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2.11 Lacuna</w:t>
      </w:r>
    </w:p>
    <w:p w14:paraId="6CE8C332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A literatura revisada avalia, predominantemente, dispositivos já construídos, por meio de eletromiografia e questionários, ou otimiza mecanismos concebidos pelos próprios autores. Configura-se, assim, a ausência de uma comparação quantitativa entre os mecanismos passivos que efetivamente alcançaram o mercado, construída a partir da documentação pública de patente e conduzida do equilíbrio estático até a dinâmica multicorpos. É essa a contribuição pretendida pelo presente trabalho.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 MATERIAIS E MÉTODOS</w:t>
      </w:r>
    </w:p>
    <w:p>
      <w:pPr>
        <w:rPr>
          <w:lang w:val="pt-BR"/>
        </w:rPr>
      </w:pPr>
      <w:r>
        <w:rPr>
          <w:lang w:val="pt-BR"/>
        </w:rPr>
        <w:t xml:space="preserve">O trabalho é teórico-computacional. O procedimento parte da reconstrução geométrica do mecanismo e chega ao torque estático que ele entrega em função do ângulo, passando pela identificação dos parâmetros que a patente não publica. Ele foi concebido para os geradores de torque da US 9.889.554 B2, da US 9.737.374 B2 e da EP 3 504 033 B1, mas, nesta etapa do trabalho, foi executado apenas para o gerador de torque da US 9.889.554 B2, ao qual se referem todas as equações deste capítulo e todos os resultados do capítulo 4.</w:t>
      </w:r>
    </w:p>
    <w:p>
      <w:pPr>
        <w:rPr>
          <w:lang w:val="pt-BR"/>
        </w:rPr>
      </w:pPr>
      <w:r>
        <w:rPr>
          <w:lang w:val="pt-BR"/>
        </w:rPr>
        <w:t xml:space="preserve">Cada grandeza empregada é classificada quanto à origem: medida no modelo em CAD, obtida da literatura, documental (lida em desenho ou documento, sem verificação independente), identificada por ajuste à curva da patente, derivada pelo modelo ou assumida como hipótese. A classificação impede que um parâmetro ajustado seja apresentado como medida e que uma hipótese de projeto seja apresentada como lei física.</w:t>
      </w:r>
    </w:p>
    <w:p>
      <w:pPr>
        <w:rPr>
          <w:lang w:val="pt-BR"/>
        </w:rPr>
      </w:pPr>
      <w:r>
        <w:rPr>
          <w:lang w:val="pt-BR"/>
        </w:rPr>
        <w:t xml:space="preserve">A cadeia de cálculo descrita nas seções 3.3 a 3.8 está implementada no arquivo torque_model.py, que contém os parâmetros congelados e não executa ajuste algum. Os números e as figuras do capítulo 4 são produzidos pelo script tcc_resultados.py, que importa esse modelo e chama suas funções com a posição da ancoragem sempre explícita, sem alterar nenhum parâmetro.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 Reconstrução geométrica em CAD</w:t>
      </w:r>
    </w:p>
    <w:p>
      <w:pPr>
        <w:rPr>
          <w:lang w:val="pt-BR"/>
        </w:rPr>
      </w:pPr>
      <w:r>
        <w:rPr>
          <w:lang w:val="pt-BR"/>
        </w:rPr>
        <w:t xml:space="preserve">A geometria do mecanismo foi reconstruída no Autodesk Fusion sobre os desenhos da patente, em especial a vista em corte do gerador de torque e o esquema simplificado que define o ângulo entre os elos e as distâncias características. Como as figuras de patente não são cotadas, o modelo foi escalado por um fator único, fixado pela razão entre o comprimento do elo distal reconstruído e o comprimento de segmento do indivíduo de referência.</w:t>
      </w:r>
    </w:p>
    <w:p>
      <w:pPr>
        <w:rPr>
          <w:lang w:val="pt-BR"/>
        </w:rPr>
      </w:pPr>
      <w:r>
        <w:rPr>
          <w:lang w:val="pt-BR"/>
        </w:rPr>
        <w:t xml:space="preserve">Da reconstrução saem as grandezas geométricas do mecanismo — distância do pivô ao centro do tambor, raio do tambor, componentes do vetor que liga o pivô à ancoragem do cabo e defasagem angular do desenho —, a pose de referência, com o respectivo comprimento da mola, e o comprimento útil do alojamento da mola. O mesmo modelo fornece massa, posição do centro de massa e momento de inércia de cada peça do exoesqueleto. Por dependerem do fator de escala e da interpretação de desenhos não cotados, essas grandezas são classificadas como medidas em CAD, e não como dimensões do dispositivo comercial.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3.2 Parâmetros inerciais do membro e transporte ao eixo da junta</w:t>
      </w:r>
    </w:p>
    <w:p>
      <w:pPr>
        <w:rPr>
          <w:lang w:val="pt-BR"/>
        </w:rPr>
      </w:pPr>
      <w:r>
        <w:rPr>
          <w:lang w:val="pt-BR"/>
        </w:rPr>
        <w:t xml:space="preserve">Massa, posição do centro de massa e raios de giração de braço, antebraço e mão foram obtidos das tabelas de de Leva (1996) para o indivíduo masculino de referência, com o cotovelo estendido. Os momentos de inércia de cada corpo, do membro e das peças do exoesqueleto, foram transportados ao eixo da junta pelo teorema dos eixos paralelos: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M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I</w:t>
      </w:r>
      <w:r>
        <w:rPr>
          <w:vertAlign w:val="subscript"/>
          <w:lang w:val="pt-BR"/>
        </w:rPr>
        <w:t xml:space="preserve">O</w:t>
      </w:r>
      <w:r>
        <w:rPr>
          <w:lang w:val="pt-BR"/>
        </w:rPr>
        <w:t xml:space="preserve"> é o momento de inércia em relação ao eixo da junta, I</w:t>
      </w:r>
      <w:r>
        <w:rPr>
          <w:vertAlign w:val="subscript"/>
          <w:lang w:val="pt-BR"/>
        </w:rPr>
        <w:t xml:space="preserve">cm</w:t>
      </w:r>
      <w:r>
        <w:rPr>
          <w:lang w:val="pt-BR"/>
        </w:rPr>
        <w:t xml:space="preserve"> o momento de inércia em relação ao eixo paralelo que passa pelo centro de massa, M a massa e d a distância entre os dois eixos. A composição foi feita em planilha, construída para recalcular o conjunto quando qualquer entrada muda. Conforme a seção 2.9, o momento de inércia não participa do torque estático do peso, que depende apenas da massa e da posição do centro de massa (seção 3.8); ele se destina à etapa dinâmica prevista na seção 3.12.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3.3 Referenciais e convenções angulares e de sinal</w:t>
      </w:r>
    </w:p>
    <w:p>
      <w:pPr>
        <w:rPr>
          <w:lang w:val="pt-BR"/>
        </w:rPr>
      </w:pPr>
      <w:r>
        <w:rPr>
          <w:lang w:val="pt-BR"/>
        </w:rPr>
        <w:t xml:space="preserve">O mecanismo é tratado como plano, com origem O no eixo da junta (pivô). Comprimentos são expressos em milímetros e ângulos em graus na entrada, com uma única conversão para radianos dentro das contas. Quatro ângulos aparecem no cálculo e são mantidos separados, por serem fonte recorrente de erro (Tabela 1). O ângulo interno θ* entre os elos é a variável independente do modelo, e q é sua versão referida ao desenho: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q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f>
                  <m:num>
                    <m:r>
                      <w:rPr>
                        <w:rFonts w:ascii="Cambria Math" w:hAnsi="Cambria Math"/>
                        <w:lang w:val="pt-BR"/>
                      </w:rPr>
                      <m:t xml:space="preserve">π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r>
                  <w:rPr>
                    <w:rFonts w:ascii="Cambria Math" w:hAnsi="Cambria Math"/>
                    <w:lang w:val="pt-BR"/>
                  </w:rPr>
                  <m:t xml:space="preserve">α</m:t>
                </m:r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com θ* e a defasagem angular α do desenho convertidos para radianos. O ângulo φ</w:t>
      </w:r>
      <w:r>
        <w:rPr>
          <w:vertAlign w:val="subscript"/>
          <w:lang w:val="pt-BR"/>
        </w:rPr>
        <w:t xml:space="preserve">pat</w:t>
      </w:r>
      <w:r>
        <w:rPr>
          <w:lang w:val="pt-BR"/>
        </w:rPr>
        <w:t xml:space="preserve"> da curva publicada na patente, medido a partir da horizontal, e a elevação anatômica do braço, θ</w:t>
      </w:r>
      <w:r>
        <w:rPr>
          <w:vertAlign w:val="subscript"/>
          <w:lang w:val="pt-BR"/>
        </w:rPr>
        <w:t xml:space="preserve">el</w:t>
      </w:r>
      <w:r>
        <w:rPr>
          <w:lang w:val="pt-BR"/>
        </w:rPr>
        <w:t xml:space="preserve"> (denotada θ na seção 2.1), relacionam-se com θ* por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off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pat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(3)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el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pat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+90°=223,017°−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(4)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= 133,017° é a calibração angular identificada (seção 3.9). A faixa da patente, φ</w:t>
      </w:r>
      <w:r>
        <w:rPr>
          <w:vertAlign w:val="subscript"/>
          <w:lang w:val="pt-BR"/>
        </w:rPr>
        <w:t xml:space="preserve">pat</w:t>
      </w:r>
      <w:r>
        <w:rPr>
          <w:lang w:val="pt-BR"/>
        </w:rPr>
        <w:t xml:space="preserve"> de −60° a +90,1°, corresponde a θ* de 42,917° a 193,017° e a elevação de 30° a 180,1°; a elevação cresce quando θ* decresce. O ângulo φ</w:t>
      </w:r>
      <w:r>
        <w:rPr>
          <w:vertAlign w:val="subscript"/>
          <w:lang w:val="pt-BR"/>
        </w:rPr>
        <w:t xml:space="preserve">pat</w:t>
      </w:r>
      <w:r>
        <w:rPr>
          <w:lang w:val="pt-BR"/>
        </w:rPr>
        <w:t xml:space="preserve"> não deve ser confundido com φ, direção da linha do cabo calculada pelo modelo (seção 3.4).</w:t>
      </w:r>
    </w:p>
    <w:p>
      <w:pPr>
        <w:rPr>
          <w:lang w:val="pt-BR"/>
        </w:rPr>
      </w:pPr>
      <w:r>
        <w:rPr>
          <w:lang w:val="pt-BR"/>
        </w:rPr>
        <w:t xml:space="preserve">O torque τ do modelo é positivo no sentido anti-horário, isto é, no sentido de θ* crescente. A patente apresenta o torque do cabo positivo no sentido oposto, em que ele tende a elevar o braço; por isso, a curva calculada comparada à da patente é −τ.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 — Convenções angulares e de sinal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300"/>
        <w:gridCol w:w="3200"/>
        <w:gridCol w:w="2760"/>
        <w:gridCol w:w="2100"/>
      </w:tblGrid>
      <w:tr>
        <w:trPr>
          <w:cantSplit/>
          <w:tblHeader/>
        </w:trPr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Símbolo</w:t>
            </w:r>
          </w:p>
        </w:tc>
        <w:tc>
          <w:tcPr>
            <w:tcW w:w="32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Definição</w:t>
            </w:r>
          </w:p>
        </w:tc>
        <w:tc>
          <w:tcPr>
            <w:tcW w:w="27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Relação</w:t>
            </w:r>
          </w:p>
        </w:tc>
        <w:tc>
          <w:tcPr>
            <w:tcW w:w="2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Uso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θ*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interno do mecanismo, entre os elos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Variável independente, em graus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Toda a cadeia de cálculo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q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θ* referido ao desenho, em radianos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Equação (2)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Fechamento do circuito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φ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Direção da linha de ação do cabo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Equação (8)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Tangência, braço e força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φ</w:t>
            </w:r>
            <w:r>
              <w:rPr>
                <w:vertAlign w:val="subscript"/>
                <w:lang w:val="pt-BR"/>
              </w:rPr>
              <w:t xml:space="preserve">pat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da curva publicada, a partir da horizontal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θ* = θ</w:t>
            </w:r>
            <w:r>
              <w:rPr>
                <w:vertAlign w:val="subscript"/>
                <w:lang w:val="pt-BR"/>
              </w:rPr>
              <w:t xml:space="preserve">off</w:t>
            </w:r>
            <w:r>
              <w:rPr>
                <w:lang w:val="pt-BR"/>
              </w:rPr>
              <w:t xml:space="preserve"> − φ</w:t>
            </w:r>
            <w:r>
              <w:rPr>
                <w:vertAlign w:val="subscript"/>
                <w:lang w:val="pt-BR"/>
              </w:rPr>
              <w:t xml:space="preserve">pat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Leitura da patente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θ</w:t>
            </w:r>
            <w:r>
              <w:rPr>
                <w:vertAlign w:val="subscript"/>
                <w:lang w:val="pt-BR"/>
              </w:rPr>
              <w:t xml:space="preserve">el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Elevação anatômica do braço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θ</w:t>
            </w:r>
            <w:r>
              <w:rPr>
                <w:vertAlign w:val="subscript"/>
                <w:lang w:val="pt-BR"/>
              </w:rPr>
              <w:t xml:space="preserve">el</w:t>
            </w:r>
            <w:r>
              <w:rPr>
                <w:lang w:val="pt-BR"/>
              </w:rPr>
              <w:t xml:space="preserve"> = φ</w:t>
            </w:r>
            <w:r>
              <w:rPr>
                <w:vertAlign w:val="subscript"/>
                <w:lang w:val="pt-BR"/>
              </w:rPr>
              <w:t xml:space="preserve">pat</w:t>
            </w:r>
            <w:r>
              <w:rPr>
                <w:lang w:val="pt-BR"/>
              </w:rPr>
              <w:t xml:space="preserve"> + 90°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Comparação com o peso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ψ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entre o cabo e o elo pivô–tambor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Equação (15)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Arco enrolado no tambor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τ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Torque do cabo no modelo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Positivo no sentido de θ* crescente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Cadeia de cálculo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−τ</w:t>
            </w:r>
          </w:p>
        </w:tc>
        <w:tc>
          <w:tcPr>
            <w:tcW w:w="3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Torque do cabo na convenção da patente</w:t>
            </w:r>
          </w:p>
        </w:tc>
        <w:tc>
          <w:tcPr>
            <w:tcW w:w="27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Positivo quando tende a elevar o braço</w:t>
            </w:r>
          </w:p>
        </w:tc>
        <w:tc>
          <w:tcPr>
            <w:tcW w:w="21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Comparação com a patente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3.4 Equação de fechamento do circuito vetorial</w:t>
      </w:r>
    </w:p>
    <w:p>
      <w:pPr>
        <w:rPr>
          <w:lang w:val="pt-BR"/>
        </w:rPr>
      </w:pPr>
      <w:r>
        <w:rPr>
          <w:lang w:val="pt-BR"/>
        </w:rPr>
        <w:t xml:space="preserve">A cinemática do gerador de torque é descrita por um circuito vetorial fechado (Figura 1), percorrido do pivô O até a ancoragem A do cabo, de A até o ponto de tangência T ao longo do vão livre do cabo, de T até o centro D do tambor e de D de volta a O ao longo do elo. O vetor fixo do pivô à ancoragem, no referencial do desenho,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B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sen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p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 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p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sen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α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(5)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h e p são as componentes desse vetor no referencial do elo proximal. A posição da ancoragem h é o parâmetro geométrico mais incerto do mecanismo e permanece explícita em todas as equações; a cota lida no CAD,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 = 34,785 mm, é tratada como valor documental, e o valor adotado no modelo é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 (seção 3.9). Com u(x) = (cos x, sen x) e u</w:t>
      </w:r>
      <w:r>
        <w:rPr>
          <w:vertAlign w:val="subscript"/>
          <w:lang w:val="pt-BR"/>
        </w:rPr>
        <w:t xml:space="preserve">⊥</w:t>
      </w:r>
      <w:r>
        <w:rPr>
          <w:lang w:val="pt-BR"/>
        </w:rPr>
        <w:t xml:space="preserve">(x) = (−sen x, cos x), o fechamento do circuito se escreve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B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s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u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sSup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⊥</m:t>
                    </m:r>
                  </m:sup>
                </m:sSup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C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u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q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0</m:t>
                </m:r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(6)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s é o comprimento do vão livre do cabo, de A a T, R o raio do tambor e C a distância do pivô ao centro do tambor. As duas componentes da Equação (6) são as equações escalares de fechamento f</w:t>
      </w:r>
      <w:r>
        <w:rPr>
          <w:vertAlign w:val="subscript"/>
          <w:lang w:val="pt-BR"/>
        </w:rPr>
        <w:t xml:space="preserve">1</w:t>
      </w:r>
      <w:r>
        <w:rPr>
          <w:lang w:val="pt-BR"/>
        </w:rPr>
        <w:t xml:space="preserve"> = 0 e f</w:t>
      </w:r>
      <w:r>
        <w:rPr>
          <w:vertAlign w:val="subscript"/>
          <w:lang w:val="pt-BR"/>
        </w:rPr>
        <w:t xml:space="preserve">2</w:t>
      </w:r>
      <w:r>
        <w:rPr>
          <w:lang w:val="pt-BR"/>
        </w:rPr>
        <w:t xml:space="preserve"> = 0. Isolando-se os termos em φ, o lado esquerdo torna-se o vetor (s, R) girado de φ, o que permite resolver o sistema em forma fechada, sem procedimento iterativo: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W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=−</m:t>
                </m:r>
                <m:d>
                  <m:dPr>
                    <m:begChr m:val="("/>
                    <m:endChr m:val=")"/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C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u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q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ρ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d>
                  <m:dPr>
                    <m:begChr m:val="|"/>
                    <m:endChr m:val="|"/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W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s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ρ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(7)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φ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atan2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,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x</m:t>
                            </m:r>
                          </m:sub>
                        </m:sSub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atan2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R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s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(8)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A grandeza ρ é a distância da ancoragem ao centro do tambor, e a tangente existe somente se ρ &gt; R, condição verificada em cada ponto calculado. A formulação original do autor para essa distância, obtida pela lei dos cossenos,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orig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+2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C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h</m:t>
                        </m:r>
                        <m:func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cos</m:t>
                            </m:r>
                          </m:fName>
                          <m:e>
                            <m:sSup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θ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∗</m:t>
                                </m:r>
                              </m:sup>
                            </m:sSup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+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p</m:t>
                        </m:r>
                        <m:func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sen</m:t>
                            </m:r>
                          </m:fName>
                          <m:e>
                            <m:sSup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θ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∗</m:t>
                                </m:r>
                              </m:sup>
                            </m:sSup>
                          </m:e>
                        </m:func>
                      </m:e>
                    </m:d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(9)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foi preservada no código como referência. Ela difere da Equação (7) pelo sinal do termo 2C(·) e equivale a ρ avaliado em θ* + 180°, com diferença numérica de 5,7 × 10</w:t>
      </w:r>
      <w:r>
        <w:rPr>
          <w:vertAlign w:val="superscript"/>
          <w:lang w:val="pt-BR"/>
        </w:rPr>
        <w:t xml:space="preserve">−14</w:t>
      </w:r>
      <w:r>
        <w:rPr>
          <w:lang w:val="pt-BR"/>
        </w:rPr>
        <w:t xml:space="preserve"> mm; por esse motivo, a cadeia de cálculo usa a Equação (7), deduzida diretamente do fechamento.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1 — Circuito vetorial do gerador de torque na pose de referência (θ* = 115,017°, h = 22,701 mm)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2318004"/>
            <wp:effectExtent l="0" t="0" r="0" b="0"/>
            <wp:docPr id="901" name="Figura 1" descr="Circuito vetorial na pose de referência: pivô O, ancoragem A, centro do tambor D, ponto de tangência T, vão livre s, braço perpendicular m e distância b; à direita, ampliação da região do pivô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1" name="Figura 1" descr="Circuito vetorial na pose de referência: pivô O, ancoragem A, centro do tambor D, ponto de tangência T, vão livre s, braço perpendicular m e distância b; à direita, ampliação da região do pivô."/>
                    <pic:cNvPicPr/>
                  </pic:nvPicPr>
                  <pic:blipFill>
                    <a:blip r:embed="rIdTccFig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O é o pivô, A a ancoragem do cabo, D o centro do tambor e T o ponto de tangência. O painel da direita amplia a região do pivô, onde se distinguem o vetor B e o braço m.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3.5 Ponto de tangência, distância b, ângulo β e braço de momento</w:t>
      </w:r>
    </w:p>
    <w:p>
      <w:pPr>
        <w:rPr>
          <w:lang w:val="pt-BR"/>
        </w:rPr>
      </w:pPr>
      <w:r>
        <w:rPr>
          <w:lang w:val="pt-BR"/>
        </w:rPr>
        <w:t xml:space="preserve">O ponto em que o cabo deixa o tambor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d>
                  <m:dPr>
                    <m:begChr m:val="("/>
                    <m:endChr m:val=")"/>
                  </m:dPr>
                  <m:e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sen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φ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 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φ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=−</m:t>
                </m:r>
                <m:r>
                  <w:rPr>
                    <w:rFonts w:ascii="Cambria Math" w:hAnsi="Cambria Math"/>
                    <w:lang w:val="pt-BR"/>
                  </w:rPr>
                  <m:t xml:space="preserve">C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u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q</m:t>
                    </m:r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(10)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Na formulação original do autor, o mesmo ponto é obtido a partir da distância b = |OT| e do ângulo β entre a linha do elo (de O a D) e o segmento OT, calculados pela lei dos cossenos nos triângulos pivô–ancoragem–tangência e pivô–tambor–tangência: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s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sSup>
                  <m:e>
                    <m:d>
                      <m:dPr>
                        <m:begChr m:val="|"/>
                        <m:endChr m:val="|"/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B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+2</m:t>
                </m:r>
                <m:r>
                  <w:rPr>
                    <w:rFonts w:ascii="Cambria Math" w:hAnsi="Cambria Math"/>
                    <w:lang w:val="pt-BR"/>
                  </w:rPr>
                  <m:t xml:space="preserve">s</m:t>
                </m:r>
                <m:d>
                  <m:dPr>
                    <m:begChr m:val="|"/>
                    <m:endChr m:val="|"/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</m:d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cos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−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B</m:t>
                            </m:r>
                          </m:sub>
                        </m:sSub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(11)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β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b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C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(12)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b</m:t>
                </m:r>
                <m:d>
                  <m:dPr>
                    <m:begChr m:val="("/>
                    <m:endChr m:val=")"/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cos</m:t>
                        </m:r>
                      </m:fName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β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q</m:t>
                            </m:r>
                          </m:e>
                        </m:d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 </m:t>
                    </m:r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sen</m:t>
                        </m:r>
                      </m:fName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β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q</m:t>
                            </m:r>
                          </m:e>
                        </m:d>
                      </m:e>
                    </m:func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(13)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φ</w:t>
      </w:r>
      <w:r>
        <w:rPr>
          <w:vertAlign w:val="subscript"/>
          <w:lang w:val="pt-BR"/>
        </w:rPr>
        <w:t xml:space="preserve">B</w:t>
      </w:r>
      <w:r>
        <w:rPr>
          <w:lang w:val="pt-BR"/>
        </w:rPr>
        <w:t xml:space="preserve"> = atan2(B</w:t>
      </w:r>
      <w:r>
        <w:rPr>
          <w:vertAlign w:val="subscript"/>
          <w:lang w:val="pt-BR"/>
        </w:rPr>
        <w:t xml:space="preserve">y</w:t>
      </w:r>
      <w:r>
        <w:rPr>
          <w:lang w:val="pt-BR"/>
        </w:rPr>
        <w:t xml:space="preserve">, B</w:t>
      </w:r>
      <w:r>
        <w:rPr>
          <w:vertAlign w:val="subscript"/>
          <w:lang w:val="pt-BR"/>
        </w:rPr>
        <w:t xml:space="preserve">x</w:t>
      </w:r>
      <w:r>
        <w:rPr>
          <w:lang w:val="pt-BR"/>
        </w:rPr>
        <w:t xml:space="preserve">) é a direção do vetor B. As duas vias são comparadas numericamente (seção 3.11), e a Equação (10) é a usada na cadeia por não depender do sinal de β. A distância b, entretanto, não é o braço de momento do cabo: como T pertence a uma circunferência de raio R centrada a C do pivô, b fica necessariamente entre C − R e C + R. O braço de momento é a distância perpendicular do pivô à linha de ação do cabo, que passa por A com direção u(φ):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m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x</m:t>
                    </m:r>
                  </m:sub>
                </m:sSub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sen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y</m:t>
                    </m:r>
                  </m:sub>
                </m:sSub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≤</m:t>
                </m:r>
                <m:d>
                  <m:dPr>
                    <m:begChr m:val="|"/>
                    <m:endChr m:val="|"/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 xml:space="preserve">B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(14)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O braço m tem sinal, anula-se quando a linha do cabo passa pelo pivô (ponto morto, seção 3.7) e é limitado pelo comprimento |B| = |OA|, teto que decorre do traçado do cabo, e não do ajuste.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3.6 Caminho do cabo, lei da mola e torque</w:t>
      </w:r>
    </w:p>
    <w:p>
      <w:pPr>
        <w:rPr>
          <w:lang w:val="pt-BR"/>
        </w:rPr>
      </w:pPr>
      <w:r>
        <w:rPr>
          <w:lang w:val="pt-BR"/>
        </w:rPr>
        <w:t xml:space="preserve">A mola é tracionada pelo cabo, que vai da ancoragem até o tambor, onde se enrola. Admitido cabo inextensível, a extensão da mola acompanha a variação do caminho total do cabo, composto pelo vão livre s e pelo arco enrolado no tambor, cujo comprimento varia com o ângulo porque o vão livre gira em relação ao elo distal. Sendo ψ o ângulo entre a direção do cabo e a direção do elo, reduzido ao intervalo (−π, π],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ψ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φ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q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+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π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ψ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∈</m:t>
                </m:r>
                <m:d>
                  <m:dPr>
                    <m:begChr m:val="("/>
                    <m:endChr m:val="]"/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π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π</m:t>
                    </m:r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(15)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o caminho variável do cabo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ℓ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s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r>
                  <w:rPr>
                    <w:rFonts w:ascii="Cambria Math" w:hAnsi="Cambria Math"/>
                    <w:lang w:val="pt-BR"/>
                  </w:rPr>
                  <m:t xml:space="preserve">ψ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(16)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Entra no modelo apenas a parcela variável do enrolamento: um arco constante cancela-se na extensão da mola, porque o caminho e o comprimento de referência são calculados pela mesma expressão. O sinal do termo do arco foi fixado pelo princípio dos trabalhos virtuais. Em um mecanismo conservativo, sem atrito no tambor, o trabalho da tração no cabo iguala o do torque no elo, o que exige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ℓ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m</m:t>
                </m:r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(17)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com θ* em radianos. A Equação (17) é verificada numericamente por diferenças finitas centradas (seção 3.11) e permite discriminar entre formulações do caminho do cabo: com o caminho igual apenas ao vão livre, ela não é satisfeita (seção 4.3).</w:t>
      </w:r>
    </w:p>
    <w:p>
      <w:pPr>
        <w:rPr>
          <w:lang w:val="pt-BR"/>
        </w:rPr>
      </w:pPr>
      <w:r>
        <w:rPr>
          <w:lang w:val="pt-BR"/>
        </w:rPr>
        <w:t xml:space="preserve">A extensão da mola é referida a um comprimento, e não a um ângulo. Sendo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a extensão elástica da mola na pose de referência θ*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115,017°, o valor do caminho em que a mola atinge o comprimento livre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0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ℓ</m:t>
                </m:r>
                <m:d>
                  <m:dPr>
                    <m:begChr m:val="("/>
                    <m:endChr m:val=")"/>
                  </m:dPr>
                  <m:e>
                    <m:sSub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pose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,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pose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(18)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δ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max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ℓ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−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 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0</m:t>
                        </m:r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F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K</m:t>
                </m:r>
                <m:r>
                  <w:rPr>
                    <w:rFonts w:ascii="Cambria Math" w:hAnsi="Cambria Math"/>
                    <w:lang w:val="pt-BR"/>
                  </w:rPr>
                  <m:t xml:space="preserve">δ</m:t>
                </m:r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(19)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δ é a extensão elástica, F a tração no cabo e K a rigidez da mola. A extensão é limitada a valores não negativos porque o cabo traciona, mas não empurra. O comprimento livre L</w:t>
      </w:r>
      <w:r>
        <w:rPr>
          <w:vertAlign w:val="subscript"/>
          <w:lang w:val="pt-BR"/>
        </w:rPr>
        <w:t xml:space="preserve">livre</w:t>
      </w:r>
      <w:r>
        <w:rPr>
          <w:lang w:val="pt-BR"/>
        </w:rPr>
        <w:t xml:space="preserve"> e o comprimento na pose L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entram no modelo somente pela diferença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L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− L</w:t>
      </w:r>
      <w:r>
        <w:rPr>
          <w:vertAlign w:val="subscript"/>
          <w:lang w:val="pt-BR"/>
        </w:rPr>
        <w:t xml:space="preserve">livre</w:t>
      </w:r>
      <w:r>
        <w:rPr>
          <w:lang w:val="pt-BR"/>
        </w:rPr>
        <w:t xml:space="preserve">: qualquer par com a mesma diferença produz a mesma curva de torque.</w:t>
      </w:r>
    </w:p>
    <w:p>
      <w:pPr>
        <w:rPr>
          <w:lang w:val="pt-BR"/>
        </w:rPr>
      </w:pPr>
      <w:r>
        <w:rPr>
          <w:lang w:val="pt-BR"/>
        </w:rPr>
        <w:t xml:space="preserve">A força do cabo atua sobre o tambor no ponto T, com direção oposta a u(φ), e o torque em relação ao pivô é o produto vetorial plano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V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=−</m:t>
                </m:r>
                <m:r>
                  <w:rPr>
                    <w:rFonts w:ascii="Cambria Math" w:hAnsi="Cambria Math"/>
                    <w:lang w:val="pt-BR"/>
                  </w:rPr>
                  <m:t xml:space="preserve">F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 xml:space="preserve">u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τ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x</m:t>
                        </m:r>
                      </m:sub>
                    </m:sSub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y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y</m:t>
                        </m:r>
                      </m:sub>
                    </m:sSub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=−</m:t>
                </m:r>
                <m:f>
                  <m:num>
                    <m:r>
                      <w:rPr>
                        <w:rFonts w:ascii="Cambria Math" w:hAnsi="Cambria Math"/>
                        <w:lang w:val="pt-BR"/>
                      </w:rPr>
                      <m:t xml:space="preserve">F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1000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(20)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A identidade τ = −F m/1000 decorre de T e A estarem sobre a mesma linha de ação e é verificada numericamente (seção 3.11). O fator 1/1000 vem da formulação original, em que os comprimentos estão em milímetros. Como K é identificado contra a curva publicada (seção 3.9), cuja ordenada não tem unidade declarada, o torque do cabo é expresso na unidade da própria curva, denotada u.p. (unidade da patente). A unidade de K é, portanto, aquela que faz K δ m/1000 resultar em u.p.; ela só seria N/mm se u.p. correspondesse a N·m, o que não pode ser afirmado com os dados disponíveis (seção 4.6).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3.7 Ponto morto</w:t>
      </w:r>
    </w:p>
    <w:p>
      <w:pPr>
        <w:rPr>
          <w:lang w:val="pt-BR"/>
        </w:rPr>
      </w:pPr>
      <w:r>
        <w:rPr>
          <w:lang w:val="pt-BR"/>
        </w:rPr>
        <w:t xml:space="preserve">O torque do cabo se anula quando a linha de ação passa pelo pivô (m = 0). Da geometria do circuito, esse ponto morto tem forma fechada em função de h, formulação original do autor aqui escrita com a notação desta seção: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bSup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=180°+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atan2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p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h</m:t>
                        </m:r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arcsen</m:t>
                    </m:r>
                  </m:fName>
                  <m:e>
                    <m:d>
                      <m:dPr>
                        <m:begChr m:val="("/>
                        <m:endChr m:val=")"/>
                      </m:dPr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C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(21)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Como θ*</w:t>
      </w:r>
      <w:r>
        <w:rPr>
          <w:vertAlign w:val="subscript"/>
          <w:lang w:val="pt-BR"/>
        </w:rPr>
        <w:t xml:space="preserve">pm</w:t>
      </w:r>
      <w:r>
        <w:rPr>
          <w:lang w:val="pt-BR"/>
        </w:rPr>
        <w:t xml:space="preserve"> é monótono em h, a Equação (21) admite inversão analítica: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h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w:rPr>
                        <w:rFonts w:ascii="Cambria Math" w:hAnsi="Cambria Math"/>
                        <w:lang w:val="pt-BR"/>
                      </w:rPr>
                      <m:t xml:space="preserve">p</m:t>
                    </m:r>
                  </m:num>
                  <m:den>
                    <m:func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tan</m:t>
                        </m:r>
                      </m:fName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sSubSup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θ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pm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∗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−180°−</m:t>
                            </m:r>
                            <m:func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arcsen</m:t>
                                </m:r>
                              </m:fName>
                              <m:e>
                                <m:d>
                                  <m:dPr>
                                    <m:begChr m:val="("/>
                                    <m:endChr m:val=")"/>
                                  </m:dPr>
                                  <m:e>
                                    <m:f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lang w:val="pt-BR"/>
                                          </w:rPr>
                                          <m:t xml:space="preserve">R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  <w:lang w:val="pt-BR"/>
                                          </w:rPr>
                                          <m:t xml:space="preserve">C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(22)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Para h &gt; 0, o termo atan2(p, h) fica entre 0° e 90°, de modo que a inversão só é válida quando o argumento da tangente pertence a esse intervalo; fora dele, a Equação (22) devolve um ramo espúrio, identificado pela substituição do resultado na Equação (21). A forma fechada é conferida contra a raiz de m(θ*) = 0 obtida por bissecção. Depois do ponto morto, o torque do cabo troca de sinal; o modelo não representa a protuberância que, na patente, restringe o gerador de força além do ângulo de transição (seção 2.3).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3.8 Torque gravitacional</w:t>
      </w:r>
    </w:p>
    <w:p>
      <w:pPr>
        <w:rPr>
          <w:lang w:val="pt-BR"/>
        </w:rPr>
      </w:pPr>
      <w:r>
        <w:rPr>
          <w:lang w:val="pt-BR"/>
        </w:rPr>
        <w:t xml:space="preserve">O torque estático do peso do conjunto braço–exoesqueleto em relação ao pivô é calculado de forma independente da cadeia do cabo: não usa K,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nem h. O centro de massa (x</w:t>
      </w:r>
      <w:r>
        <w:rPr>
          <w:vertAlign w:val="subscript"/>
          <w:lang w:val="pt-BR"/>
        </w:rPr>
        <w:t xml:space="preserve">cm</w:t>
      </w:r>
      <w:r>
        <w:rPr>
          <w:lang w:val="pt-BR"/>
        </w:rPr>
        <w:t xml:space="preserve">, y</w:t>
      </w:r>
      <w:r>
        <w:rPr>
          <w:vertAlign w:val="subscript"/>
          <w:lang w:val="pt-BR"/>
        </w:rPr>
        <w:t xml:space="preserve">cm</w:t>
      </w:r>
      <w:r>
        <w:rPr>
          <w:lang w:val="pt-BR"/>
        </w:rPr>
        <w:t xml:space="preserve">), dado na pose de referência no referencial do desenho (Tabela 3), gira com o elo, e o desenho gira ainda α + 90° −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= −22,589° para alinhar sua vertical com a da configuração calibrada: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γ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pose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r>
                  <w:rPr>
                    <w:rFonts w:ascii="Cambria Math" w:hAnsi="Cambria Math"/>
                    <w:lang w:val="pt-BR"/>
                  </w:rPr>
                  <m:t xml:space="preserve">α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+90°−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off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cm</m:t>
                    </m:r>
                  </m:sub>
                </m:sSub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γ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−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cm</m:t>
                    </m:r>
                  </m:sub>
                </m:sSub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sen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γ</m:t>
                    </m:r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(23)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g</m:t>
                    </m:r>
                    <m:d>
                      <m:dPr>
                        <m:begChr m:val="|"/>
                        <m:endChr m:val="|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g</m:t>
                            </m:r>
                          </m:sub>
                        </m:sSub>
                      </m:e>
                    </m:d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1000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(24)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M é a massa do conjunto, g = 9,80665 m/s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e x</w:t>
      </w:r>
      <w:r>
        <w:rPr>
          <w:vertAlign w:val="subscript"/>
          <w:lang w:val="pt-BR"/>
        </w:rPr>
        <w:t xml:space="preserve">g</w:t>
      </w:r>
      <w:r>
        <w:rPr>
          <w:lang w:val="pt-BR"/>
        </w:rPr>
        <w:t xml:space="preserve">, em milímetros, é o braço horizontal do centro de massa. O torque gravitacional resulta em N·m, unidade física, ao contrário do torque do cabo. O módulo na Equação (24) desconsidera o sentido do torque, cuja troca ocorre apenas no início da faixa (seção 4.8).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3.9 Dados da patente e identificação dos parâmetros</w:t>
      </w:r>
    </w:p>
    <w:p>
      <w:pPr>
        <w:rPr>
          <w:lang w:val="pt-BR"/>
        </w:rPr>
      </w:pPr>
      <w:r>
        <w:rPr>
          <w:lang w:val="pt-BR"/>
        </w:rPr>
        <w:t xml:space="preserve">A referência de comparação é a curva torque × ângulo do gerador de torque publicada na US 9.889.554 B2, da qual foram extraídos 29 pontos, registrados em θ* e listados na Tabela 4 na ordem da extração. Os pontos são usados exatamente como foram extraídos, sem reordenação, interpolação ou suavização. O procedimento de digitalização e a incerteza da leitura não estão documentados, o que limita a interpretação dos resíduos do ajuste (seção 4.5).</w:t>
      </w:r>
    </w:p>
    <w:p>
      <w:pPr>
        <w:rPr>
          <w:lang w:val="pt-BR"/>
        </w:rPr>
      </w:pPr>
      <w:r>
        <w:rPr>
          <w:lang w:val="pt-BR"/>
        </w:rPr>
        <w:t xml:space="preserve">A patente não informa rigidez, pré-carga, comprimento livre nem posição exata da ancoragem. Os parâmetros não publicados do modelo são a calibração angular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, a posição da ancoragem h, a extensão da mola na pose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e a rigidez K. Eles foram identificados por mínimos quadrados contra os 29 pontos extraídos em etapa anterior do trabalho e estão congelados no modelo vigente, que não executa ajuste algum. O script dessa etapa e a restrição de projeto então considerada para h não estão registrados no repositório; por isso, a identificação foi reproduzida nesta revisão apenas na parte verificável, descrita a seguir (resultados na seção 4.4).</w:t>
      </w:r>
    </w:p>
    <w:p>
      <w:pPr>
        <w:rPr>
          <w:lang w:val="pt-BR"/>
        </w:rPr>
      </w:pPr>
      <w:r>
        <w:rPr>
          <w:lang w:val="pt-BR"/>
        </w:rPr>
        <w:t xml:space="preserve">A rigidez tem forma fechada. Como a extensão δ não depende de K, o torque é exatamente linear em K, τ(θ*; h, K) = K τ(θ*; h, 1). Sendo y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os N = 29 valores extraídos e g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= −τ(θ*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; h, 1), o valor de K que minimiza a soma dos quadrados dos resíduos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 xml:space="preserve"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g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i</m:t>
                            </m:r>
                          </m:sub>
                        </m:sSub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p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(25)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Com h e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fixados,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foi reidentificado por varredura unidimensional, em passo de 0,001 mm, com K dado pela Equação (25) em cada valor. A qualidade do ajuste é avaliada pela raiz do erro quadrático médio (RMSE), pelo erro absoluto médio (MAE), pelo erro máximo e pelo coeficiente de determinação R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, com resíduo e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= ŷ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− y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, em que ŷ</w:t>
      </w:r>
      <w:r>
        <w:rPr>
          <w:vertAlign w:val="subscript"/>
          <w:lang w:val="pt-BR"/>
        </w:rPr>
        <w:t xml:space="preserve">i</w:t>
      </w:r>
      <w:r>
        <w:rPr>
          <w:lang w:val="pt-BR"/>
        </w:rPr>
        <w:t xml:space="preserve"> é o torque calculado na convenção da patente, −τ: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RMSE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f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den>
                    </m:f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p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MAE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  <w:lang w:val="pt-BR"/>
                      </w:rPr>
                      <m:t xml:space="preserve">N</m:t>
                    </m:r>
                  </m:den>
                </m:f>
                <m:nary>
                  <m:naryPr>
                    <m:chr m:val="∑"/>
                    <m:limLoc m:val="undOvr"/>
                  </m:naryPr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=1</m:t>
                    </m:r>
                  </m:sub>
                  <m:sup>
                    <m:r>
                      <w:rPr>
                        <w:rFonts w:ascii="Cambria Math" w:hAnsi="Cambria Math"/>
                        <w:lang w:val="pt-BR"/>
                      </w:rPr>
                      <m:t xml:space="preserve">N</m:t>
                    </m:r>
                  </m:sup>
                  <m:e>
                    <m:d>
                      <m:dPr>
                        <m:begChr m:val="|"/>
                        <m:endChr m:val="|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i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=1−</m:t>
                </m:r>
                <m:f>
                  <m:num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p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N</m:t>
                        </m:r>
                      </m:sup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 xml:space="preserve"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 xml:space="preserve"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 xml:space="preserve">−</m:t>
                                </m:r>
                                <m:bar>
                                  <m:barPr>
                                    <m:pos m:val="top"/>
                                  </m:bar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 xml:space="preserve">y</m:t>
                                    </m:r>
                                  </m:e>
                                </m:ba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(26)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O RMSE mede a aderência à curva extraída, e não a validade física. Duas formulações só são comparadas por ele depois de ambas satisfazerem as verificações físicas da seção 3.11; essa regra decide, no capítulo 4, a adoção do caminho completo do cabo, apesar de o caminho sem o arco produzir RMSE menor.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3.10 Varredura paramétrica de h com K congelado</w:t>
      </w:r>
    </w:p>
    <w:p>
      <w:pPr>
        <w:rPr>
          <w:lang w:val="pt-BR"/>
        </w:rPr>
      </w:pPr>
      <w:r>
        <w:rPr>
          <w:lang w:val="pt-BR"/>
        </w:rPr>
        <w:t xml:space="preserve">Para separar o que a curva extraída informa sobre h do que a geometria impõe, h foi varrido de 8 a 60 mm, em passo de 0,005 mm, com o acréscimo dos valores exatos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e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, num total de 10.403 valores. A varredura é um diagnóstico, não uma otimização: K permanece congelado em 174,68 em todos os valores de h, não é reidentificado por h, e nenhum parâmetro do modelo é substituído pelo resultado.</w:t>
      </w:r>
    </w:p>
    <w:p>
      <w:pPr>
        <w:rPr>
          <w:lang w:val="pt-BR"/>
        </w:rPr>
      </w:pPr>
      <w:r>
        <w:rPr>
          <w:lang w:val="pt-BR"/>
        </w:rPr>
        <w:t xml:space="preserve">Ao variar h, a referência s</w:t>
      </w:r>
      <w:r>
        <w:rPr>
          <w:vertAlign w:val="subscript"/>
          <w:lang w:val="pt-BR"/>
        </w:rPr>
        <w:t xml:space="preserve">0</w:t>
      </w:r>
      <w:r>
        <w:rPr>
          <w:lang w:val="pt-BR"/>
        </w:rPr>
        <w:t xml:space="preserve">(h) da Equação (18) é recalculada de modo que a extensão da mola na pose permaneça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mm, preservando a pré-tensão de montagem. Essa ancoragem é uma escolha de modelagem, que isola o efeito de h do efeito da montagem.</w:t>
      </w:r>
    </w:p>
    <w:p>
      <w:pPr>
        <w:rPr>
          <w:lang w:val="pt-BR"/>
        </w:rPr>
      </w:pPr>
      <w:r>
        <w:rPr>
          <w:lang w:val="pt-BR"/>
        </w:rPr>
        <w:t xml:space="preserve">Para cada h são calculados o RMSE contra os 29 pontos extraídos, que representam exclusivamente o torque do cabo, e três critérios de validade física independentes da curva extraída: (i) tração, isto é, extensão da mola não negativa em toda a faixa de operação, calculada sem a limitação da Equação (19), para que o afrouxamento do cabo apareça como extensão negativa; (ii) fechamento, isto é, existência de tangente ao tambor (ρ &gt; R) em toda a faixa; e (iii) trabalho virtual, isto é, resíduo da Equação (17) inferior a 10</w:t>
      </w:r>
      <w:r>
        <w:rPr>
          <w:vertAlign w:val="superscript"/>
          <w:lang w:val="pt-BR"/>
        </w:rPr>
        <w:t xml:space="preserve">−6</w:t>
      </w:r>
      <w:r>
        <w:rPr>
          <w:lang w:val="pt-BR"/>
        </w:rPr>
        <w:t xml:space="preserve"> mm/rad. O torque gravitacional não entra em nenhum critério da varredura.</w:t>
      </w:r>
    </w:p>
    <w:p>
      <w:pPr>
        <w:rPr>
          <w:lang w:val="pt-BR"/>
        </w:rPr>
      </w:pPr>
      <w:r>
        <w:rPr>
          <w:lang w:val="pt-BR"/>
        </w:rPr>
        <w:t xml:space="preserve">O ângulo de enrolamento ψ não é critério de validade. Um valor nulo de ψ significa arco de enrolamento nulo, e não cabo fora do tambor; a permanência do cabo no tambor é garantida pela tangência, critério (ii).</w:t>
      </w:r>
    </w:p>
    <w:p>
      <w:pPr>
        <w:rPr>
          <w:lang w:val="pt-BR"/>
        </w:rPr>
      </w:pPr>
      <w:r>
        <w:rPr>
          <w:lang w:val="pt-BR"/>
        </w:rPr>
        <w:t xml:space="preserve">Da varredura derivam o valor de h de menor RMSE; os platôs de RMSE, intervalos de h em que o RMSE não excede 1,01, 1,05, 1,10 e 2 vezes o mínimo; a degradação do ajuste, valores de h em que o RMSE ultrapassa 2 e 10 vezes o mínimo; a fronteira de tração, obtida por bissecção; e o valor de h em que o ponto morto entra na faixa de operação, dado pela Equação (22). Uma família de curvas para sete valores de h e seus nós, ângulos em que as curvas quase coincidem, completam a análise.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3.11 Verificações numéricas e testes automatizados</w:t>
      </w:r>
    </w:p>
    <w:p>
      <w:pPr>
        <w:rPr>
          <w:lang w:val="pt-BR"/>
        </w:rPr>
      </w:pPr>
      <w:r>
        <w:rPr>
          <w:lang w:val="pt-BR"/>
        </w:rPr>
        <w:t xml:space="preserve">A cadeia de cálculo é conferida a cada execução do modelo por seis verificações automáticas: os resíduos f</w:t>
      </w:r>
      <w:r>
        <w:rPr>
          <w:vertAlign w:val="subscript"/>
          <w:lang w:val="pt-BR"/>
        </w:rPr>
        <w:t xml:space="preserve">1</w:t>
      </w:r>
      <w:r>
        <w:rPr>
          <w:lang w:val="pt-BR"/>
        </w:rPr>
        <w:t xml:space="preserve"> e f</w:t>
      </w:r>
      <w:r>
        <w:rPr>
          <w:vertAlign w:val="subscript"/>
          <w:lang w:val="pt-BR"/>
        </w:rPr>
        <w:t xml:space="preserve">2</w:t>
      </w:r>
      <w:r>
        <w:rPr>
          <w:lang w:val="pt-BR"/>
        </w:rPr>
        <w:t xml:space="preserve"> da Equação (6); a identidade τ = −F m/1000 da Equação (20); a coincidência das Equações (10) e (13) para o ponto de tangência; a coincidência da Equação (21) com a raiz de m(θ*) = 0 obtida por bissecção; o resíduo da Equação (17), calculado por diferenças finitas centradas com passo de 10</w:t>
      </w:r>
      <w:r>
        <w:rPr>
          <w:vertAlign w:val="superscript"/>
          <w:lang w:val="pt-BR"/>
        </w:rPr>
        <w:t xml:space="preserve">−4</w:t>
      </w:r>
      <w:r>
        <w:rPr>
          <w:lang w:val="pt-BR"/>
        </w:rPr>
        <w:t xml:space="preserve"> grau em 2.001 pontos da faixa; e a identidade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L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− L</w:t>
      </w:r>
      <w:r>
        <w:rPr>
          <w:vertAlign w:val="subscript"/>
          <w:lang w:val="pt-BR"/>
        </w:rPr>
        <w:t xml:space="preserve">livre</w:t>
      </w:r>
      <w:r>
        <w:rPr>
          <w:lang w:val="pt-BR"/>
        </w:rPr>
        <w:t xml:space="preserve">. Cada verificação tem tolerância declarada, e o modelo interrompe a execução se alguma delas for violada.</w:t>
      </w:r>
    </w:p>
    <w:p>
      <w:pPr>
        <w:rPr>
          <w:lang w:val="pt-BR"/>
        </w:rPr>
      </w:pPr>
      <w:r>
        <w:rPr>
          <w:lang w:val="pt-BR"/>
        </w:rPr>
        <w:t xml:space="preserve">O projeto mantém, além disso, testes automatizados executados com o pytest. Eles verificam, entre outros pontos, que os 29 pontos são carregados na ordem da extração, que o torque é linear em K, que a posição da ancoragem é argumento obrigatório de toda a cadeia, que a formulação s − Rψ é a única das testadas que satisfaz o trabalho virtual, que o enrolamento não é usado como critério de validade e que a varredura não reidentifica K por h.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3.12 Etapas dinâmicas previstas</w:t>
      </w:r>
    </w:p>
    <w:p>
      <w:pPr>
        <w:rPr>
          <w:lang w:val="pt-BR"/>
        </w:rPr>
      </w:pPr>
      <w:r>
        <w:rPr>
          <w:lang w:val="pt-BR"/>
        </w:rPr>
        <w:t xml:space="preserve">Os objetivos específicos f e g preveem a obtenção da equação de movimento pela formulação de Lagrange, sua integração numérica e o acoplamento do modelo ao MBDyn. Essas etapas não foram executadas nesta fase do trabalho, e o capítulo 4 não apresenta nenhum resultado dinâmico. O procedimento previsto é registrado a seguir.</w:t>
      </w:r>
    </w:p>
    <w:p>
      <w:pPr>
        <w:rPr>
          <w:lang w:val="pt-BR"/>
        </w:rPr>
      </w:pPr>
      <w:r>
        <w:rPr>
          <w:lang w:val="pt-BR"/>
        </w:rPr>
        <w:t xml:space="preserve">O sistema seria tratado como mecanismo plano de um grau de liberdade, a rotação do conjunto membro–elo distal em torno do eixo da junta, com coordenada generalizada θ*. A energia cinética seria escrita com o momento de inércia I</w:t>
      </w:r>
      <w:r>
        <w:rPr>
          <w:vertAlign w:val="subscript"/>
          <w:lang w:val="pt-BR"/>
        </w:rPr>
        <w:t xml:space="preserve">O</w:t>
      </w:r>
      <w:r>
        <w:rPr>
          <w:lang w:val="pt-BR"/>
        </w:rPr>
        <w:t xml:space="preserve"> da Equação (1), e a energia potencial reuniria a parcela gravitacional e a parcela elástica V</w:t>
      </w:r>
      <w:r>
        <w:rPr>
          <w:vertAlign w:val="subscript"/>
          <w:lang w:val="pt-BR"/>
        </w:rPr>
        <w:t xml:space="preserve">e</w:t>
      </w:r>
      <w:r>
        <w:rPr>
          <w:lang w:val="pt-BR"/>
        </w:rPr>
        <w:t xml:space="preserve"> = K δ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/2. Pela Equação (17), ∂V</w:t>
      </w:r>
      <w:r>
        <w:rPr>
          <w:vertAlign w:val="subscript"/>
          <w:lang w:val="pt-BR"/>
        </w:rPr>
        <w:t xml:space="preserve">e</w:t>
      </w:r>
      <w:r>
        <w:rPr>
          <w:lang w:val="pt-BR"/>
        </w:rPr>
        <w:t xml:space="preserve">/∂θ* = K δ m, de modo que a força generalizada elástica coincide, a menos do fator 1/1000, com o torque do cabo da Equação (20). A equação de movimento teria a forma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O</m:t>
                    </m:r>
                  </m:sub>
                </m:sSub>
                <m:sSup>
                  <m:e>
                    <m:acc>
                      <m:accPr>
                        <m:chr m:val="̈"/>
                      </m:acc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r>
                  <w:rPr>
                    <w:rFonts w:ascii="Cambria Math" w:hAnsi="Cambria Math"/>
                    <w:lang w:val="pt-BR"/>
                  </w:rPr>
                  <m:t xml:space="preserve">τ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g,s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nc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(27)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τ</w:t>
      </w:r>
      <w:r>
        <w:rPr>
          <w:vertAlign w:val="subscript"/>
          <w:lang w:val="pt-BR"/>
        </w:rPr>
        <w:t xml:space="preserve">g,s</w:t>
      </w:r>
      <w:r>
        <w:rPr>
          <w:lang w:val="pt-BR"/>
        </w:rPr>
        <w:t xml:space="preserve"> é o torque gravitacional com sinal e Q</w:t>
      </w:r>
      <w:r>
        <w:rPr>
          <w:vertAlign w:val="subscript"/>
          <w:lang w:val="pt-BR"/>
        </w:rPr>
        <w:t xml:space="preserve">nc</w:t>
      </w:r>
      <w:r>
        <w:rPr>
          <w:lang w:val="pt-BR"/>
        </w:rPr>
        <w:t xml:space="preserve"> reúne os esforços não conservativos, como o atrito. A verificação prevista compreende a conservação da energia na ausência de dissipação, a recuperação do resultado estático quando as velocidades tendem a zero e a consistência entre o braço de momento e a derivada do caminho do cabo, esta última já cumprida no modelo estático (seção 4.3). No acoplamento ao MBDyn, que integra o sistema multicorpos pela formulação de Masarati, Morandini e Mantegazza (2014), o gerador de torque entraria como força externa, com troca de configuração e de torque por socket a cada passo de integração, e a comparação com a integração própria, sob as mesmas condições iniciais, serviria de validação cruzada.</w:t>
      </w:r>
    </w:p>
    <w:p>
      <w:pPr>
        <w:rPr>
          <w:lang w:val="pt-BR"/>
        </w:rPr>
      </w:pPr>
      <w:r>
        <w:rPr>
          <w:lang w:val="pt-BR"/>
        </w:rPr>
        <w:t xml:space="preserve">As duas etapas dependem de um pré-requisito ainda não satisfeito: a Equação (27) soma o torque do cabo ao torque gravitacional e exige ambos na mesma unidade física. Enquanto K estiver referido à ordenada sem unidade da patente, a integração da equação de movimento não tem significado físico.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3.13 Ferramentas e delimitação</w:t>
      </w:r>
    </w:p>
    <w:p>
      <w:pPr>
        <w:rPr>
          <w:lang w:val="pt-BR"/>
        </w:rPr>
      </w:pPr>
      <w:r>
        <w:rPr>
          <w:lang w:val="pt-BR"/>
        </w:rPr>
        <w:t xml:space="preserve">Foram empregados o Autodesk Fusion, para a reconstrução geométrica e a extração das propriedades de massa; uma planilha eletrônica, para o transporte de eixos e a composição inercial; e a linguagem Python, com a biblioteca NumPy (HARRIS et al., 2020) para o cálculo vetorizado, a biblioteca Matplotlib (HUNTER, 2007) para as figuras e o pytest para os testes automatizados. A identificação não depende de biblioteca de otimização: K tem forma fechada, Equação (25), e as demais grandezas são obtidas por varredura direta e por bissecção. O MBDyn, previsto para a simulação multicorpos, não foi empregado nesta etapa.</w:t>
      </w:r>
    </w:p>
    <w:p>
      <w:pPr>
        <w:rPr>
          <w:lang w:val="pt-BR"/>
        </w:rPr>
      </w:pPr>
      <w:r>
        <w:rPr>
          <w:lang w:val="pt-BR"/>
        </w:rPr>
        <w:t xml:space="preserve">Não integram o escopo a avaliação experimental com participantes humanos, a eletromiografia, a análise de conforto e usabilidade, a fabricação e o ensaio de protótipo e o dimensionamento estrutural dos elos. O modelo é plano e admite cabo inextensível, tambor sem atrito e mola linear sem tração inicial, F = K δ. Os parâmetros antropométricos correspondem ao indivíduo de referência adotado, e o torque gravitacional é calculado para o membro superior estendido, sem ferramenta na mão. O modelo não representa a protuberância que, na patente, cria a zona neutra após o ângulo de transição.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 RESULTADOS E DISCUSSÃO</w:t>
      </w:r>
    </w:p>
    <w:p>
      <w:pPr>
        <w:rPr>
          <w:lang w:val="pt-BR"/>
        </w:rPr>
      </w:pPr>
      <w:r>
        <w:rPr>
          <w:lang w:val="pt-BR"/>
        </w:rPr>
        <w:t xml:space="preserve">Este capítulo apresenta os resultados das etapas descritas nas seções 3.1 a 3.11, aplicadas ao gerador de torque da US 9.889.554 B2. Salvo indicação em contrário, os números foram obtidos com o modelo vigente e os parâmetros congelados K = 174,68,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mm. As etapas dinâmicas da seção 3.12 e a aplicação do procedimento à US 9.737.374 B2 e à EP 3 504 033 B1 não foram executadas.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4.1 Geometria reconstruída e propriedades de massa</w:t>
      </w:r>
    </w:p>
    <w:p>
      <w:pPr>
        <w:rPr>
          <w:lang w:val="pt-BR"/>
        </w:rPr>
      </w:pPr>
      <w:r>
        <w:rPr>
          <w:lang w:val="pt-BR"/>
        </w:rPr>
        <w:t xml:space="preserve">A reconstrução da vista em corte do gerador de torque forneceu as grandezas da Tabela 2. O fator de escala único, fixado pela razão entre o comprimento do elo distal reconstruído e o comprimento de segmento do indivíduo de referência, resultou em 0,870. Duas cotas divergem de uma versão anterior do modelo em CAD e permanecem a confirmar: o comprimento útil do alojamento (131,37 mm, contra 140,0 mm) e o comprimento da mola na pose (91,35 mm, contra 90,13 mm). A primeira não entra na cadeia de cálculo; a segunda afeta apenas o comprimento livre da mola a especificar, pois o modelo depende só da diferença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(seção 3.6).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2 — Grandezas medidas na reconstrução em CAD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3260"/>
        <w:gridCol w:w="1300"/>
        <w:gridCol w:w="1200"/>
        <w:gridCol w:w="1300"/>
        <w:gridCol w:w="2300"/>
      </w:tblGrid>
      <w:tr>
        <w:trPr>
          <w:cantSplit/>
          <w:tblHeader/>
        </w:trPr>
        <w:tc>
          <w:tcPr>
            <w:tcW w:w="3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Grandeza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Símbolo</w:t>
            </w:r>
          </w:p>
        </w:tc>
        <w:tc>
          <w:tcPr>
            <w:tcW w:w="12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Unidade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Origem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Componente perpendicular do vetor pivô–ancoragem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p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3,155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Distância do pivô ao centro do tambor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283,438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Raio do tambor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R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22,827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Defasagem angular do desenho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α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20,428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graus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do mecanismo na pose de referência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θ*</w:t>
            </w:r>
            <w:r>
              <w:rPr>
                <w:vertAlign w:val="subscript"/>
                <w:lang w:val="pt-BR"/>
              </w:rPr>
              <w:t xml:space="preserve">pose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115,017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graus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da mola na pose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L</w:t>
            </w:r>
            <w:r>
              <w:rPr>
                <w:vertAlign w:val="subscript"/>
                <w:lang w:val="pt-BR"/>
              </w:rPr>
              <w:t xml:space="preserve">pose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91,35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CAD, a confirmar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útil do alojamento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L</w:t>
            </w:r>
            <w:r>
              <w:rPr>
                <w:vertAlign w:val="subscript"/>
                <w:lang w:val="pt-BR"/>
              </w:rPr>
              <w:t xml:space="preserve">carc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131,37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CAD, a confirmar</w:t>
            </w:r>
          </w:p>
        </w:tc>
      </w:tr>
      <w:tr>
        <w:trPr>
          <w:cantSplit/>
        </w:trPr>
        <w:tc>
          <w:tcPr>
            <w:tcW w:w="3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Posição da ancoragem conforme desenhada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H</w:t>
            </w:r>
            <w:r>
              <w:rPr>
                <w:vertAlign w:val="subscript"/>
                <w:lang w:val="pt-BR"/>
              </w:rPr>
              <w:t xml:space="preserve">CAD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34,785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Documental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composição inercial do conjunto braço–exoesqueleto, obtida pelo transporte dos momentos ao eixo da junta, consta da Tabela 3. Os segmentos do membro seguem de Leva (1996) para o indivíduo masculino de referência, de 73,0 kg e 1,741 m, com o cotovelo estendido; as peças do exoesqueleto provêm do modelo em CAD, escaladas pelo fator único.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3 — Propriedades de massa do conjunto braço–exoesqueleto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4560"/>
        <w:gridCol w:w="2800"/>
        <w:gridCol w:w="2000"/>
      </w:tblGrid>
      <w:tr>
        <w:trPr>
          <w:cantSplit/>
          <w:tblHeader/>
        </w:trPr>
        <w:tc>
          <w:tcPr>
            <w:tcW w:w="45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Grandeza</w:t>
            </w:r>
          </w:p>
        </w:tc>
        <w:tc>
          <w:tcPr>
            <w:tcW w:w="28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  <w:tc>
          <w:tcPr>
            <w:tcW w:w="2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Unidade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Massa total do conjunto, M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4,034309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kg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Centro de massa na pose de referência, (x</w:t>
            </w:r>
            <w:r>
              <w:rPr>
                <w:vertAlign w:val="subscript"/>
                <w:lang w:val="pt-BR"/>
              </w:rPr>
              <w:t xml:space="preserve">cm</w:t>
            </w:r>
            <w:r>
              <w:rPr>
                <w:lang w:val="pt-BR"/>
              </w:rPr>
              <w:t xml:space="preserve">; y</w:t>
            </w:r>
            <w:r>
              <w:rPr>
                <w:vertAlign w:val="subscript"/>
                <w:lang w:val="pt-BR"/>
              </w:rPr>
              <w:t xml:space="preserve">cm</w:t>
            </w:r>
            <w:r>
              <w:rPr>
                <w:lang w:val="pt-BR"/>
              </w:rPr>
              <w:t xml:space="preserve">)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(−281,432; −19,812)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Distância do centro de massa ao eixo, d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282,128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Momento de inércia no eixo da junta, I</w:t>
            </w:r>
            <w:r>
              <w:rPr>
                <w:vertAlign w:val="subscript"/>
                <w:lang w:val="pt-BR"/>
              </w:rPr>
              <w:t xml:space="preserve">O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0,448227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kg·m</w:t>
            </w:r>
            <w:r>
              <w:rPr>
                <w:vertAlign w:val="superscript"/>
                <w:lang w:val="pt-BR"/>
              </w:rPr>
              <w:t xml:space="preserve">2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Momento de inércia no centro de massa, I</w:t>
            </w:r>
            <w:r>
              <w:rPr>
                <w:vertAlign w:val="subscript"/>
                <w:lang w:val="pt-BR"/>
              </w:rPr>
              <w:t xml:space="preserve">cm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0,127111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kg·m</w:t>
            </w:r>
            <w:r>
              <w:rPr>
                <w:vertAlign w:val="superscript"/>
                <w:lang w:val="pt-BR"/>
              </w:rPr>
              <w:t xml:space="preserve">2</w:t>
            </w:r>
          </w:p>
        </w:tc>
      </w:tr>
      <w:tr>
        <w:trPr>
          <w:cantSplit/>
        </w:trPr>
        <w:tc>
          <w:tcPr>
            <w:tcW w:w="45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Amplitude do momento gravitacional, M g d</w:t>
            </w:r>
          </w:p>
        </w:tc>
        <w:tc>
          <w:tcPr>
            <w:tcW w:w="28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11,1619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N·m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consistência interna da Tabela 3 foi conferida: I</w:t>
      </w:r>
      <w:r>
        <w:rPr>
          <w:vertAlign w:val="subscript"/>
          <w:lang w:val="pt-BR"/>
        </w:rPr>
        <w:t xml:space="preserve">cm</w:t>
      </w:r>
      <w:r>
        <w:rPr>
          <w:lang w:val="pt-BR"/>
        </w:rPr>
        <w:t xml:space="preserve"> + M d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= 0,127111 + 0,321116 = 0,448227 kg·m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, igual ao momento de inércia no eixo da junta, conforme a Equação (1); e M g d = 11,1619 N·m coincide com o pico do torque gravitacional calculado pela Equação (24) (seção 4.8). O momento de inércia destina-se à etapa dinâmica, não executada, e não participa do cálculo do torque estático.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4.2 Dados extraídos da patente</w:t>
      </w:r>
    </w:p>
    <w:p>
      <w:pPr>
        <w:rPr>
          <w:lang w:val="pt-BR"/>
        </w:rPr>
      </w:pPr>
      <w:r>
        <w:rPr>
          <w:lang w:val="pt-BR"/>
        </w:rPr>
        <w:t xml:space="preserve">A Tabela 4 reúne os 29 pontos extraídos da curva da patente, na ordem da extração, com os ângulos correspondentes nas convenções da seção 3.3, o torque calculado pelo modelo com os parâmetros congelados e o resíduo. Os pontos cobrem θ* de 42,909° a 193,017°, isto é, elevação de 180,1° a 30,0°, com espaçamento irregular, de 2,87° a 8,03° em θ*. O maior valor extraído, 147,310 u.p., ocorre em θ* = 123,196° (elevação de 99,8°), e a média dos 29 valores é 81,840 u.p. Os valores são expressos em u.p. porque a figura de origem não declara unidade (seção 2.10).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4 — Pontos extraídos da curva da patente e torque calculado pelo modelo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700"/>
        <w:gridCol w:w="1300"/>
        <w:gridCol w:w="1300"/>
        <w:gridCol w:w="1300"/>
        <w:gridCol w:w="1600"/>
        <w:gridCol w:w="1580"/>
        <w:gridCol w:w="1580"/>
      </w:tblGrid>
      <w:tr>
        <w:trPr>
          <w:cantSplit/>
          <w:tblHeader/>
        </w:trPr>
        <w:tc>
          <w:tcPr>
            <w:tcW w:w="7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Nº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θ*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φ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pat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θ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el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60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Extraído (u.p.)</w:t>
            </w:r>
          </w:p>
        </w:tc>
        <w:tc>
          <w:tcPr>
            <w:tcW w:w="158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Modelo, −τ (u.p.)</w:t>
            </w:r>
          </w:p>
        </w:tc>
        <w:tc>
          <w:tcPr>
            <w:tcW w:w="1580" w:type="dxa"/>
            <w:shd w:val="clear" w:color="auto" w:fill="F2F2F2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Resíduo (u.p.)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193,017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−60,000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30,000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0,443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−1,709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−2,152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189,146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−56,129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33,871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11,519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+11,908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+0,389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185,849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−52,832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37,168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23,703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+23,428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−0,274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181,691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−48,674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41,326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38,101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+37,729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−0,372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177,677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−44,660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45,340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50,506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+51,171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+0,664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171,368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−38,351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51,649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70,000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+71,259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+1,259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167,354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−34,337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55,663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81,962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+83,202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+1,240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162,766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−29,749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60,251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94,146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+95,882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+1,736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155,311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−22,294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67,706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111,867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+113,925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+2,058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148,429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−15,412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74,588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125,158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+127,378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+2,220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143,268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−10,251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79,749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133,354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+135,260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+1,906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135,239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−2,222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87,778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142,437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+143,561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+1,124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128,931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+4,086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94,086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146,202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+146,647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+0,445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123,196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+9,821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99,821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147,310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+146,874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−0,436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115,168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+17,849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107,849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144,652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+143,291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−1,361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108,286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+24,731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114,731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138,892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+136,943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−1,950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100,831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+32,186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122,186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130,032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+127,175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−2,856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94,809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+38,208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128,208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120,063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+117,532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−2,532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88,501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+44,516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134,516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108,987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+106,203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−2,784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83,340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+49,677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139,677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98,354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+96,324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−2,030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78,035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+54,982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144,982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87,500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+85,889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−1,611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72,587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+60,430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150,430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75,981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+75,155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−0,826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68,142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+64,875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154,875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66,456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+66,572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+0,117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62,408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+70,609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160,609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55,158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+55,955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+0,797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57,820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+75,197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165,197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46,519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+47,977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+1,458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54,379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+78,638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168,638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39,873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+42,356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+2,482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50,938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+82,079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172,079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34,335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+37,078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+2,743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45,777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+87,240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177,240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27,025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+29,845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+2,819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42,909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+90,108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180,108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22,816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+26,188</w:t>
            </w:r>
          </w:p>
        </w:tc>
        <w:tc>
          <w:tcPr>
            <w:tcW w:w="1580" w:type="dxa"/>
            <w:vAlign w:val="center"/>
          </w:tcPr>
          <w:p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+3,371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autor, a partir da US 9.889.554 B2 (VAN ENGELHOVEN; KAZEROONI, 2018).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resíduo = modelo − extraído; modelo com K = 174,68, h = 22,701 mm e X</w:t>
      </w:r>
      <w:r>
        <w:rPr>
          <w:sz w:val="20"/>
          <w:szCs w:val="20"/>
          <w:vertAlign w:val="subscript"/>
          <w:lang w:val="pt-BR"/>
        </w:rPr>
        <w:t xml:space="preserve">pose</w:t>
      </w:r>
      <w:r>
        <w:rPr>
          <w:sz w:val="20"/>
          <w:szCs w:val="20"/>
          <w:lang w:val="pt-BR"/>
        </w:rPr>
        <w:t xml:space="preserve"> = 37,383 mm.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4.3 Verificação da cadeia de cálculo</w:t>
      </w:r>
    </w:p>
    <w:p>
      <w:pPr>
        <w:rPr>
          <w:lang w:val="pt-BR"/>
        </w:rPr>
      </w:pPr>
      <w:r>
        <w:rPr>
          <w:lang w:val="pt-BR"/>
        </w:rPr>
        <w:t xml:space="preserve">As verificações automáticas da seção 3.11 resultaram nos resíduos da Tabela 5, todos da ordem do erro de arredondamento da aritmética de ponto flutuante, exceto o do trabalho virtual, limitado pelo truncamento da diferença finita.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5 — Verificações da cadeia de cálculo (h = 22,701 mm)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6260"/>
        <w:gridCol w:w="3100"/>
      </w:tblGrid>
      <w:tr>
        <w:trPr>
          <w:cantSplit/>
          <w:tblHeader/>
        </w:trPr>
        <w:tc>
          <w:tcPr>
            <w:tcW w:w="6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Verificação</w:t>
            </w:r>
          </w:p>
        </w:tc>
        <w:tc>
          <w:tcPr>
            <w:tcW w:w="3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Resíduo máximo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Equações de fechamento f</w:t>
            </w:r>
            <w:r>
              <w:rPr>
                <w:vertAlign w:val="subscript"/>
                <w:lang w:val="pt-BR"/>
              </w:rPr>
              <w:t xml:space="preserve">1</w:t>
            </w:r>
            <w:r>
              <w:rPr>
                <w:lang w:val="pt-BR"/>
              </w:rPr>
              <w:t xml:space="preserve"> e f</w:t>
            </w:r>
            <w:r>
              <w:rPr>
                <w:vertAlign w:val="subscript"/>
                <w:lang w:val="pt-BR"/>
              </w:rPr>
              <w:t xml:space="preserve">2</w:t>
            </w:r>
            <w:r>
              <w:rPr>
                <w:lang w:val="pt-BR"/>
              </w:rPr>
              <w:t xml:space="preserve">, Equação (6)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1,4 × 10</w:t>
            </w:r>
            <w:r>
              <w:rPr>
                <w:vertAlign w:val="superscript"/>
                <w:lang w:val="pt-BR"/>
              </w:rPr>
              <w:t xml:space="preserve">−13</w:t>
            </w:r>
            <w:r>
              <w:rPr>
                <w:lang w:val="pt-BR"/>
              </w:rPr>
              <w:t xml:space="preserve"> mm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Identidade τ = −F m/1000, Equação (20), com força unitária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1,6 × 10</w:t>
            </w:r>
            <w:r>
              <w:rPr>
                <w:vertAlign w:val="superscript"/>
                <w:lang w:val="pt-BR"/>
              </w:rPr>
              <w:t xml:space="preserve">−13</w:t>
            </w:r>
            <w:r>
              <w:rPr>
                <w:lang w:val="pt-BR"/>
              </w:rPr>
              <w:t xml:space="preserve"> mm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Ponto de tangência pelas Equações (10) e (13)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8,0 × 10</w:t>
            </w:r>
            <w:r>
              <w:rPr>
                <w:vertAlign w:val="superscript"/>
                <w:lang w:val="pt-BR"/>
              </w:rPr>
              <w:t xml:space="preserve">−13</w:t>
            </w:r>
            <w:r>
              <w:rPr>
                <w:lang w:val="pt-BR"/>
              </w:rPr>
              <w:t xml:space="preserve"> mm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Ponto morto, Equação (21) contra bissecção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1,3 × 10</w:t>
            </w:r>
            <w:r>
              <w:rPr>
                <w:vertAlign w:val="superscript"/>
                <w:lang w:val="pt-BR"/>
              </w:rPr>
              <w:t xml:space="preserve">−11</w:t>
            </w:r>
            <w:r>
              <w:rPr>
                <w:lang w:val="pt-BR"/>
              </w:rPr>
              <w:t xml:space="preserve"> grau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Trabalho virtual, Equação (17)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4,7 × 10</w:t>
            </w:r>
            <w:r>
              <w:rPr>
                <w:vertAlign w:val="superscript"/>
                <w:lang w:val="pt-BR"/>
              </w:rPr>
              <w:t xml:space="preserve">−8</w:t>
            </w:r>
            <w:r>
              <w:rPr>
                <w:lang w:val="pt-BR"/>
              </w:rPr>
              <w:t xml:space="preserve"> mm</w:t>
            </w:r>
          </w:p>
        </w:tc>
      </w:tr>
      <w:tr>
        <w:trPr>
          <w:cantSplit/>
        </w:trPr>
        <w:tc>
          <w:tcPr>
            <w:tcW w:w="6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Par da mola, X</w:t>
            </w:r>
            <w:r>
              <w:rPr>
                <w:vertAlign w:val="subscript"/>
                <w:lang w:val="pt-BR"/>
              </w:rPr>
              <w:t xml:space="preserve">pose</w:t>
            </w:r>
            <w:r>
              <w:rPr>
                <w:lang w:val="pt-BR"/>
              </w:rPr>
              <w:t xml:space="preserve"> = L</w:t>
            </w:r>
            <w:r>
              <w:rPr>
                <w:vertAlign w:val="subscript"/>
                <w:lang w:val="pt-BR"/>
              </w:rPr>
              <w:t xml:space="preserve">pose</w:t>
            </w:r>
            <w:r>
              <w:rPr>
                <w:lang w:val="pt-BR"/>
              </w:rPr>
              <w:t xml:space="preserve"> − L</w:t>
            </w:r>
            <w:r>
              <w:rPr>
                <w:vertAlign w:val="subscript"/>
                <w:lang w:val="pt-BR"/>
              </w:rPr>
              <w:t xml:space="preserve">livre</w:t>
            </w:r>
          </w:p>
        </w:tc>
        <w:tc>
          <w:tcPr>
            <w:tcW w:w="3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7,1 × 10</w:t>
            </w:r>
            <w:r>
              <w:rPr>
                <w:vertAlign w:val="superscript"/>
                <w:lang w:val="pt-BR"/>
              </w:rPr>
              <w:t xml:space="preserve">−15</w:t>
            </w:r>
            <w:r>
              <w:rPr>
                <w:lang w:val="pt-BR"/>
              </w:rPr>
              <w:t xml:space="preserve"> mm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verificação do trabalho virtual decidiu a formulação do caminho do cabo. Com a extensão da mola acompanhando apenas o vão livre s, como na formulação inicialmente adotada, o resíduo da Equação (17) é de 1,7129 mm; com o arco somado ao vão, s + Rψ, é de 3,4258 mm; somente com ℓ = s − Rψ, Equação (16), ele cai a 4,7 × 10</w:t>
      </w:r>
      <w:r>
        <w:rPr>
          <w:vertAlign w:val="superscript"/>
          <w:lang w:val="pt-BR"/>
        </w:rPr>
        <w:t xml:space="preserve">−8</w:t>
      </w:r>
      <w:r>
        <w:rPr>
          <w:lang w:val="pt-BR"/>
        </w:rPr>
        <w:t xml:space="preserve"> mm. Um resíduo da ordem do milímetro significa que o modelo entregaria torque sem a correspondente variação de energia da mola, o que viola a conservação de energia em um mecanismo sem atrito.</w:t>
      </w:r>
    </w:p>
    <w:p>
      <w:pPr>
        <w:rPr>
          <w:lang w:val="pt-BR"/>
        </w:rPr>
      </w:pPr>
      <w:r>
        <w:rPr>
          <w:lang w:val="pt-BR"/>
        </w:rPr>
        <w:t xml:space="preserve">O efeito do arco é pequeno em valor absoluto e sistemático em distribuição. O arco varia 1,862 mm na faixa de operação, contra 42,435 mm de variação do caminho total (4,4%). Com a mesma ancoragem na pose, sua incorporação altera a extensão da mola em até 1,782 mm, em θ* = 193,017° (elevação de 30°), onde a extensão está próxima do máximo e o desvio relativo é de 3,3%. Em termos relativos, o efeito é maior no extremo oposto, em θ* = 42,917° (elevação de 180,1°), onde a extensão cai a 12,044 mm e o desvio chega a 6,3%.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4.4 Parâmetros do modelo e reprodução da identificação</w:t>
      </w:r>
    </w:p>
    <w:p>
      <w:pPr>
        <w:rPr>
          <w:lang w:val="pt-BR"/>
        </w:rPr>
      </w:pPr>
      <w:r>
        <w:rPr>
          <w:lang w:val="pt-BR"/>
        </w:rPr>
        <w:t xml:space="preserve">A Tabela 6 reúne os parâmetros não publicados pela patente, com seus valores congelados e a situação de cada um nesta revisão.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6 — Parâmetros não publicados, origem e verificação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900"/>
        <w:gridCol w:w="1300"/>
        <w:gridCol w:w="1600"/>
        <w:gridCol w:w="2260"/>
        <w:gridCol w:w="2300"/>
      </w:tblGrid>
      <w:tr>
        <w:trPr>
          <w:cantSplit/>
          <w:tblHeader/>
        </w:trPr>
        <w:tc>
          <w:tcPr>
            <w:tcW w:w="19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Parâmetro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Símbolo</w:t>
            </w:r>
          </w:p>
        </w:tc>
        <w:tc>
          <w:tcPr>
            <w:tcW w:w="16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  <w:tc>
          <w:tcPr>
            <w:tcW w:w="2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Origem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Verificação nesta revisão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Calibração angular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θ</w:t>
            </w:r>
            <w:r>
              <w:rPr>
                <w:vertAlign w:val="subscript"/>
                <w:lang w:val="pt-BR"/>
              </w:rPr>
              <w:t xml:space="preserve">off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133,017°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Identificado em etapa anterior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Não reproduzida: script não registrado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Posição da ancoragem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H</w:t>
            </w:r>
            <w:r>
              <w:rPr>
                <w:vertAlign w:val="subscript"/>
                <w:lang w:val="pt-BR"/>
              </w:rPr>
              <w:t xml:space="preserve">CAL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22,701 mm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Identificado em etapa anterior, sob restrição não registrada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Não reproduzida (ver texto)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Extensão da mola na pose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X</w:t>
            </w:r>
            <w:r>
              <w:rPr>
                <w:vertAlign w:val="subscript"/>
                <w:lang w:val="pt-BR"/>
              </w:rPr>
              <w:t xml:space="preserve">pose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37,383 mm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Identificado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Reproduzida: 37,383 mm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Rigidez da mola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K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174,68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Identificado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Reproduzida: 174,676, Equação (25)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livre da mola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L</w:t>
            </w:r>
            <w:r>
              <w:rPr>
                <w:vertAlign w:val="subscript"/>
                <w:lang w:val="pt-BR"/>
              </w:rPr>
              <w:t xml:space="preserve">livre</w:t>
            </w:r>
          </w:p>
        </w:tc>
        <w:tc>
          <w:tcPr>
            <w:tcW w:w="16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53,967 mm</w:t>
            </w:r>
          </w:p>
        </w:tc>
        <w:tc>
          <w:tcPr>
            <w:tcW w:w="22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Derivado: L</w:t>
            </w:r>
            <w:r>
              <w:rPr>
                <w:vertAlign w:val="subscript"/>
                <w:lang w:val="pt-BR"/>
              </w:rPr>
              <w:t xml:space="preserve">pose</w:t>
            </w:r>
            <w:r>
              <w:rPr>
                <w:lang w:val="pt-BR"/>
              </w:rPr>
              <w:t xml:space="preserve"> − X</w:t>
            </w:r>
            <w:r>
              <w:rPr>
                <w:vertAlign w:val="subscript"/>
                <w:lang w:val="pt-BR"/>
              </w:rPr>
              <w:t xml:space="preserve">pose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Identidade verificada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K tem a unidade que faz K δ m/1000 resultar em u.p. (seção 3.6).</w:t>
      </w:r>
    </w:p>
    <w:p>
      <w:pPr>
        <w:rPr>
          <w:lang w:val="pt-BR"/>
        </w:rPr>
      </w:pPr>
      <w:r>
        <w:rPr>
          <w:lang w:val="pt-BR"/>
        </w:rPr>
        <w:t xml:space="preserve">Com h = 22,701 mm e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congelados, a varredura de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com K dado pela Equação (25) reproduz o par identificado: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mm, K = 174,676 e RMSE de 1,8305 u.p., coincidentes com os valores congelados até a resolução da varredura. O valor 174,68 é, portanto, o arredondamento do K de mínimos quadrados no h adotado, e o par (K, h) é consistente.</w:t>
      </w:r>
    </w:p>
    <w:p>
      <w:pPr>
        <w:rPr>
          <w:lang w:val="pt-BR"/>
        </w:rPr>
      </w:pPr>
      <w:r>
        <w:rPr>
          <w:lang w:val="pt-BR"/>
        </w:rPr>
        <w:t xml:space="preserve">A origem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mm, ao contrário, não pôde ser reproduzida. A versão anterior deste texto afirmava que o RMSE decresce monotonicamente com h, sem mínimo interior, e que 22,701 mm corresponde ao ponto em que uma restrição sobre a extensão máxima da mola se torna ativa. Para auditar essa afirmação, foi executada uma análise complementar em que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e K são reidentificados para cada h, de 8 a 60 mm em passo de 0,25 mm. Essa análise não é o procedimento principal deste trabalho, que mantém K congelado (seção 3.10), e serve apenas para conferir a afirmação anterior. O RMSE resultante apresenta mínimo interior em h ≈ 24,0 mm, com RMSE de 1,682 u.p.,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38,83 mm e K = 160,46, e cresce para valores maiores de h. A razão entre a extensão máxima e o comprimento livre vale 1,0095 em h = 22,701 mm, iguala 1 em h ≈ 22,52 mm e só ultrapassa 10 próximo do extremo superior da varredura, em h = 60 mm. Com a formulação anterior do caminho do cabo, sem o arco, o comportamento é análogo, com mínimo em h ≈ 23,0 mm e RMSE de 1,146 u.p. A afirmação de decrescimento monotônico não é reproduzida por nenhuma das duas formulações, e o critério que levou a 22,701 mm não pode ser reconstituído a partir dos registros disponíveis.</w:t>
      </w:r>
    </w:p>
    <w:p>
      <w:pPr>
        <w:rPr>
          <w:lang w:val="pt-BR"/>
        </w:rPr>
      </w:pPr>
      <w:r>
        <w:rPr>
          <w:lang w:val="pt-BR"/>
        </w:rPr>
        <w:t xml:space="preserve">Em consequência,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é tratado neste trabalho como parâmetro congelado de origem não reproduzida, e não como ótimo identificado. Ele é mantido porque o par (K,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) foi identificado nesse valor e porque o ponto morto correspondente, na elevação de 30,485°, fica a 0,485° do início da zona neutra indicado na patente, ao passo que h = 24,0 mm o deslocaria para 30,909°. A consistência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com a curva extraída e com as restrições físicas é examinada na seção 4.7.</w:t>
      </w:r>
    </w:p>
    <w:p>
      <w:pPr>
        <w:rPr>
          <w:lang w:val="pt-BR"/>
        </w:rPr>
      </w:pPr>
      <w:r>
        <w:rPr>
          <w:lang w:val="pt-BR"/>
        </w:rPr>
        <w:t xml:space="preserve">A comparação entre formulações obedece à regra da seção 3.9. Com o caminho do cabo igual ao vão livre, a formulação anterior alcança RMSE de 1,152 u.p. no mesmo h, com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37,44 mm e K = 175,50 reidentificados; com o caminho completo, o RMSE é de 1,830 u.p. A formulação anterior ajusta melhor a curva publicada, mas viola a conservação de energia (seção 4.3) e, por isso, foi abandonada: o menor RMSE não é critério de validade física.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4.5 Qualidade do ajuste à curva da patente</w:t>
      </w:r>
    </w:p>
    <w:p>
      <w:pPr>
        <w:rPr>
          <w:lang w:val="pt-BR"/>
        </w:rPr>
      </w:pPr>
      <w:r>
        <w:rPr>
          <w:lang w:val="pt-BR"/>
        </w:rPr>
        <w:t xml:space="preserve">A Figura 2 sobrepõe o torque calculado com os parâmetros congelados aos 29 pontos extraídos, e a Tabela 7 reúne os indicadores do ajuste.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2 — Torque do cabo calculado (−τ) e pontos extraídos da patente, com os resíduos no painel inferior (K = 174,68; h = 22,701 mm;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mm)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029200" cy="3520440"/>
            <wp:effectExtent l="0" t="0" r="0" b="0"/>
            <wp:docPr id="902" name="Figura 2" descr="Torque do cabo calculado e 29 pontos extraídos da patente em função de θ*, com os resíduos em painel inferi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2" name="Figura 2" descr="Torque do cabo calculado e 29 pontos extraídos da patente em função de θ*, com os resíduos em painel inferior."/>
                    <pic:cNvPicPr/>
                  </pic:nvPicPr>
                  <pic:blipFill>
                    <a:blip r:embed="rIdTccFig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resíduo = modelo − extraído.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7 — Indicadores de qualidade do ajuste à curva da patente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4960"/>
        <w:gridCol w:w="4400"/>
      </w:tblGrid>
      <w:tr>
        <w:trPr>
          <w:cantSplit/>
          <w:tblHeader/>
        </w:trPr>
        <w:tc>
          <w:tcPr>
            <w:tcW w:w="49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Indicador</w:t>
            </w:r>
          </w:p>
        </w:tc>
        <w:tc>
          <w:tcPr>
            <w:tcW w:w="44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Raiz do erro quadrático médio, RMSE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1,8305 u.p.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Erro absoluto médio, MAE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1,5866 u.p.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Erro máximo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3,3712 u.p., em θ* = 42,909° (elevação de 180,1°)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Coeficiente de determinação, R</w:t>
            </w:r>
            <w:r>
              <w:rPr>
                <w:vertAlign w:val="superscript"/>
                <w:lang w:val="pt-BR"/>
              </w:rPr>
              <w:t xml:space="preserve">2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0,99839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MAE relativo à média dos valores extraídos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1,94%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RMSE relativo ao maior valor extraído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1,24%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Resíduo médio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+0,264 u.p.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Pico calculado, curva contínua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147,072 u.p., em θ* = 125,533° (elevação de 97,48°)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Pico calculado nos pontos extraídos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146,874 u.p., em θ* = 123,196°</w:t>
            </w:r>
          </w:p>
        </w:tc>
      </w:tr>
      <w:tr>
        <w:trPr>
          <w:cantSplit/>
        </w:trPr>
        <w:tc>
          <w:tcPr>
            <w:tcW w:w="49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Maior valor extraído</w:t>
            </w:r>
          </w:p>
        </w:tc>
        <w:tc>
          <w:tcPr>
            <w:tcW w:w="44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147,310 u.p., em θ* = 123,196°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O coeficiente de determinação de 0,99839 e o erro absoluto médio de 1,94% da média indicam que a forma do perfil é reproduzida com fidelidade, apesar de os parâmetros construtivos não constarem da patente. O resultado deve ser lido com duas ressalvas. Primeiro, os quatro parâmetros não publicados foram identificados contra os mesmos 29 pontos usados na avaliação, de modo que a aderência não constitui validação independente do modelo. Segundo, a incerteza da extração não é conhecida, o que impede afirmar se os resíduos estão ou não dentro dela.</w:t>
      </w:r>
    </w:p>
    <w:p>
      <w:pPr>
        <w:rPr>
          <w:lang w:val="pt-BR"/>
        </w:rPr>
      </w:pPr>
      <w:r>
        <w:rPr>
          <w:lang w:val="pt-BR"/>
        </w:rPr>
        <w:t xml:space="preserve">Os resíduos não se distribuem aleatoriamente (Tabela 8). Ordenados por θ*, eles formam três zonas extensas de sinal alternado, que reúnem 25 dos 29 pontos, seguidas de quatro pontos próximos ao ponto morto.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8 — Zonas de sinal dos resíduos (modelo − extraído), em ordem de θ*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900"/>
        <w:gridCol w:w="2700"/>
        <w:gridCol w:w="2300"/>
        <w:gridCol w:w="1260"/>
        <w:gridCol w:w="2200"/>
      </w:tblGrid>
      <w:tr>
        <w:trPr>
          <w:cantSplit/>
          <w:tblHeader/>
        </w:trPr>
        <w:tc>
          <w:tcPr>
            <w:tcW w:w="9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Zona</w:t>
            </w:r>
          </w:p>
        </w:tc>
        <w:tc>
          <w:tcPr>
            <w:tcW w:w="27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Faixa de θ* (°)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Faixa de elevação (°)</w:t>
            </w:r>
          </w:p>
        </w:tc>
        <w:tc>
          <w:tcPr>
            <w:tcW w:w="12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Pontos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Resíduo médio (u.p.)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42,909 a 68,142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180,1 a 154,9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+1,970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72,587 a 123,196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150,4 a 99,8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−1,821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3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128,931 a 177,677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94,1 a 45,3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9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+1,406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4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181,691 a 185,849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41,3 a 37,2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−0,323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5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189,146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33,9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+0,389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6</w:t>
            </w:r>
          </w:p>
        </w:tc>
        <w:tc>
          <w:tcPr>
            <w:tcW w:w="2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193,017</w:t>
            </w:r>
          </w:p>
        </w:tc>
        <w:tc>
          <w:tcPr>
            <w:tcW w:w="2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30,0</w:t>
            </w:r>
          </w:p>
        </w:tc>
        <w:tc>
          <w:tcPr>
            <w:tcW w:w="12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</w:t>
            </w:r>
          </w:p>
        </w:tc>
        <w:tc>
          <w:tcPr>
            <w:tcW w:w="22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−2,152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O modelo superestima o torque com o braço alto, acima de 155° de elevação (zona 1), e entre 45° e 94° (zona 3), e o subestima entre 100° e 150° (zona 2). Resíduo estruturado dessa natureza indica diferença sistemática de forma entre o modelo e a curva, e não apenas dispersão de digitalização. As causas possíveis — imprecisão da geometria reconstruída, erro sistemático na extração ou diferença entre a formulação do modelo e a que gerou a figura da patente — não podem ser separadas com os dados disponíveis. O fato de a formulação sem o arco reproduzir a curva com RMSE menor é compatível com a última hipótese, mas não a demonstra.</w:t>
      </w:r>
    </w:p>
    <w:p>
      <w:pPr>
        <w:rPr>
          <w:lang w:val="pt-BR"/>
        </w:rPr>
      </w:pPr>
      <w:r>
        <w:rPr>
          <w:lang w:val="pt-BR"/>
        </w:rPr>
        <w:t xml:space="preserve">O último ponto, em θ* = 193,017°, está além do ponto morto calculado (θ*</w:t>
      </w:r>
      <w:r>
        <w:rPr>
          <w:vertAlign w:val="subscript"/>
          <w:lang w:val="pt-BR"/>
        </w:rPr>
        <w:t xml:space="preserve">pm</w:t>
      </w:r>
      <w:r>
        <w:rPr>
          <w:lang w:val="pt-BR"/>
        </w:rPr>
        <w:t xml:space="preserve"> = 192,532°). Ali o modelo prevê torque de −1,709 u.p., com sinal invertido, ao passo que a curva extraída registra 0,443 u.p. A diferença, que responde pelo resíduo da zona 6, é coerente com a ausência, no modelo, da protuberância que mantém o torque residual aproximadamente nulo no dispositivo real (seção 4.9).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4.6 Comportamento da mola e do mecanismo</w:t>
      </w:r>
    </w:p>
    <w:p>
      <w:pPr>
        <w:rPr>
          <w:lang w:val="pt-BR"/>
        </w:rPr>
      </w:pPr>
      <w:r>
        <w:rPr>
          <w:lang w:val="pt-BR"/>
        </w:rPr>
        <w:t xml:space="preserve">A Tabela 9 caracteriza o funcionamento do mecanismo na faixa de operação, de θ* = 42,917° a 193,017°, que corresponde a 150,1° de elevação anatômica, de 30° a 180,1°. As grandezas foram calculadas em malha de 0,001° com os parâmetros congelados.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9 — Grandezas do mecanismo na faixa de operação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5160"/>
        <w:gridCol w:w="4200"/>
      </w:tblGrid>
      <w:tr>
        <w:trPr>
          <w:cantSplit/>
          <w:tblHeader/>
        </w:trPr>
        <w:tc>
          <w:tcPr>
            <w:tcW w:w="51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Grandeza</w:t>
            </w:r>
          </w:p>
        </w:tc>
        <w:tc>
          <w:tcPr>
            <w:tcW w:w="42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Valor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Caminho do cabo na pose de referência, ℓ(θ*</w:t>
            </w:r>
            <w:r>
              <w:rPr>
                <w:vertAlign w:val="subscript"/>
                <w:lang w:val="pt-BR"/>
              </w:rPr>
              <w:t xml:space="preserve">pose</w:t>
            </w:r>
            <w:r>
              <w:rPr>
                <w:lang w:val="pt-BR"/>
              </w:rPr>
              <w:t xml:space="preserve">)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290,180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Referência da extensão, s</w:t>
            </w:r>
            <w:r>
              <w:rPr>
                <w:vertAlign w:val="subscript"/>
                <w:lang w:val="pt-BR"/>
              </w:rPr>
              <w:t xml:space="preserve">0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252,797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livre da mola, L</w:t>
            </w:r>
            <w:r>
              <w:rPr>
                <w:vertAlign w:val="subscript"/>
                <w:lang w:val="pt-BR"/>
              </w:rPr>
              <w:t xml:space="preserve">livre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53,967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Extensão da mola, δ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12,044 mm (θ* = 42,917°) a 54,479 mm (θ* = 192,532°)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Curso da mola na faixa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42,435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Comprimento da mola, L</w:t>
            </w:r>
            <w:r>
              <w:rPr>
                <w:vertAlign w:val="subscript"/>
                <w:lang w:val="pt-BR"/>
              </w:rPr>
              <w:t xml:space="preserve">livre</w:t>
            </w:r>
            <w:r>
              <w:rPr>
                <w:lang w:val="pt-BR"/>
              </w:rPr>
              <w:t xml:space="preserve"> + δ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66,011 a 108,446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Razão entre extensão máxima e comprimento livre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1,0095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Força máxima no cabo, K δ</w:t>
            </w:r>
            <w:r>
              <w:rPr>
                <w:vertAlign w:val="subscript"/>
                <w:lang w:val="pt-BR"/>
              </w:rPr>
              <w:t xml:space="preserve">máx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9.516,5 (unidade de K × mm)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Braço de momento, m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−0,180 a 22,919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Teto geométrico do braço, |OA| = √(h</w:t>
            </w:r>
            <w:r>
              <w:rPr>
                <w:vertAlign w:val="superscript"/>
                <w:lang w:val="pt-BR"/>
              </w:rPr>
              <w:t xml:space="preserve">2</w:t>
            </w:r>
            <w:r>
              <w:rPr>
                <w:lang w:val="pt-BR"/>
              </w:rPr>
              <w:t xml:space="preserve"> + p</w:t>
            </w:r>
            <w:r>
              <w:rPr>
                <w:vertAlign w:val="superscript"/>
                <w:lang w:val="pt-BR"/>
              </w:rPr>
              <w:t xml:space="preserve">2</w:t>
            </w:r>
            <w:r>
              <w:rPr>
                <w:lang w:val="pt-BR"/>
              </w:rPr>
              <w:t xml:space="preserve">)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22,919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Distância do pivô ao ponto de tangência, b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282,503 a 284,363 mm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β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4,604° a 4,619°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Ângulo entre o cabo e o elo, ψ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−4,656° a +0,019°</w:t>
            </w:r>
          </w:p>
        </w:tc>
      </w:tr>
      <w:tr>
        <w:trPr>
          <w:cantSplit/>
        </w:trPr>
        <w:tc>
          <w:tcPr>
            <w:tcW w:w="51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Ponto morto, θ*</w:t>
            </w:r>
            <w:r>
              <w:rPr>
                <w:vertAlign w:val="subscript"/>
                <w:lang w:val="pt-BR"/>
              </w:rPr>
              <w:t xml:space="preserve">pm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192,532° (elevação de 30,485°)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extensão permanece positiva em toda a faixa, o que assegura que o cabo continua tracionado em todos os pontos avaliados. O máximo da extensão ocorre no ponto morto, como exige a Equação (17): onde m se anula, dℓ/dθ* também se anula, e o caminho do cabo passa por um extremo. O comprimento máximo da mola, 108,446 mm, é inferior ao comprimento útil do alojamento, 131,37 mm (valor a confirmar), com margem de 22,9 mm. A razão de 1,0095 entre a extensão máxima e o comprimento livre significa que a mola precisaria ser estendida a aproximadamente o dobro de seu comprimento livre; a viabilidade desse requisito depende da deflexão admissível da mola a especificar e deve ser confrontada com dados de fabricante.</w:t>
      </w:r>
    </w:p>
    <w:p>
      <w:pPr>
        <w:rPr>
          <w:lang w:val="pt-BR"/>
        </w:rPr>
      </w:pPr>
      <w:r>
        <w:rPr>
          <w:lang w:val="pt-BR"/>
        </w:rPr>
        <w:t xml:space="preserve">O braço de momento confirma a distinção da seção 3.5. A linha de ação do cabo passa pela ancoragem A, de modo que m não pode exceder |OA| = 22,919 mm em configuração alguma. Ao longo da faixa, m cresce monotonicamente de 12,451 mm em θ* = 42,917° até tocar esse teto em θ* = 97,894°, posição em que o cabo fica perpendicular a OA, e decresce monotonicamente a partir daí, anulando-se no ponto morto; o valor de −0,180 mm no extremo da faixa corresponde ao trecho além desse ponto. A distância b, por sua vez, varia apenas entre 282,503 e 284,363 mm, próxima de C; tomá-la como braço de momento superestimaria o torque por um fator de pelo menos 12,3.</w:t>
      </w:r>
    </w:p>
    <w:p>
      <w:pPr>
        <w:rPr>
          <w:lang w:val="pt-BR"/>
        </w:rPr>
      </w:pPr>
      <w:r>
        <w:rPr>
          <w:lang w:val="pt-BR"/>
        </w:rPr>
        <w:t xml:space="preserve">A força máxima K δ</w:t>
      </w:r>
      <w:r>
        <w:rPr>
          <w:vertAlign w:val="subscript"/>
          <w:lang w:val="pt-BR"/>
        </w:rPr>
        <w:t xml:space="preserve">máx</w:t>
      </w:r>
      <w:r>
        <w:rPr>
          <w:lang w:val="pt-BR"/>
        </w:rPr>
        <w:t xml:space="preserve"> vale 9.516,5 na unidade de K multiplicada por milímetro. Se a ordenada da patente estivesse em N·m, K estaria em N/mm, a tração no cabo chegaria a 9,5 kN e o pico do torque do cabo, 147,07 N·m, seria 13,2 vezes o pico do torque gravitacional do conjunto, de 11,1619 N·m (seção 4.8). Para equilibrar esse pico gravitacional com o maior braço disponível, 22,919 mm, bastaria uma tração de cerca de 487 N. A leitura da ordenada em N·m conduz, portanto, a valores implausíveis para um dispositivo vestível de apoio ao braço, o que reforça o tratamento da curva publicada como qualitativa quanto à magnitude: o modelo reproduz a forma do torque, mas não sua escala física.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4.7 Varredura paramétrica de h com K congelado</w:t>
      </w:r>
    </w:p>
    <w:p>
      <w:pPr>
        <w:rPr>
          <w:lang w:val="pt-BR"/>
        </w:rPr>
      </w:pPr>
      <w:r>
        <w:rPr>
          <w:lang w:val="pt-BR"/>
        </w:rPr>
        <w:t xml:space="preserve">A Figura 3 mostra a família de curvas de torque para sete valores de h, com K congelado em 174,68 e a extensão na pose fixada em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3 — Família de curvas de torque do cabo para h de 16 a 32,886 mm, com K = 174,68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 congelados, e os 29 pontos extraídos da patente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3169920"/>
            <wp:effectExtent l="0" t="0" r="0" b="0"/>
            <wp:docPr id="903" name="Figura 3" descr="Sete curvas de torque do cabo em função de θ* para valores de h entre 16 e 32,886 mm, com a curva de h = 22,701 mm destacada, os pontos extraídos e dois nós marcad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3" name="Figura 3" descr="Sete curvas de torque do cabo em função de θ* para valores de h entre 16 e 32,886 mm, com a curva de h = 22,701 mm destacada, os pontos extraídos e dois nós marcados."/>
                    <pic:cNvPicPr/>
                  </pic:nvPicPr>
                  <pic:blipFill>
                    <a:blip r:embed="rIdTccFi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A família não se abre de modo uniforme. Medido o espalhamento entre as curvas, máximo menos mínimo em cada θ*, surgem dois nós, em θ* = 68,03°, com espalhamento de 9,35 u.p., e em θ* = 185,71°, com 0,18 u.p.; a abertura máxima, de 106,79 u.p., ocorre em θ* = 130,38°. Os pontos extraídos próximos dos nós quase não carregam informação sobre h, e a capacidade de discriminar h concentra-se na faixa central, aproximadamente de θ* = 100° a 160°, isto é, de 63° a 123° de elevação.</w:t>
      </w:r>
    </w:p>
    <w:p>
      <w:pPr>
        <w:rPr>
          <w:lang w:val="pt-BR"/>
        </w:rPr>
      </w:pPr>
      <w:r>
        <w:rPr>
          <w:lang w:val="pt-BR"/>
        </w:rPr>
        <w:t xml:space="preserve">A Figura 4 apresenta o RMSE em função de h.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4 — RMSE contra os pontos extraídos em função de h, com K congelado: faixa completa, em escala logarítmica, com os valores fisicamente viáveis, e ampliação em torno do mínimo, com os platôs de RMSE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2496312"/>
            <wp:effectExtent l="0" t="0" r="0" b="0"/>
            <wp:docPr id="904" name="Figura 4" descr="RMSE em função de h com K congelado, em escala logarítmica para toda a faixa e ampliado em torno do mínimo com os platôs de 1,01, 1,05, 1,10 e 2 vezes o mínim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4" name="Figura 4" descr="RMSE em função de h com K congelado, em escala logarítmica para toda a faixa e ampliado em torno do mínimo com os platôs de 1,01, 1,05, 1,10 e 2 vezes o mínimo."/>
                    <pic:cNvPicPr/>
                  </pic:nvPicPr>
                  <pic:blipFill>
                    <a:blip r:embed="rIdTccFi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O menor RMSE, 1,8270 u.p. (R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= 0,99840), ocorre em h = 22,735 mm, a 0,034 mm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, que ocupa a 14ª posição entre os 10.403 valores, com RMSE 0,19% maior. Os platôs constam da Tabela 10. O RMSE ultrapassa 2 vezes o mínimo em h = 21,825 e 23,640 mm e 10 vezes o mínimo em h = 17,570 e 27,900 mm.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10 — Platôs de RMSE com K congelado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3360"/>
        <w:gridCol w:w="2000"/>
        <w:gridCol w:w="2000"/>
        <w:gridCol w:w="2000"/>
      </w:tblGrid>
      <w:tr>
        <w:trPr>
          <w:cantSplit/>
          <w:tblHeader/>
        </w:trPr>
        <w:tc>
          <w:tcPr>
            <w:tcW w:w="33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Critério</w:t>
            </w:r>
          </w:p>
        </w:tc>
        <w:tc>
          <w:tcPr>
            <w:tcW w:w="2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h mínimo (mm)</w:t>
            </w:r>
          </w:p>
        </w:tc>
        <w:tc>
          <w:tcPr>
            <w:tcW w:w="2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h máximo (mm)</w:t>
            </w:r>
          </w:p>
        </w:tc>
        <w:tc>
          <w:tcPr>
            <w:tcW w:w="2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 xml:space="preserve">Largura (mm)</w:t>
            </w:r>
          </w:p>
        </w:tc>
      </w:tr>
      <w:tr>
        <w:trPr>
          <w:cantSplit/>
        </w:trPr>
        <w:tc>
          <w:tcPr>
            <w:tcW w:w="33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RMSE ≤ 1,01 × mínimo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22,660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22,805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0,145</w:t>
            </w:r>
          </w:p>
        </w:tc>
      </w:tr>
      <w:tr>
        <w:trPr>
          <w:cantSplit/>
        </w:trPr>
        <w:tc>
          <w:tcPr>
            <w:tcW w:w="33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RMSE ≤ 1,05 × mínimo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22,570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22,900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0,330</w:t>
            </w:r>
          </w:p>
        </w:tc>
      </w:tr>
      <w:tr>
        <w:trPr>
          <w:cantSplit/>
        </w:trPr>
        <w:tc>
          <w:tcPr>
            <w:tcW w:w="33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RMSE ≤ 1,10 × mínimo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22,495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22,970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0,475</w:t>
            </w:r>
          </w:p>
        </w:tc>
      </w:tr>
      <w:tr>
        <w:trPr>
          <w:cantSplit/>
        </w:trPr>
        <w:tc>
          <w:tcPr>
            <w:tcW w:w="336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RMSE ≤ 2 × mínimo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21,830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23,635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1,805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Com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congelados, a curva extraída determina h dentro de 0,145 mm a 1% do RMSE mínimo. Essa precisão, porém, não deve ser lida como identificação independente de h: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foram identificados no próprio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, de modo que a proximidade entre o mínimo da varredura 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é esperada por construção. O resultado mostra que o trio (K,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) é internamente consistente e que o ajuste é muito sensível a h — o RMSE dobra a cerca de 0,9 mm do mínimo e decuplica a cerca de 5,2 mm —, mas não substitui a medição da ancoragem no dispositivo real.</w:t>
      </w:r>
    </w:p>
    <w:p>
      <w:pPr>
        <w:rPr>
          <w:lang w:val="pt-BR"/>
        </w:rPr>
      </w:pPr>
      <w:r>
        <w:rPr>
          <w:lang w:val="pt-BR"/>
        </w:rPr>
        <w:t xml:space="preserve">A validade física independe da curva extraída. O critério de fechamento foi atendido em todos os 10.403 valores de h, e o de trabalho virtual também, com resíduo máximo de 7,4 × 10</w:t>
      </w:r>
      <w:r>
        <w:rPr>
          <w:vertAlign w:val="superscript"/>
          <w:lang w:val="pt-BR"/>
        </w:rPr>
        <w:t xml:space="preserve">−8</w:t>
      </w:r>
      <w:r>
        <w:rPr>
          <w:lang w:val="pt-BR"/>
        </w:rPr>
        <w:t xml:space="preserve"> mm/rad na grade inteira. O critério decisivo é a tração: com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congelada, o aumento de h aumenta o curso do cabo — de 28,942 mm em h = 15 mm para 42,435 mm em h = 22,701 mm e 106,573 mm em h = 60 mm — e rebaixa a extensão mínima, que ocorre sempre em θ* = 42,917°, onde a demanda gravitacional é mínima, de apenas 1,2% do pico. A extensão mínima se anula na fronteira de tração, h = 32,886 mm. Os valores viáveis formam o intervalo contíguo de 8,000 mm, borda inferior da grade, a 32,885 mm, com 4.979 valores. O valor documental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 = 34,785 mm fica fora desse intervalo: com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congelada, o cabo afrouxaria no início da faixa, com extensão mínima de −2,257 mm, e o RMSE seria de 43,48 u.p. (R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= 0,093). A Tabela 11 reúne os valores notáveis de h.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11 — Valores notáveis de h na varredura com K congelado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000"/>
        <w:gridCol w:w="1860"/>
        <w:gridCol w:w="1000"/>
        <w:gridCol w:w="1000"/>
        <w:gridCol w:w="1000"/>
        <w:gridCol w:w="1300"/>
        <w:gridCol w:w="1100"/>
        <w:gridCol w:w="1100"/>
      </w:tblGrid>
      <w:tr>
        <w:trPr>
          <w:cantSplit/>
          <w:tblHeader/>
        </w:trPr>
        <w:tc>
          <w:tcPr>
            <w:tcW w:w="1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h (mm)</w:t>
            </w:r>
          </w:p>
        </w:tc>
        <w:tc>
          <w:tcPr>
            <w:tcW w:w="18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Papel</w:t>
            </w:r>
          </w:p>
        </w:tc>
        <w:tc>
          <w:tcPr>
            <w:tcW w:w="1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RMSE (u.p.)</w:t>
            </w:r>
          </w:p>
        </w:tc>
        <w:tc>
          <w:tcPr>
            <w:tcW w:w="1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mín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0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máx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L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livre</w:t>
            </w:r>
            <w:r>
              <w:rPr>
                <w:b/>
                <w:sz w:val="20"/>
                <w:szCs w:val="20"/>
                <w:lang w:val="pt-BR"/>
              </w:rPr>
              <w:t xml:space="preserve"> +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máx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θ*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pm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Tração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21,372</w:t>
            </w:r>
          </w:p>
        </w:tc>
        <w:tc>
          <w:tcPr>
            <w:tcW w:w="18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Ponto morto entra na faixa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5,102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13,608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53,719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107,686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193,017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Atende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22,701</w:t>
            </w:r>
          </w:p>
        </w:tc>
        <w:tc>
          <w:tcPr>
            <w:tcW w:w="18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H</w:t>
            </w:r>
            <w:r>
              <w:rPr>
                <w:sz w:val="20"/>
                <w:szCs w:val="20"/>
                <w:vertAlign w:val="subscript"/>
                <w:lang w:val="pt-BR"/>
              </w:rPr>
              <w:t xml:space="preserve">CAL</w:t>
            </w:r>
            <w:r>
              <w:rPr>
                <w:sz w:val="20"/>
                <w:szCs w:val="20"/>
                <w:lang w:val="pt-BR"/>
              </w:rPr>
              <w:t xml:space="preserve">, adotado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1,830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12,044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54,479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108,446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192,532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Atende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22,735</w:t>
            </w:r>
          </w:p>
        </w:tc>
        <w:tc>
          <w:tcPr>
            <w:tcW w:w="18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Menor RMSE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1,827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12,004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54,499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108,466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192,520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Atende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32,886</w:t>
            </w:r>
          </w:p>
        </w:tc>
        <w:tc>
          <w:tcPr>
            <w:tcW w:w="18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Fronteira de tração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36,490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0,000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60,175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114,142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190,099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Limite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left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34,785</w:t>
            </w:r>
          </w:p>
        </w:tc>
        <w:tc>
          <w:tcPr>
            <w:tcW w:w="18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H</w:t>
            </w:r>
            <w:r>
              <w:rPr>
                <w:sz w:val="20"/>
                <w:szCs w:val="20"/>
                <w:vertAlign w:val="subscript"/>
                <w:lang w:val="pt-BR"/>
              </w:rPr>
              <w:t xml:space="preserve">CAD</w:t>
            </w:r>
            <w:r>
              <w:rPr>
                <w:sz w:val="20"/>
                <w:szCs w:val="20"/>
                <w:lang w:val="pt-BR"/>
              </w:rPr>
              <w:t xml:space="preserve">, documental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43,480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−2,257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61,209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115,176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189,802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Não atende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O ponto morto é monótono em h e entra na faixa de operação em h = 21,3718 mm, valor dado pela Equação (22) e reproduzido por bissecção com diferença de 4,6 × 10</w:t>
      </w:r>
      <w:r>
        <w:rPr>
          <w:vertAlign w:val="superscript"/>
          <w:lang w:val="pt-BR"/>
        </w:rPr>
        <w:t xml:space="preserve">−14</w:t>
      </w:r>
      <w:r>
        <w:rPr>
          <w:lang w:val="pt-BR"/>
        </w:rPr>
        <w:t xml:space="preserve"> mm. Abaixo desse valor, o ponto morto fica além de θ* = 193,017°, e o torque do cabo não se anula na faixa. Nenhum h positivo leva o ponto morto ao outro extremo: para h &gt; 0, θ*</w:t>
      </w:r>
      <w:r>
        <w:rPr>
          <w:vertAlign w:val="subscript"/>
          <w:lang w:val="pt-BR"/>
        </w:rPr>
        <w:t xml:space="preserve">pm</w:t>
      </w:r>
      <w:r>
        <w:rPr>
          <w:lang w:val="pt-BR"/>
        </w:rPr>
        <w:t xml:space="preserve"> fica confinado entre 184,619° e 274,619° e nunca alcança θ* = 42,917°. Para esse extremo, a Equação (22) devolve h = 3,9953 mm, que é ramo espúrio: nesse h, a Equação (21) situa o ponto morto em 222,917°.</w:t>
      </w:r>
    </w:p>
    <w:p>
      <w:pPr>
        <w:rPr>
          <w:lang w:val="pt-BR"/>
        </w:rPr>
      </w:pPr>
      <w:r>
        <w:rPr>
          <w:lang w:val="pt-BR"/>
        </w:rPr>
        <w:t xml:space="preserve">O torque é rigorosamente linear em K: a identidade τ(K) = K τ(K = 1) foi verificada em cada h da grade, com erro máximo de 7,7 × 10</w:t>
      </w:r>
      <w:r>
        <w:rPr>
          <w:vertAlign w:val="superscript"/>
          <w:lang w:val="pt-BR"/>
        </w:rPr>
        <w:t xml:space="preserve">−13</w:t>
      </w:r>
      <w:r>
        <w:rPr>
          <w:lang w:val="pt-BR"/>
        </w:rPr>
        <w:t xml:space="preserve"> u.p. Isso permitiria reidentificar K para cada h em forma fechada, mas esse procedimento define um modelo diferente para cada h e não é adotado na análise principal.</w:t>
      </w:r>
    </w:p>
    <w:p>
      <w:pPr>
        <w:rPr>
          <w:lang w:val="pt-BR"/>
        </w:rPr>
      </w:pPr>
      <w:r>
        <w:rPr>
          <w:lang w:val="pt-BR"/>
        </w:rPr>
        <w:t xml:space="preserve">Em síntese, a varredura separa duas perguntas. A geometria, independentemente da curva extraída, admite h ≤ 32,886 mm e exclui o valor documental; a curva extraída, com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congelados, favorece um intervalo estreito em torno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, que atende aos três critérios com folga. A diferença de 12,084 mm entre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e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 permanece sem explicação e indica que a cota de ancoragem do CAD, a extensão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identificada ou ambas precisam ser conferidas.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4.8 Confronto entre o torque do cabo e o torque gravitacional</w:t>
      </w:r>
    </w:p>
    <w:p>
      <w:pPr>
        <w:rPr>
          <w:lang w:val="pt-BR"/>
        </w:rPr>
      </w:pPr>
      <w:r>
        <w:rPr>
          <w:lang w:val="pt-BR"/>
        </w:rPr>
        <w:t xml:space="preserve">O torque gravitacional do conjunto, calculado pela Equação (24) de forma independente da cadeia do cabo, atinge o máximo de 11,1619 N·m na elevação de 89,44°, o que corrobora a previsão da seção 2.1, de momento gravitacional máximo com o segmento perpendicular à gravidade. O desvio de 0,56° em relação a 90° indica que a linha que une o pivô ao centro de massa do conjunto forma esse ângulo com a direção do braço adotada na convenção da patente. O valor do pico coincide com M g d da Tabela 3. O módulo da Equação (24) oculta a troca de sentido do torque em θ* = 43,579° (elevação de 179,44°), que afeta apenas os 0,66° iniciais da faixa, com torque inferior a 0,13 N·m.</w:t>
      </w:r>
    </w:p>
    <w:p>
      <w:pPr>
        <w:rPr>
          <w:lang w:val="pt-BR"/>
        </w:rPr>
      </w:pPr>
      <w:r>
        <w:rPr>
          <w:lang w:val="pt-BR"/>
        </w:rPr>
        <w:t xml:space="preserve">A comparação entre as duas curvas exige cautela metodológica. Como a ordenada da curva publicada não tem unidade declarada e a seção 4.6 mostrou que sua leitura em N·m é implausível, as magnitudes não são comparáveis. O que se pode confrontar é a forma dos perfis, apresentados na Figura 5 normalizados pelos respectivos valores de pico, em função da elevação anatômica. Como a normalização elimina a escala, o confronto não informa que fração do torque gravitacional o mecanismo compensa.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5 — Torque do cabo e torque gravitacional normalizados pelos respectivos picos, em função da elevação anatômica (K = 174,68; h = 22,701 mm;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mm)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029200" cy="2640330"/>
            <wp:effectExtent l="0" t="0" r="0" b="0"/>
            <wp:docPr id="905" name="Figura 5" descr="Curvas normalizadas do torque do cabo e do torque gravitacional em função da elevação, de 30° a 180°, com o cruzamento em 93,96°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5" name="Figura 5" descr="Curvas normalizadas do torque do cabo e do torque gravitacional em função da elevação, de 30° a 180°, com o cruzamento em 93,96°."/>
                    <pic:cNvPicPr/>
                  </pic:nvPicPr>
                  <pic:blipFill>
                    <a:blip r:embed="rIdTccFig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a linha pontilhada marca o cruzamento das curvas normalizadas.</w:t>
      </w:r>
    </w:p>
    <w:p>
      <w:pPr>
        <w:rPr>
          <w:lang w:val="pt-BR"/>
        </w:rPr>
      </w:pPr>
      <w:r>
        <w:rPr>
          <w:lang w:val="pt-BR"/>
        </w:rPr>
        <w:t xml:space="preserve">Três características emergem do confronto. O pico do torque do cabo ocorre na elevação de 97,48°, e o do torque gravitacional, em 89,44°, com defasagem de 8,05°. O mecanismo entrega sua assistência máxima acima da posição de maior demanda gravitacional, configuração compatível com dispositivo projetado para trabalho acima da cabeça.</w:t>
      </w:r>
    </w:p>
    <w:p>
      <w:pPr>
        <w:rPr>
          <w:lang w:val="pt-BR"/>
        </w:rPr>
      </w:pPr>
      <w:r>
        <w:rPr>
          <w:lang w:val="pt-BR"/>
        </w:rPr>
        <w:t xml:space="preserve">As curvas normalizadas cruzam-se na elevação de 93,96°. Entre 94° e 160°, as diferenças normalizadas (cabo menos peso) são positivas e pequenas, de 0,000 a +0,055; acima de 160°, crescem até +0,184 em 179,44°. Entre 105° e 150°, as duas curvas diferem em no máximo 0,027, o que indica que o perfil elástico reproduz a forma da demanda gravitacional na faixa de maior interesse para o trabalho acima da cabeça.</w:t>
      </w:r>
    </w:p>
    <w:p>
      <w:pPr>
        <w:rPr>
          <w:lang w:val="pt-BR"/>
        </w:rPr>
      </w:pPr>
      <w:r>
        <w:rPr>
          <w:lang w:val="pt-BR"/>
        </w:rPr>
        <w:t xml:space="preserve">Abaixo de 94°, as diferenças tornam-se negativas e crescentes em módulo, até −0,520 na elevação de 30°. No ponto morto, na elevação de 30,485°, o torque gravitacional ainda vale 5,757 N·m, 51,6% de seu pico, enquanto o torque do cabo se anula; em 30°, o torque gravitacional é de 5,675 N·m, 50,8% do pico. Trata-se de característica da arquitetura, e não de deficiência do ajuste: conforme a seção 2.3, a patente prevê que o dispositivo libere o braço nas posturas de não trabalho, em que o usuário precisa de mobilidade para alcançar ferramentas ou repousar o membro.</w:t>
      </w:r>
    </w:p>
    <w:p>
      <w:pPr>
        <w:rPr>
          <w:lang w:val="pt-BR"/>
        </w:rPr>
      </w:pPr>
      <w:r>
        <w:rPr>
          <w:lang w:val="pt-BR"/>
        </w:rPr>
        <w:t xml:space="preserve">O confronto ilustra, em termos quantitativos, a limitação apontada por Nasr, Ferguson e McPhee (2022) e discutida na seção 2.4: um mecanismo passivo entrega torque determinado para cada ângulo, de modo que o ajuste favorável em uma faixa implica desvio em outra. No caso analisado, o compromisso privilegia a faixa acima da horizontal, onde a exposição postural concentra o risco documentado por van der Molen et al. (2017) e Seidler et al. (2020), à custa de subcompensação na faixa inferior. É também a limitação que motiva as soluções semipassivas de assistência regulável referidas na seção 2.4.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4.9 Limitações dos resultados</w:t>
      </w:r>
    </w:p>
    <w:p>
      <w:pPr>
        <w:rPr>
          <w:lang w:val="pt-BR"/>
        </w:rPr>
      </w:pPr>
      <w:r>
        <w:rPr>
          <w:lang w:val="pt-BR"/>
        </w:rPr>
        <w:t xml:space="preserve">Além das limitações de escopo da seção 3.13, os resultados comportam as ressalvas a seguir.</w:t>
      </w:r>
    </w:p>
    <w:p>
      <w:pPr>
        <w:rPr>
          <w:lang w:val="pt-BR"/>
        </w:rPr>
      </w:pPr>
      <w:r>
        <w:rPr>
          <w:lang w:val="pt-BR"/>
        </w:rPr>
        <w:t xml:space="preserve">O ponto morto do mecanismo situa-se em θ* = 192,5317°, equivalente à elevação de 30,485°, e a patente indica a zona neutra a partir de 30°, diferença de 0,485°. A protuberância que, no dispositivo real, restringe o gerador de força além desse ângulo não integra o modelo; em consequência, o modelo prevê inversão de sinal do torque após o ponto morto, ao passo que o dispositivo mantém torque residual aproximadamente nulo. A ressalva restringe-se aos 0,485° finais da faixa e ao último ponto extraído.</w:t>
      </w:r>
    </w:p>
    <w:p>
      <w:pPr>
        <w:rPr>
          <w:lang w:val="pt-BR"/>
        </w:rPr>
      </w:pPr>
      <w:r>
        <w:rPr>
          <w:lang w:val="pt-BR"/>
        </w:rPr>
        <w:t xml:space="preserve">A ausência de unidade declarada na ordenada da curva publicada impede a conversão do torque do cabo para N·m e, por conseguinte, o cálculo do torque resultante sobre a articulação e a integração da equação de movimento. Essa conversão exige dado independente, como a especificação de rigidez de uma mola comercial compatível com o mecanismo ou fonte documentada que estabeleça a escala da figura original.</w:t>
      </w:r>
    </w:p>
    <w:p>
      <w:pPr>
        <w:rPr>
          <w:lang w:val="pt-BR"/>
        </w:rPr>
      </w:pPr>
      <w:r>
        <w:rPr>
          <w:lang w:val="pt-BR"/>
        </w:rPr>
        <w:t xml:space="preserve">A identificação foi reproduzida apenas em parte.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foram reproduzidos no h adotado, mas a origem de θ</w:t>
      </w:r>
      <w:r>
        <w:rPr>
          <w:vertAlign w:val="subscript"/>
          <w:lang w:val="pt-BR"/>
        </w:rPr>
        <w:t xml:space="preserve">off</w:t>
      </w:r>
      <w:r>
        <w:rPr>
          <w:lang w:val="pt-BR"/>
        </w:rPr>
        <w:t xml:space="preserve"> e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não pôde ser reconstituída, e os quatro parâmetros foram identificados e avaliados contra os mesmos 29 pontos, cuja incerteza de extração não está documentada. O valor documental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 é incompatível com os demais parâmetros congelados, pois viola o critério de tração.</w:t>
      </w:r>
    </w:p>
    <w:p>
      <w:pPr>
        <w:rPr>
          <w:lang w:val="pt-BR"/>
        </w:rPr>
      </w:pPr>
      <w:r>
        <w:rPr>
          <w:lang w:val="pt-BR"/>
        </w:rPr>
        <w:t xml:space="preserve">O fator de escala de 0,870, fixado pela comparação entre o comprimento do elo distal e o comprimento de segmento do indivíduo de referência, propaga-se a todas as grandezas dimensionais e de massa, e duas cotas do modelo em CAD permanecem a confirmar. Alterações nessas grandezas exigem a reexecução integral da identificação.</w:t>
      </w:r>
    </w:p>
    <w:p>
      <w:pPr>
        <w:rPr>
          <w:lang w:val="pt-BR"/>
        </w:rPr>
      </w:pPr>
      <w:r>
        <w:rPr>
          <w:lang w:val="pt-BR"/>
        </w:rPr>
        <w:t xml:space="preserve">Por fim, os resultados referem-se a um único dispositivo, ao indivíduo de referência adotado e ao membro superior estendido sem ferramenta na mão, e limitam-se à análise estática. A generalização a outros percentis antropométricos, a outras configurações de cotovelo e à presença de carga na mão demanda a reexecução do procedimento com os parâmetros correspondentes.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5 CONCLUSÃO</w:t>
      </w:r>
    </w:p>
    <w:p>
      <w:pPr>
        <w:rPr>
          <w:lang w:val="pt-BR"/>
        </w:rPr>
      </w:pPr>
      <w:r>
        <w:rPr>
          <w:lang w:val="pt-BR"/>
        </w:rPr>
        <w:t xml:space="preserve">Este trabalho reconstruiu, a partir da documentação de patente, o gerador de torque de mola da US 9.889.554 B2 e formulou um modelo estático do torque que ele entrega em função do ângulo. A cinemática foi resolvida em forma fechada a partir da equação de fechamento do circuito vetorial, e cada etapa da cadeia de cálculo foi conferida por verificações independentes, com resíduos da ordem de 10</w:t>
      </w:r>
      <w:r>
        <w:rPr>
          <w:vertAlign w:val="superscript"/>
          <w:lang w:val="pt-BR"/>
        </w:rPr>
        <w:t xml:space="preserve">−13</w:t>
      </w:r>
      <w:r>
        <w:rPr>
          <w:lang w:val="pt-BR"/>
        </w:rPr>
        <w:t xml:space="preserve"> mm nas relações geométricas.</w:t>
      </w:r>
    </w:p>
    <w:p>
      <w:pPr>
        <w:rPr>
          <w:lang w:val="pt-BR"/>
        </w:rPr>
      </w:pPr>
      <w:r>
        <w:rPr>
          <w:lang w:val="pt-BR"/>
        </w:rPr>
        <w:t xml:space="preserve">O princípio dos trabalhos virtuais mostrou-se o critério decisivo na formulação. Ele revelou que a extensão da mola deve acompanhar o caminho completo do cabo, ℓ = s − Rψ, e não apenas o vão livre, que violava a conservação de energia com resíduo de 1,71 mm. A mesma verificação distinguiu o braço de momento perpendicular, limitado a 22,919 mm, da distância do pivô ao ponto de tangência, próxima de 283 mm, cuja confusão superestimaria o torque por um fator superior a 12.</w:t>
      </w:r>
    </w:p>
    <w:p>
      <w:pPr>
        <w:rPr>
          <w:lang w:val="pt-BR"/>
        </w:rPr>
      </w:pPr>
      <w:r>
        <w:rPr>
          <w:lang w:val="pt-BR"/>
        </w:rPr>
        <w:t xml:space="preserve">Com os parâmetros congelados, o modelo reproduz a forma da curva publicada com coeficiente de determinação de 0,99839 e RMSE de 1,83 u.p., equivalente a 1,24% do maior valor extraído. Os resíduos, contudo, organizam-se em zonas de sinal alternado, o que indica diferença sistemática de forma, e a formulação anterior, fisicamente inconsistente, ajustava melhor a curva. A adoção da formulação consistente, apesar do RMSE maior, reflete o critério de que a escolha entre modelos se faz por validade física, e não pelo indicador de erro.</w:t>
      </w:r>
    </w:p>
    <w:p>
      <w:pPr>
        <w:rPr>
          <w:lang w:val="pt-BR"/>
        </w:rPr>
      </w:pPr>
      <w:r>
        <w:rPr>
          <w:lang w:val="pt-BR"/>
        </w:rPr>
        <w:t xml:space="preserve">A varredura de h com K congelado separou o que a geometria impõe do que a curva extraída sugere. O cabo permanece tracionado em toda a faixa de operação somente para h ≤ 32,886 mm, o que exclui a cota de 34,785 mm lida no CAD. A curva extraída favorece um intervalo de 0,145 mm em torno do valor adotado, mas essa concentração é esperada por construção, porque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foram identificados nesse mesmo valor; o critério que levou a h = 22,701 mm não pôde ser reproduzido, e a afirmação anterior de decrescimento monotônico do erro com h foi refutada pela auditoria.</w:t>
      </w:r>
    </w:p>
    <w:p>
      <w:pPr>
        <w:rPr>
          <w:lang w:val="pt-BR"/>
        </w:rPr>
      </w:pPr>
      <w:r>
        <w:rPr>
          <w:lang w:val="pt-BR"/>
        </w:rPr>
        <w:t xml:space="preserve">No confronto com o torque gravitacional do conjunto braço–exoesqueleto, cujo pico de 11,16 N·m ocorre a 89,4° de elevação, as curvas normalizadas diferem em no máximo 0,027 entre 105° e 150° de elevação. O pico do torque do cabo, a 97,5°, fica 8,05° acima do pico gravitacional, e o ponto morto, a 30,5°, libera o braço nas posturas de não trabalho, à custa de subcompensação abaixo de 94°. O resultado quantifica o compromisso de um mecanismo passivo de torque fixo por ângulo, que favorece o trabalho acima da cabeça.</w:t>
      </w:r>
    </w:p>
    <w:p>
      <w:pPr>
        <w:rPr>
          <w:lang w:val="pt-BR"/>
        </w:rPr>
      </w:pPr>
      <w:r>
        <w:rPr>
          <w:lang w:val="pt-BR"/>
        </w:rPr>
        <w:t xml:space="preserve">O objetivo geral foi atingido em sua parte estática e para um dos três dispositivos previstos. Os objetivos específicos a, b, c e e foram cumpridos; o objetivo d, parcialmente, pois a rigidez e a extensão da mola na pose foram reproduzidas, mas a origem da posição da ancoragem e da calibração angular não. Os objetivos f e g, referentes à equação de movimento e ao acoplamento com o MBDyn, não foram executados. A principal restrição é a ausência de unidade na ordenada da curva da patente: o torque do cabo permanece em unidade da patente, e a leitura em N·m conduz a forças implausíveis, de modo que o modelo determina a forma do torque, mas não sua escala física.</w:t>
      </w:r>
    </w:p>
    <w:p>
      <w:pPr>
        <w:rPr>
          <w:lang w:val="pt-BR"/>
        </w:rPr>
      </w:pPr>
      <w:r>
        <w:rPr>
          <w:lang w:val="pt-BR"/>
        </w:rPr>
        <w:t xml:space="preserve">Como continuidade, recomenda-se obter um dado independente que fixe a escala do torque, como a especificação de uma mola comercial compatível; conferir no CAD a cota de ancoragem, o comprimento do alojamento e o comprimento da mola na pose; documentar o procedimento de extração dos pontos e sua incerteza; representar a protuberância responsável pela zona neutra; e, com o torque em unidade física, executar as etapas dinâmicas pela formulação de Lagrange e no MBDyn e estender o procedimento à US 9.737.374 B2 e à EP 3 504 033 B1.</w:t>
      </w:r>
    </w:p>
    <w:p w14:paraId="09379BAD" w14:textId="77777777" w:rsidR="00FD1B34" w:rsidRPr="00955B75" w:rsidRDefault="00000000">
      <w:pPr>
        <w:pStyle w:val="Ttulo2"/>
        <w:rPr>
          <w:lang w:val="pt-BR"/>
        </w:rPr>
      </w:pPr>
      <w:r>
        <w:rPr>
          <w:lang w:val="pt-BR"/>
        </w:rPr>
        <w:t>REFERÊNCIAS</w:t>
      </w:r>
    </w:p>
    <w:p w14:paraId="355BFC96" w14:textId="77777777" w:rsidR="00FD1B34" w:rsidRDefault="00000000">
      <w:r>
        <w:rPr>
          <w:lang w:val="pt-BR"/>
        </w:rPr>
        <w:t xml:space="preserve">AGÊNCIA BRASIL. </w:t>
      </w:r>
      <w:r>
        <w:rPr>
          <w:b/>
          <w:lang w:val="pt-BR"/>
        </w:rPr>
        <w:t>Doenças afastaram 4,1 milhões de trabalhadores de suas funções em 2025</w:t>
      </w:r>
      <w:r>
        <w:rPr>
          <w:lang w:val="pt-BR"/>
        </w:rPr>
        <w:t xml:space="preserve">. Brasília, 2026. Disponível em: </w:t>
      </w:r>
      <w:hyperlink r:id="rId6" w:history="1">
        <w:r>
          <w:rPr>
            <w:rStyle w:val="Hyperlink"/>
            <w:lang w:val="pt-BR"/>
          </w:rPr>
          <w:t>https://agenciabrasil.ebc.com.br/saude/noticia/2026-01/doencas-afastaram-41-milhoes-de-trabalhadores-de-suas-funcoes-em-2025</w:t>
        </w:r>
      </w:hyperlink>
      <w:r>
        <w:rPr>
          <w:lang w:val="pt-BR"/>
        </w:rPr>
        <w:t xml:space="preserve">. </w:t>
      </w:r>
      <w:r>
        <w:t xml:space="preserve">Acesso em: 26 set. 2026.</w:t>
      </w:r>
    </w:p>
    <w:p w14:paraId="24F5DDEF" w14:textId="77777777" w:rsidR="00FD1B34" w:rsidRDefault="00000000">
      <w:r>
        <w:t xml:space="preserve">ARAKELIAN, V. Gravity compensation in robotics. </w:t>
      </w:r>
      <w:r>
        <w:rPr>
          <w:b/>
        </w:rPr>
        <w:t>Advanced Robotics</w:t>
      </w:r>
      <w:r>
        <w:t xml:space="preserve">, [S.l.], v. 30, n. 2, p. 79-96, 2016. DOI: </w:t>
      </w:r>
      <w:hyperlink r:id="rId7" w:history="1">
        <w:r>
          <w:rPr>
            <w:rStyle w:val="Hyperlink"/>
          </w:rPr>
          <w:t>10.1080/01691864.2015.1090334</w:t>
        </w:r>
      </w:hyperlink>
      <w:r>
        <w:t>.</w:t>
      </w:r>
    </w:p>
    <w:p w14:paraId="211E341D" w14:textId="77777777" w:rsidR="00FD1B34" w:rsidRDefault="00000000">
      <w:r>
        <w:rPr>
          <w:lang w:val="pt-BR"/>
        </w:rPr>
        <w:t xml:space="preserve">ATIA, M. G. B. et al. </w:t>
      </w:r>
      <w:r>
        <w:t xml:space="preserve">Design and analysis of low cost upper limb exoskeleton. In: INTERNATIONAL CONFERENCE ON COMPUTER ENGINEERING AND SYSTEMS (ICCES), 12., 2017, Cairo. </w:t>
      </w:r>
      <w:r>
        <w:rPr>
          <w:b/>
        </w:rPr>
        <w:t>Proceedings</w:t>
      </w:r>
      <w:r>
        <w:t xml:space="preserve"> [...]. [S.l.]: IEEE, 2018. DOI: </w:t>
      </w:r>
      <w:hyperlink r:id="rId9" w:history="1">
        <w:r>
          <w:rPr>
            <w:rStyle w:val="Hyperlink"/>
          </w:rPr>
          <w:t>10.1109/ICCES.2017.8275281</w:t>
        </w:r>
      </w:hyperlink>
      <w:r>
        <w:t>.</w:t>
      </w:r>
    </w:p>
    <w:p w14:paraId="074FF2B1" w14:textId="77777777" w:rsidR="00FD1B34" w:rsidRDefault="00000000">
      <w:r>
        <w:t xml:space="preserve">BÄR, M. et al. The influence of using exoskeletons during occupational tasks on acute physical stress and strain compared to no exoskeleton: a systematic review and meta-analysis. </w:t>
      </w:r>
      <w:r>
        <w:rPr>
          <w:b/>
        </w:rPr>
        <w:t>Applied Ergonomics</w:t>
      </w:r>
      <w:r>
        <w:t xml:space="preserve">, [S.l.], v. 94, art. 103385, jul. 2021. DOI: </w:t>
      </w:r>
      <w:hyperlink r:id="rId8" w:history="1">
        <w:r>
          <w:rPr>
            <w:rStyle w:val="Hyperlink"/>
          </w:rPr>
          <w:t>10.1016/j.apergo.2021.103385</w:t>
        </w:r>
      </w:hyperlink>
      <w:r>
        <w:t>.</w:t>
      </w:r>
    </w:p>
    <w:p w14:paraId="1357BB4A" w14:textId="77777777" w:rsidR="00FD1B34" w:rsidRDefault="00000000">
      <w:r>
        <w:t xml:space="preserve">BARSOTTI, M. et al. A full upper limb robotic exoskeleton for reaching and grasping rehabilitation triggered by MI-BCI. In: INTERNATIONAL CONFERENCE ON REHABILITATION ROBOTICS (ICORR), 2015, Singapura. </w:t>
      </w:r>
      <w:r>
        <w:rPr>
          <w:b/>
        </w:rPr>
        <w:t>Proceedings</w:t>
      </w:r>
      <w:r>
        <w:t xml:space="preserve"> [...]. [S.l.]: IEEE, 2015. p. 49-54. DOI: </w:t>
      </w:r>
      <w:hyperlink r:id="rId11" w:history="1">
        <w:r>
          <w:rPr>
            <w:rStyle w:val="Hyperlink"/>
          </w:rPr>
          <w:t>10.1109/ICORR.2015.7281174</w:t>
        </w:r>
      </w:hyperlink>
      <w:r>
        <w:t>.</w:t>
      </w:r>
    </w:p>
    <w:p w14:paraId="1EC1FEC6" w14:textId="77777777" w:rsidR="00FD1B34" w:rsidRDefault="00000000">
      <w:r>
        <w:t xml:space="preserve">BOUTERAA, Y.; BEN ABDALLAH, I. Exoskeleton robots for upper-limb rehabilitation. In: INTERNATIONAL MULTI-CONFERENCE ON SYSTEMS, SIGNALS &amp; DEVICES (SSD), 13., 2016, Leipzig. </w:t>
      </w:r>
      <w:r>
        <w:rPr>
          <w:b/>
        </w:rPr>
        <w:t>Proceedings</w:t>
      </w:r>
      <w:r>
        <w:t xml:space="preserve"> [...]. [S.l.]: IEEE, 2016. DOI: </w:t>
      </w:r>
      <w:hyperlink r:id="rId10" w:history="1">
        <w:r>
          <w:rPr>
            <w:rStyle w:val="Hyperlink"/>
          </w:rPr>
          <w:t>10.1109/SSD.2016.7473769</w:t>
        </w:r>
      </w:hyperlink>
      <w:r>
        <w:t>.</w:t>
      </w:r>
    </w:p>
    <w:p w14:paraId="27B8B2B1" w14:textId="77777777" w:rsidR="00FD1B34" w:rsidRDefault="00000000">
      <w:r>
        <w:t xml:space="preserve">DE LEVA, P. Adjustments to Zatsiorsky-Seluyanov's segment inertia parameters. </w:t>
      </w:r>
      <w:r>
        <w:rPr>
          <w:b/>
        </w:rPr>
        <w:t>Journal of Biomechanics</w:t>
      </w:r>
      <w:r>
        <w:t xml:space="preserve">, [S.l.], v. 29, n. 9, p. 1223-1230, 1996. DOI: </w:t>
      </w:r>
      <w:hyperlink r:id="rId12" w:history="1">
        <w:r>
          <w:rPr>
            <w:rStyle w:val="Hyperlink"/>
          </w:rPr>
          <w:t>10.1016/0021-9290(95)00178-6</w:t>
        </w:r>
      </w:hyperlink>
      <w:r>
        <w:t>.</w:t>
      </w:r>
    </w:p>
    <w:p w14:paraId="73ABFB9A" w14:textId="77777777" w:rsidR="00FD1B34" w:rsidRDefault="00000000">
      <w:r>
        <w:t xml:space="preserve">DE LOOZE, M. P. et al. Exoskeletons for industrial application and their potential effects on physical work load. </w:t>
      </w:r>
      <w:r>
        <w:rPr>
          <w:b/>
        </w:rPr>
        <w:t>Ergonomics</w:t>
      </w:r>
      <w:r>
        <w:t xml:space="preserve">, [S.l.], v. 59, n. 5, p. 671-681, 2016. DOI: </w:t>
      </w:r>
      <w:hyperlink r:id="rId13" w:history="1">
        <w:r>
          <w:rPr>
            <w:rStyle w:val="Hyperlink"/>
          </w:rPr>
          <w:t>10.1080/00140139.2015.1081988</w:t>
        </w:r>
      </w:hyperlink>
      <w:r>
        <w:t>.</w:t>
      </w:r>
    </w:p>
    <w:p w14:paraId="27E031D7" w14:textId="77777777" w:rsidR="00FD1B34" w:rsidRDefault="00000000">
      <w:r>
        <w:t xml:space="preserve">DOYLE, M. C. </w:t>
      </w:r>
      <w:r>
        <w:rPr>
          <w:b/>
        </w:rPr>
        <w:t>Adaptive arm support systems and methods for use</w:t>
      </w:r>
      <w:r>
        <w:t xml:space="preserve">. </w:t>
      </w:r>
      <w:r>
        <w:rPr>
          <w:lang w:val="pt-BR"/>
        </w:rPr>
        <w:t xml:space="preserve">Depositante e titular: Levitate Technologies, Inc. </w:t>
      </w:r>
      <w:r>
        <w:t xml:space="preserve">US 9,737,374 B2. Depósito: 10 dez. 2013. Prioridade: 11 dez. 2012. Concessão: 22 ago. 2017.</w:t>
      </w:r>
    </w:p>
    <w:p w14:paraId="5EE4D859" w14:textId="77777777" w:rsidR="00FD1B34" w:rsidRDefault="00000000">
      <w:r>
        <w:lastRenderedPageBreak/>
        <w:t xml:space="preserve">FOROUTANNIA, A.; MOHAMMADIAN, M. A comprehensive survey of lower limb assistive exoskeleton robots: models, dynamics, mechanics, and control. </w:t>
      </w:r>
      <w:r>
        <w:rPr>
          <w:b/>
        </w:rPr>
        <w:t>Robotics and Autonomous Systems</w:t>
      </w:r>
      <w:r>
        <w:t xml:space="preserve">, [S.l.], v. 195, art. 105232, 2026. DOI: </w:t>
      </w:r>
      <w:hyperlink r:id="rId14" w:history="1">
        <w:r>
          <w:rPr>
            <w:rStyle w:val="Hyperlink"/>
          </w:rPr>
          <w:t>10.1016/j.robot.2025.105232</w:t>
        </w:r>
      </w:hyperlink>
      <w:r>
        <w:t>.</w:t>
      </w:r>
    </w:p>
    <w:p w14:paraId="0C4CC6F8" w14:textId="77777777" w:rsidR="00FD1B34" w:rsidRDefault="00000000">
      <w:r>
        <w:t xml:space="preserve">GOPURA, R. A. R. C.; KIGUCHI, K. Mechanical designs of active upper-limb exoskeleton robots: state-of-the-art and design difficulties. In: INTERNATIONAL CONFERENCE ON REHABILITATION ROBOTICS (ICORR), 2009, Kyoto. </w:t>
      </w:r>
      <w:r>
        <w:rPr>
          <w:b/>
        </w:rPr>
        <w:t>Proceedings</w:t>
      </w:r>
      <w:r>
        <w:t xml:space="preserve"> [...]. [S.l.]: IEEE, 2009. p. 178-187. DOI: </w:t>
      </w:r>
      <w:hyperlink r:id="rId15" w:history="1">
        <w:r>
          <w:rPr>
            <w:rStyle w:val="Hyperlink"/>
          </w:rPr>
          <w:t>10.1109/ICORR.2009.5209630</w:t>
        </w:r>
      </w:hyperlink>
      <w:r>
        <w:t>.</w:t>
      </w:r>
    </w:p>
    <w:p w14:paraId="760D147B" w14:textId="77777777" w:rsidR="00FD1B34" w:rsidRDefault="00000000">
      <w:r>
        <w:t xml:space="preserve">GRAZI, L. et al. Design and experimental evaluation of a semi-passive upper-limb exoskeleton for workers with motorized tuning of assistance. </w:t>
      </w:r>
      <w:r>
        <w:rPr>
          <w:b/>
        </w:rPr>
        <w:t>IEEE Transactions on Neural Systems and Rehabilitation Engineering</w:t>
      </w:r>
      <w:r>
        <w:t xml:space="preserve">, [S.l.], v. 28, n. 10, p. 2276-2285, 2020. DOI: </w:t>
      </w:r>
      <w:hyperlink r:id="rId16" w:history="1">
        <w:r>
          <w:rPr>
            <w:rStyle w:val="Hyperlink"/>
          </w:rPr>
          <w:t>10.1109/TNSRE.2020.3014408</w:t>
        </w:r>
      </w:hyperlink>
      <w:r>
        <w:t>.</w:t>
      </w:r>
    </w:p>
    <w:p w14:paraId="6ED7A7CB" w14:textId="77777777" w:rsidR="00FD1B34" w:rsidRDefault="00000000">
      <w:r>
        <w:t xml:space="preserve">GRAZI, L. et al. Kinematics-based adaptive assistance of a semi-passive upper-limb exoskeleton for workers in static and dynamic tasks. </w:t>
      </w:r>
      <w:r>
        <w:rPr>
          <w:b/>
        </w:rPr>
        <w:t>IEEE Robotics and Automation Letters</w:t>
      </w:r>
      <w:r>
        <w:t xml:space="preserve">, [S.l.], v. 7, n. 4, p. 8675-8682, out. 2022. DOI: </w:t>
      </w:r>
      <w:hyperlink r:id="rId17" w:history="1">
        <w:r>
          <w:rPr>
            <w:rStyle w:val="Hyperlink"/>
          </w:rPr>
          <w:t>10.1109/LRA.2022.3188402</w:t>
        </w:r>
      </w:hyperlink>
      <w:r>
        <w:t>.</w:t>
      </w:r>
    </w:p>
    <w:p w14:paraId="624D135A" w14:textId="77777777" w:rsidR="00FD1B34" w:rsidRDefault="00000000">
      <w:r>
        <w:t xml:space="preserve">GULL, M. A.; BAI, S.; BAK, T. A review on design of upper limb exoskeletons. </w:t>
      </w:r>
      <w:r>
        <w:rPr>
          <w:b/>
        </w:rPr>
        <w:t>Robotics</w:t>
      </w:r>
      <w:r>
        <w:t xml:space="preserve">, [S.l.], v. 9, n. 1, art. 16, 2020. DOI: </w:t>
      </w:r>
      <w:hyperlink r:id="rId18" w:history="1">
        <w:r>
          <w:rPr>
            <w:rStyle w:val="Hyperlink"/>
          </w:rPr>
          <w:t>10.3390/robotics9010016</w:t>
        </w:r>
      </w:hyperlink>
      <w:r>
        <w:t>.</w:t>
      </w:r>
    </w:p>
    <w:p>
      <w:r>
        <w:t xml:space="preserve">HARRIS, C. R. et al. Array programming with NumPy. </w:t>
      </w:r>
      <w:r>
        <w:rPr>
          <w:b/>
        </w:rPr>
        <w:t>Nature</w:t>
      </w:r>
      <w:r>
        <w:t xml:space="preserve">, [S.l.], v. 585, n. 7825, p. 357-362, 2020. DOI: </w:t>
      </w:r>
      <w:hyperlink r:id="rIdTccRef1" w:history="1">
        <w:r>
          <w:rPr>
            <w:rStyle w:val="Hyperlink"/>
          </w:rPr>
          <w:t>10.1038/s41586-020-2649-2</w:t>
        </w:r>
      </w:hyperlink>
      <w:r>
        <w:t>.</w:t>
      </w:r>
    </w:p>
    <w:p w14:paraId="7879DC80" w14:textId="77777777" w:rsidR="00FD1B34" w:rsidRDefault="00000000">
      <w:r>
        <w:t xml:space="preserve">HERDER, J. L. </w:t>
      </w:r>
      <w:r>
        <w:rPr>
          <w:b/>
        </w:rPr>
        <w:t>Energy-free systems</w:t>
      </w:r>
      <w:r>
        <w:t xml:space="preserve">: theory, conception and design of statically balanced spring mechanisms. 2001. Tese (Doutorado) — Delft University of Technology, Delft, 2001.</w:t>
      </w:r>
    </w:p>
    <w:p>
      <w:r>
        <w:t xml:space="preserve">HUNTER, J. D. Matplotlib: a 2D graphics environment. </w:t>
      </w:r>
      <w:r>
        <w:rPr>
          <w:b/>
        </w:rPr>
        <w:t>Computing in Science &amp; Engineering</w:t>
      </w:r>
      <w:r>
        <w:t xml:space="preserve">, [S.l.], v. 9, n. 3, p. 90-95, 2007. DOI: </w:t>
      </w:r>
      <w:hyperlink r:id="rIdTccRef2" w:history="1">
        <w:r>
          <w:rPr>
            <w:rStyle w:val="Hyperlink"/>
          </w:rPr>
          <w:t>10.1109/MCSE.2007.55</w:t>
        </w:r>
      </w:hyperlink>
      <w:r>
        <w:t>.</w:t>
      </w:r>
    </w:p>
    <w:p w14:paraId="19DCE682" w14:textId="77777777" w:rsidR="00FD1B34" w:rsidRPr="00955B75" w:rsidRDefault="00000000">
      <w:pPr>
        <w:rPr>
          <w:lang w:val="pt-BR"/>
        </w:rPr>
      </w:pPr>
      <w:r>
        <w:t xml:space="preserve">KIM, H. et al. Redundancy resolution of the human arm and an upper limb exoskeleton. </w:t>
      </w:r>
      <w:r>
        <w:rPr>
          <w:b/>
        </w:rPr>
        <w:t>IEEE Transactions on Biomedical Engineering</w:t>
      </w:r>
      <w:r>
        <w:t xml:space="preserve">, [S.l.], v. 59, n. 6, p. 1770-1779, 2012. </w:t>
      </w:r>
      <w:r>
        <w:rPr>
          <w:lang w:val="pt-BR"/>
        </w:rPr>
        <w:t xml:space="preserve">DOI: </w:t>
      </w:r>
      <w:hyperlink r:id="rId21" w:history="1">
        <w:r>
          <w:rPr>
            <w:rStyle w:val="Hyperlink"/>
            <w:lang w:val="pt-BR"/>
          </w:rPr>
          <w:t>10.1109/TBME.2012.2194489</w:t>
        </w:r>
      </w:hyperlink>
      <w:r>
        <w:rPr>
          <w:lang w:val="pt-BR"/>
        </w:rPr>
        <w:t>.</w:t>
      </w:r>
    </w:p>
    <w:p w14:paraId="41EC403B" w14:textId="77777777" w:rsidR="00FD1B34" w:rsidRDefault="00000000">
      <w:r>
        <w:t xml:space="preserve">KIM, S. et al. Assessing the influence of a passive, upper extremity exoskeletal vest for tasks requiring arm elevation: part I — "expected" effects on discomfort, shoulder muscle activity, and work task performance. </w:t>
      </w:r>
      <w:r>
        <w:rPr>
          <w:b/>
        </w:rPr>
        <w:t>Applied Ergonomics</w:t>
      </w:r>
      <w:r>
        <w:t xml:space="preserve">, [S.l.], v. 70, p. 315-322, 2018a. DOI: </w:t>
      </w:r>
      <w:hyperlink r:id="rId19" w:history="1">
        <w:r>
          <w:rPr>
            <w:rStyle w:val="Hyperlink"/>
          </w:rPr>
          <w:t>10.1016/j.apergo.2018.02.025</w:t>
        </w:r>
      </w:hyperlink>
      <w:r>
        <w:t>.</w:t>
      </w:r>
    </w:p>
    <w:p w14:paraId="1F68FDCA" w14:textId="77777777" w:rsidR="00FD1B34" w:rsidRDefault="00000000">
      <w:r>
        <w:t xml:space="preserve">KIM, S. et al. Assessing the influence of a passive, upper extremity exoskeletal vest for tasks requiring arm elevation: part II — "unexpected" effects on shoulder motion, balance, and spine loading. </w:t>
      </w:r>
      <w:r>
        <w:rPr>
          <w:b/>
        </w:rPr>
        <w:t>Applied Ergonomics</w:t>
      </w:r>
      <w:r>
        <w:t xml:space="preserve">, [S.l.], v. 70, p. 323-330, 2018b. DOI: </w:t>
      </w:r>
      <w:hyperlink r:id="rId20" w:history="1">
        <w:r>
          <w:rPr>
            <w:rStyle w:val="Hyperlink"/>
          </w:rPr>
          <w:t>10.1016/j.apergo.2018.02.024</w:t>
        </w:r>
      </w:hyperlink>
      <w:r>
        <w:t>.</w:t>
      </w:r>
    </w:p>
    <w:p w14:paraId="4A83BE93" w14:textId="77777777" w:rsidR="00FD1B34" w:rsidRPr="00955B75" w:rsidRDefault="00000000">
      <w:pPr>
        <w:rPr>
          <w:lang w:val="pt-BR"/>
        </w:rPr>
      </w:pPr>
      <w:r>
        <w:rPr>
          <w:lang w:val="pt-BR"/>
        </w:rPr>
        <w:t xml:space="preserve">MANOEL, A. V.; CAVALCANTE, D. F. B. Benefícios concedidos e gastos previdenciários por distúrbios osteomusculares relacionados ao trabalho, Brasil, 2008-2018. </w:t>
      </w:r>
      <w:r>
        <w:rPr>
          <w:b/>
          <w:lang w:val="pt-BR"/>
        </w:rPr>
        <w:t>Cadernos Saúde Coletiva</w:t>
      </w:r>
      <w:r>
        <w:rPr>
          <w:lang w:val="pt-BR"/>
        </w:rPr>
        <w:t xml:space="preserve">, Rio de Janeiro, v. 33, n. 4, 2025. DOI: </w:t>
      </w:r>
      <w:hyperlink r:id="rId22" w:history="1">
        <w:r>
          <w:rPr>
            <w:rStyle w:val="Hyperlink"/>
            <w:lang w:val="pt-BR"/>
          </w:rPr>
          <w:t>10.1590/1414-462x202533040384</w:t>
        </w:r>
      </w:hyperlink>
      <w:r>
        <w:rPr>
          <w:lang w:val="pt-BR"/>
        </w:rPr>
        <w:t>.</w:t>
      </w:r>
    </w:p>
    <w:p w14:paraId="3B32F3D4" w14:textId="77777777" w:rsidR="00FD1B34" w:rsidRDefault="00000000">
      <w:r>
        <w:t xml:space="preserve">MASARATI, P.; MORANDINI, M.; MANTEGAZZA, P. An efficient formulation for general-purpose multibody/multiphysics analysis. </w:t>
      </w:r>
      <w:r>
        <w:rPr>
          <w:b/>
        </w:rPr>
        <w:t>Journal of Computational and Nonlinear Dynamics</w:t>
      </w:r>
      <w:r>
        <w:t xml:space="preserve">, [S.l.], v. 9, n. 4, art. 041001, 2014. DOI: </w:t>
      </w:r>
      <w:hyperlink r:id="rId23" w:history="1">
        <w:r>
          <w:rPr>
            <w:rStyle w:val="Hyperlink"/>
          </w:rPr>
          <w:t>10.1115/1.4025628</w:t>
        </w:r>
      </w:hyperlink>
      <w:r>
        <w:t>.</w:t>
      </w:r>
    </w:p>
    <w:p w14:paraId="2CC0F178" w14:textId="77777777" w:rsidR="00FD1B34" w:rsidRDefault="00000000">
      <w:r>
        <w:t xml:space="preserve">MOELLER, T. et al. Effects of upper-limb exoskeletons designed for use in the working environment: a literature review. </w:t>
      </w:r>
      <w:r>
        <w:rPr>
          <w:b/>
        </w:rPr>
        <w:t>Frontiers in Robotics and AI</w:t>
      </w:r>
      <w:r>
        <w:t xml:space="preserve">, [S.l.], v. 9, art. 858893, 2022. DOI: </w:t>
      </w:r>
      <w:hyperlink r:id="rId24" w:history="1">
        <w:r>
          <w:rPr>
            <w:rStyle w:val="Hyperlink"/>
          </w:rPr>
          <w:t>10.3389/frobt.2022.858893</w:t>
        </w:r>
      </w:hyperlink>
      <w:r>
        <w:t>.</w:t>
      </w:r>
    </w:p>
    <w:p w14:paraId="00FC6030" w14:textId="77777777" w:rsidR="00FD1B34" w:rsidRDefault="00000000">
      <w:r>
        <w:t xml:space="preserve">MUSSO, M.; OLIVEIRA, A. S.; BAI, S. Modeling of a non-rigid passive exoskeleton: mathematical description and musculoskeletal simulations. </w:t>
      </w:r>
      <w:r>
        <w:rPr>
          <w:b/>
        </w:rPr>
        <w:t>Robotics</w:t>
      </w:r>
      <w:r>
        <w:t xml:space="preserve">, [S.l.], v. 11, n. 6, art. 147, 2022. DOI: </w:t>
      </w:r>
      <w:hyperlink r:id="rId25" w:history="1">
        <w:r>
          <w:rPr>
            <w:rStyle w:val="Hyperlink"/>
          </w:rPr>
          <w:t>10.3390/robotics11060147</w:t>
        </w:r>
      </w:hyperlink>
      <w:r>
        <w:t>.</w:t>
      </w:r>
    </w:p>
    <w:p w14:paraId="7A8D854C" w14:textId="77777777" w:rsidR="00FD1B34" w:rsidRDefault="00000000">
      <w:r>
        <w:t xml:space="preserve">NÄF, M. B. et al. Misalignment compensation for full human-exoskeleton kinematic compatibility: state of the art and evaluation. </w:t>
      </w:r>
      <w:r>
        <w:rPr>
          <w:b/>
        </w:rPr>
        <w:t>Applied Mechanics Reviews</w:t>
      </w:r>
      <w:r>
        <w:t xml:space="preserve">, [S.l.], v. 70, n. 5, art. 050802, 2018. DOI: </w:t>
      </w:r>
      <w:hyperlink r:id="rId28" w:history="1">
        <w:r>
          <w:rPr>
            <w:rStyle w:val="Hyperlink"/>
          </w:rPr>
          <w:t>10.1115/1.4042523</w:t>
        </w:r>
      </w:hyperlink>
      <w:r>
        <w:t>.</w:t>
      </w:r>
    </w:p>
    <w:p w14:paraId="223FA335" w14:textId="77777777" w:rsidR="00FD1B34" w:rsidRDefault="00000000">
      <w:r>
        <w:t xml:space="preserve">NASR, A.; BELL, S.; McPHEE, J. Optimal design of active-passive shoulder exoskeletons: a computational modeling of human-robot interaction. </w:t>
      </w:r>
      <w:r>
        <w:rPr>
          <w:b/>
        </w:rPr>
        <w:t>Multibody System Dynamics</w:t>
      </w:r>
      <w:r>
        <w:t xml:space="preserve">, [S.l.], v. 57, p. 73-106, 2023. DOI: </w:t>
      </w:r>
      <w:hyperlink r:id="rId29" w:history="1">
        <w:r>
          <w:rPr>
            <w:rStyle w:val="Hyperlink"/>
          </w:rPr>
          <w:t>10.1007/s11044-022-09855-8</w:t>
        </w:r>
      </w:hyperlink>
      <w:r>
        <w:t>.</w:t>
      </w:r>
    </w:p>
    <w:p w14:paraId="7E64DF9F" w14:textId="77777777" w:rsidR="00FD1B34" w:rsidRDefault="00000000">
      <w:r>
        <w:t xml:space="preserve">NASR, A.; FERGUSON, S.; McPHEE, J. Model-based design and optimization of passive shoulder exoskeletons. </w:t>
      </w:r>
      <w:r>
        <w:rPr>
          <w:b/>
        </w:rPr>
        <w:t>Journal of Computational and Nonlinear Dynamics</w:t>
      </w:r>
      <w:r>
        <w:t xml:space="preserve">, [S.l.], v. 17, n. 5, art. 051004, 2022. DOI: </w:t>
      </w:r>
      <w:hyperlink r:id="rId30" w:history="1">
        <w:r>
          <w:rPr>
            <w:rStyle w:val="Hyperlink"/>
          </w:rPr>
          <w:t>10.1115/1.4053405</w:t>
        </w:r>
      </w:hyperlink>
      <w:r>
        <w:t>.</w:t>
      </w:r>
    </w:p>
    <w:p w14:paraId="7EE3DFE1" w14:textId="77777777" w:rsidR="00FD1B34" w:rsidRDefault="00000000">
      <w:r>
        <w:t xml:space="preserve">NGUYEN, V. L. Passive gravity compensation in mechanisms and robots: methods, advances, and challenges. </w:t>
      </w:r>
      <w:r>
        <w:rPr>
          <w:b/>
        </w:rPr>
        <w:t>Mechanism and Machine Theory</w:t>
      </w:r>
      <w:r>
        <w:t xml:space="preserve">, [S.l.], v. 220, art. 106345, 2026. DOI: </w:t>
      </w:r>
      <w:hyperlink r:id="rId31" w:history="1">
        <w:r>
          <w:rPr>
            <w:rStyle w:val="Hyperlink"/>
          </w:rPr>
          <w:t>10.1016/j.mechmachtheory.2025.106345</w:t>
        </w:r>
      </w:hyperlink>
      <w:r>
        <w:t>.</w:t>
      </w:r>
    </w:p>
    <w:p w14:paraId="6D02D1E0" w14:textId="77777777" w:rsidR="00FD1B34" w:rsidRDefault="00000000">
      <w:r>
        <w:lastRenderedPageBreak/>
        <w:t xml:space="preserve">NING, Y. et al. Design and analysis of upper limb passive exoskeleton robot for lift assist. </w:t>
      </w:r>
      <w:r>
        <w:rPr>
          <w:b/>
        </w:rPr>
        <w:t>Journal of Physics: Conference Series</w:t>
      </w:r>
      <w:r>
        <w:t xml:space="preserve">, [S.l.], v. 2410, art. 012020, 2022. DOI: </w:t>
      </w:r>
      <w:hyperlink r:id="rId26" w:history="1">
        <w:r>
          <w:rPr>
            <w:rStyle w:val="Hyperlink"/>
          </w:rPr>
          <w:t>10.1088/1742-6596/2410/1/012020</w:t>
        </w:r>
      </w:hyperlink>
      <w:r>
        <w:t>.</w:t>
      </w:r>
    </w:p>
    <w:p w14:paraId="203A604F" w14:textId="77777777" w:rsidR="00FD1B34" w:rsidRDefault="00000000">
      <w:r>
        <w:t xml:space="preserve">NING, Y. et al. Structure design and analysis of upper limb wearable passive power-assisted exoskeleton robot. </w:t>
      </w:r>
      <w:r>
        <w:rPr>
          <w:b/>
        </w:rPr>
        <w:t>Journal of Physics: Conference Series</w:t>
      </w:r>
      <w:r>
        <w:t xml:space="preserve">, [S.l.], v. 2489, art. 012008, 2023. DOI: </w:t>
      </w:r>
      <w:hyperlink r:id="rId27" w:history="1">
        <w:r>
          <w:rPr>
            <w:rStyle w:val="Hyperlink"/>
          </w:rPr>
          <w:t>10.1088/1742-6596/2489/1/012008</w:t>
        </w:r>
      </w:hyperlink>
      <w:r>
        <w:t>.</w:t>
      </w:r>
    </w:p>
    <w:p w14:paraId="0710A42B" w14:textId="77777777" w:rsidR="00FD1B34" w:rsidRDefault="00000000">
      <w:r>
        <w:t xml:space="preserve">OBUKHOV, A. et al. Development of a system for recognising and classifying motor activity to control an upper-limb exoskeleton. </w:t>
      </w:r>
      <w:r>
        <w:rPr>
          <w:b/>
        </w:rPr>
        <w:t>Applied System Innovation</w:t>
      </w:r>
      <w:r>
        <w:t xml:space="preserve">, [S.l.], v. 8, n. 4, art. 114, 2025. DOI: </w:t>
      </w:r>
      <w:hyperlink r:id="rId32" w:history="1">
        <w:r>
          <w:rPr>
            <w:rStyle w:val="Hyperlink"/>
          </w:rPr>
          <w:t>10.3390/asi8040114</w:t>
        </w:r>
      </w:hyperlink>
      <w:r>
        <w:t>.</w:t>
      </w:r>
    </w:p>
    <w:p w14:paraId="2476A89D" w14:textId="77777777" w:rsidR="00FD1B34" w:rsidRPr="00955B75" w:rsidRDefault="00000000">
      <w:pPr>
        <w:rPr>
          <w:lang w:val="pt-BR"/>
        </w:rPr>
      </w:pPr>
      <w:r>
        <w:t xml:space="preserve">OTTOBOCK SE &amp; CO. KGAA. Oliver Mizera et al. </w:t>
      </w:r>
      <w:r>
        <w:rPr>
          <w:b/>
        </w:rPr>
        <w:t xml:space="preserve">Vorrichtung zum Unterstützen wenigstens eines Armes eines Benutzers</w:t>
      </w:r>
      <w:r>
        <w:t xml:space="preserve">. </w:t>
      </w:r>
      <w:r>
        <w:rPr>
          <w:lang w:val="pt-BR"/>
        </w:rPr>
        <w:t>EP 3 504 033 B1. Depósito: 6 jun. 2018. Concessão: 29 mar. 2023.</w:t>
      </w:r>
    </w:p>
    <w:p w14:paraId="772F6234" w14:textId="77777777" w:rsidR="00FD1B34" w:rsidRDefault="00000000">
      <w:r>
        <w:rPr>
          <w:lang w:val="pt-BR"/>
        </w:rPr>
        <w:t xml:space="preserve">PALAZZI, E. et al. </w:t>
      </w:r>
      <w:r>
        <w:t xml:space="preserve">An affordable upper-limb exoskeleton concept for rehabilitation applications. </w:t>
      </w:r>
      <w:r>
        <w:rPr>
          <w:b/>
        </w:rPr>
        <w:t>Technologies</w:t>
      </w:r>
      <w:r>
        <w:t xml:space="preserve">, [S.l.], v. 10, n. 1, art. 22, 2022. DOI: </w:t>
      </w:r>
      <w:hyperlink r:id="rId33" w:history="1">
        <w:r>
          <w:rPr>
            <w:rStyle w:val="Hyperlink"/>
          </w:rPr>
          <w:t>10.3390/technologies10010022</w:t>
        </w:r>
      </w:hyperlink>
      <w:r>
        <w:t>.</w:t>
      </w:r>
    </w:p>
    <w:p w14:paraId="6FD7568E" w14:textId="77777777" w:rsidR="00FD1B34" w:rsidRDefault="00000000">
      <w:r>
        <w:t xml:space="preserve">PERRY, J. C.; ROSEN, J.; BURNS, S. Upper-limb powered exoskeleton design. </w:t>
      </w:r>
      <w:r>
        <w:rPr>
          <w:b/>
        </w:rPr>
        <w:t>IEEE/ASME Transactions on Mechatronics</w:t>
      </w:r>
      <w:r>
        <w:t xml:space="preserve">, [S.l.], v. 12, n. 4, p. 408-417, ago. 2007. DOI: </w:t>
      </w:r>
      <w:hyperlink r:id="rId34" w:history="1">
        <w:r>
          <w:rPr>
            <w:rStyle w:val="Hyperlink"/>
          </w:rPr>
          <w:t>10.1109/TMECH.2007.901934</w:t>
        </w:r>
      </w:hyperlink>
      <w:r>
        <w:t>.</w:t>
      </w:r>
    </w:p>
    <w:p w14:paraId="3320748E" w14:textId="77777777" w:rsidR="00FD1B34" w:rsidRDefault="00000000">
      <w:r>
        <w:t xml:space="preserve">RAHMAN, M. H. et al. Development of a whole arm wearable robotic exoskeleton for rehabilitation and to assist upper limb movements. </w:t>
      </w:r>
      <w:r>
        <w:rPr>
          <w:b/>
        </w:rPr>
        <w:t>Robotica</w:t>
      </w:r>
      <w:r>
        <w:t xml:space="preserve">, [S.l.], v. 33, n. 1, p. 19-39, 2015. DOI: </w:t>
      </w:r>
      <w:hyperlink r:id="rId35" w:history="1">
        <w:r>
          <w:rPr>
            <w:rStyle w:val="Hyperlink"/>
          </w:rPr>
          <w:t>10.1017/S0263574714000034</w:t>
        </w:r>
      </w:hyperlink>
      <w:r>
        <w:t>.</w:t>
      </w:r>
    </w:p>
    <w:p w14:paraId="7F2445DF" w14:textId="77777777" w:rsidR="00FD1B34" w:rsidRDefault="00000000">
      <w:r>
        <w:t xml:space="preserve">REYES, F. A. et al. Shoulder-support exoskeletons for overhead work: current state, challenges and future directions. </w:t>
      </w:r>
      <w:r>
        <w:rPr>
          <w:b/>
        </w:rPr>
        <w:t>IEEE Transactions on Medical Robotics and Bionics</w:t>
      </w:r>
      <w:r>
        <w:t xml:space="preserve">, [S.l.], v. 5, n. 3, p. 516-527, ago. 2023. DOI: </w:t>
      </w:r>
      <w:hyperlink r:id="rId36" w:history="1">
        <w:r>
          <w:rPr>
            <w:rStyle w:val="Hyperlink"/>
          </w:rPr>
          <w:t>10.1109/TMRB.2023.3275761</w:t>
        </w:r>
      </w:hyperlink>
      <w:r>
        <w:t>.</w:t>
      </w:r>
    </w:p>
    <w:p w14:paraId="2D99777F" w14:textId="77777777" w:rsidR="00FD1B34" w:rsidRDefault="00000000">
      <w:r>
        <w:t xml:space="preserve">SEIDLER, A. et al. Dose-response relationship between physical workload and specific shoulder diseases: a systematic review with meta-analysis. </w:t>
      </w:r>
      <w:r>
        <w:rPr>
          <w:b/>
        </w:rPr>
        <w:t>International Journal of Environmental Research and Public Health</w:t>
      </w:r>
      <w:r>
        <w:t xml:space="preserve">, [S.l.], v. 17, n. 4, art. 1243, 2020. DOI: </w:t>
      </w:r>
      <w:hyperlink r:id="rId37" w:history="1">
        <w:r>
          <w:rPr>
            <w:rStyle w:val="Hyperlink"/>
          </w:rPr>
          <w:t>10.3390/ijerph17041243</w:t>
        </w:r>
      </w:hyperlink>
      <w:r>
        <w:t>.</w:t>
      </w:r>
    </w:p>
    <w:p w14:paraId="738A03CC" w14:textId="77777777" w:rsidR="00FD1B34" w:rsidRDefault="00000000">
      <w:r>
        <w:lastRenderedPageBreak/>
        <w:t xml:space="preserve">SHEN, Y.; FERGUSON, P. W.; ROSEN, J. Upper limb exoskeleton systems: overview. In: ROSEN, J.; FERGUSON, P. W. (ed.). </w:t>
      </w:r>
      <w:r>
        <w:rPr>
          <w:b/>
        </w:rPr>
        <w:t>Wearable robotics</w:t>
      </w:r>
      <w:r>
        <w:t xml:space="preserve">: systems and applications. [S.l.]: Academic Press, 2020. p. 1-22. DOI: </w:t>
      </w:r>
      <w:hyperlink r:id="rId38" w:history="1">
        <w:r>
          <w:rPr>
            <w:rStyle w:val="Hyperlink"/>
          </w:rPr>
          <w:t>10.1016/B978-0-12-814659-0.00001-1</w:t>
        </w:r>
      </w:hyperlink>
      <w:r>
        <w:t>.</w:t>
      </w:r>
    </w:p>
    <w:p w14:paraId="10C09FF3" w14:textId="77777777" w:rsidR="00FD1B34" w:rsidRDefault="00000000">
      <w:r>
        <w:t xml:space="preserve">SPADA, S. et al. Investigation into the applicability of a passive upper-limb exoskeleton in automotive industry. </w:t>
      </w:r>
      <w:r>
        <w:rPr>
          <w:b/>
        </w:rPr>
        <w:t>Procedia Manufacturing</w:t>
      </w:r>
      <w:r>
        <w:t xml:space="preserve">, [S.l.], v. 11, p. 1255-1262, 2017. DOI: </w:t>
      </w:r>
      <w:hyperlink r:id="rId39" w:history="1">
        <w:r>
          <w:rPr>
            <w:rStyle w:val="Hyperlink"/>
          </w:rPr>
          <w:t>10.1016/j.promfg.2017.07.252</w:t>
        </w:r>
      </w:hyperlink>
      <w:r>
        <w:t>.</w:t>
      </w:r>
    </w:p>
    <w:p w14:paraId="48C4E40D" w14:textId="77777777" w:rsidR="00FD1B34" w:rsidRDefault="00000000">
      <w:r>
        <w:t xml:space="preserve">VAN DER MOLEN, H. F. et al. Work-related risk factors for specific shoulder disorders: a systematic review and meta-analysis. </w:t>
      </w:r>
      <w:r>
        <w:rPr>
          <w:b/>
        </w:rPr>
        <w:t>Occupational and Environmental Medicine</w:t>
      </w:r>
      <w:r>
        <w:t xml:space="preserve">, [S.l.], v. 74, n. 10, p. 745-755, 2017. DOI: </w:t>
      </w:r>
      <w:hyperlink r:id="rId40" w:history="1">
        <w:r>
          <w:rPr>
            <w:rStyle w:val="Hyperlink"/>
          </w:rPr>
          <w:t>10.1136/oemed-2017-104339</w:t>
        </w:r>
      </w:hyperlink>
      <w:r>
        <w:t>.</w:t>
      </w:r>
    </w:p>
    <w:p w14:paraId="446D9818" w14:textId="77777777" w:rsidR="00FD1B34" w:rsidRPr="00955B75" w:rsidRDefault="00000000">
      <w:pPr>
        <w:rPr>
          <w:lang w:val="pt-BR"/>
        </w:rPr>
      </w:pPr>
      <w:r>
        <w:t xml:space="preserve">VAN ENGELHOVEN, L.; KAZEROONI, H. </w:t>
      </w:r>
      <w:r>
        <w:rPr>
          <w:b/>
        </w:rPr>
        <w:t>Apparatus for human arm supporting exoskeleton</w:t>
      </w:r>
      <w:r>
        <w:t xml:space="preserve">. Depositante e titular: The Regents of the University of California. </w:t>
      </w:r>
      <w:r>
        <w:rPr>
          <w:lang w:val="pt-BR"/>
        </w:rPr>
        <w:t>US 9,889,554 B2. Depósito: 18 maio 2016. Concessão: 13 fev. 2018.</w:t>
      </w:r>
    </w:p>
    <w:p w14:paraId="3B70B499" w14:textId="77777777" w:rsidR="00FD1B34" w:rsidRDefault="00000000">
      <w:r>
        <w:rPr>
          <w:lang w:val="pt-BR"/>
        </w:rPr>
        <w:t xml:space="preserve">WANG, Y. et al. </w:t>
      </w:r>
      <w:r>
        <w:t xml:space="preserve">Extracting human-exoskeleton interaction torque for cable-driven upper-limb exoskeleton equipped with torque sensors. </w:t>
      </w:r>
      <w:r>
        <w:rPr>
          <w:b/>
        </w:rPr>
        <w:t>IEEE/ASME Transactions on Mechatronics</w:t>
      </w:r>
      <w:r>
        <w:t xml:space="preserve">, [S.l.], v. 27, n. 6, p. 4269-4280, dez. 2022. DOI: </w:t>
      </w:r>
      <w:hyperlink r:id="rId41" w:history="1">
        <w:r>
          <w:rPr>
            <w:rStyle w:val="Hyperlink"/>
          </w:rPr>
          <w:t>10.1109/TMECH.2022.3154087</w:t>
        </w:r>
      </w:hyperlink>
      <w:r>
        <w:t>.</w:t>
      </w:r>
    </w:p>
    <w:p w14:paraId="6DCD304A" w14:textId="77777777" w:rsidR="00FD1B34" w:rsidRDefault="00000000">
      <w:r>
        <w:t xml:space="preserve">WU, Q.; WANG, X.; DU, F. Development and analysis of a gravity-balanced exoskeleton for active rehabilitation training of upper limb. </w:t>
      </w:r>
      <w:r>
        <w:rPr>
          <w:b/>
        </w:rPr>
        <w:t>Proceedings of the Institution of Mechanical Engineers, Part C: Journal of Mechanical Engineering Science</w:t>
      </w:r>
      <w:r>
        <w:t xml:space="preserve">, [S.l.], v. 230, n. 20, p. 3777-3790, 2016. DOI: </w:t>
      </w:r>
      <w:hyperlink r:id="rId42" w:history="1">
        <w:r>
          <w:rPr>
            <w:rStyle w:val="Hyperlink"/>
          </w:rPr>
          <w:t>10.1177/0954406215616415</w:t>
        </w:r>
      </w:hyperlink>
      <w:r>
        <w:t>.</w:t>
      </w:r>
    </w:p>
    <w:p w14:paraId="73C2777F" w14:textId="77777777" w:rsidR="00FD1B34" w:rsidRPr="00955B75" w:rsidRDefault="00000000">
      <w:pPr>
        <w:rPr>
          <w:lang w:val="pt-BR"/>
        </w:rPr>
      </w:pPr>
      <w:r>
        <w:t xml:space="preserve">YOON, J. et al. Minimizing misalignment and frame protrusion of shoulder exoskeleton via optimization for reducing interaction force and minimizing volume. </w:t>
      </w:r>
      <w:r>
        <w:rPr>
          <w:b/>
          <w:lang w:val="pt-BR"/>
        </w:rPr>
        <w:t>Machines</w:t>
      </w:r>
      <w:r>
        <w:rPr>
          <w:lang w:val="pt-BR"/>
        </w:rPr>
        <w:t xml:space="preserve">, [S.l.], v. 10, n. 12, art. 1223, 2022. DOI: </w:t>
      </w:r>
      <w:hyperlink r:id="rId43" w:history="1">
        <w:r>
          <w:rPr>
            <w:rStyle w:val="Hyperlink"/>
            <w:lang w:val="pt-BR"/>
          </w:rPr>
          <w:t>10.3390/machines10121223</w:t>
        </w:r>
      </w:hyperlink>
      <w:r>
        <w:rPr>
          <w:lang w:val="pt-BR"/>
        </w:rPr>
        <w:t>.</w:t>
      </w:r>
    </w:p>
    <w:sectPr w:rsidR="00FD1B34" w:rsidRPr="00955B7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67117"/>
    <w:multiLevelType w:val="hybridMultilevel"/>
    <w:tmpl w:val="A9F2571A"/>
    <w:lvl w:ilvl="0" w:tplc="F4FCF87E">
      <w:start w:val="1"/>
      <w:numFmt w:val="decimal"/>
      <w:lvlText w:val="%1."/>
      <w:lvlJc w:val="left"/>
      <w:pPr>
        <w:ind w:left="720" w:hanging="360"/>
      </w:pPr>
    </w:lvl>
    <w:lvl w:ilvl="1" w:tplc="92CE9316">
      <w:start w:val="1"/>
      <w:numFmt w:val="lowerLetter"/>
      <w:lvlText w:val="%2."/>
      <w:lvlJc w:val="left"/>
      <w:pPr>
        <w:ind w:left="1440" w:hanging="360"/>
      </w:pPr>
    </w:lvl>
    <w:lvl w:ilvl="2" w:tplc="46CED9CE">
      <w:start w:val="1"/>
      <w:numFmt w:val="lowerRoman"/>
      <w:lvlText w:val="%3."/>
      <w:lvlJc w:val="left"/>
      <w:pPr>
        <w:ind w:left="2160" w:hanging="360"/>
      </w:pPr>
    </w:lvl>
    <w:lvl w:ilvl="3" w:tplc="345864B2">
      <w:start w:val="1"/>
      <w:numFmt w:val="decimal"/>
      <w:lvlText w:val="%4."/>
      <w:lvlJc w:val="left"/>
      <w:pPr>
        <w:ind w:left="2880" w:hanging="360"/>
      </w:pPr>
    </w:lvl>
    <w:lvl w:ilvl="4" w:tplc="84344F6C">
      <w:start w:val="1"/>
      <w:numFmt w:val="lowerLetter"/>
      <w:lvlText w:val="%5."/>
      <w:lvlJc w:val="left"/>
      <w:pPr>
        <w:ind w:left="3600" w:hanging="360"/>
      </w:pPr>
    </w:lvl>
    <w:lvl w:ilvl="5" w:tplc="4948A154">
      <w:start w:val="1"/>
      <w:numFmt w:val="lowerRoman"/>
      <w:lvlText w:val="%6."/>
      <w:lvlJc w:val="left"/>
      <w:pPr>
        <w:ind w:left="4320" w:hanging="360"/>
      </w:pPr>
    </w:lvl>
    <w:lvl w:ilvl="6" w:tplc="BC5A7438">
      <w:start w:val="1"/>
      <w:numFmt w:val="decimal"/>
      <w:lvlText w:val="%7."/>
      <w:lvlJc w:val="left"/>
      <w:pPr>
        <w:ind w:left="5040" w:hanging="360"/>
      </w:pPr>
    </w:lvl>
    <w:lvl w:ilvl="7" w:tplc="EEB41DC0">
      <w:start w:val="1"/>
      <w:numFmt w:val="lowerLetter"/>
      <w:lvlText w:val="%8."/>
      <w:lvlJc w:val="left"/>
      <w:pPr>
        <w:ind w:left="5760" w:hanging="360"/>
      </w:pPr>
    </w:lvl>
    <w:lvl w:ilvl="8" w:tplc="C2F264D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7F7B7723"/>
    <w:multiLevelType w:val="hybridMultilevel"/>
    <w:tmpl w:val="440CDFDC"/>
    <w:lvl w:ilvl="0" w:tplc="8D4C44DA">
      <w:start w:val="1"/>
      <w:numFmt w:val="bullet"/>
      <w:lvlText w:val="•"/>
      <w:lvlJc w:val="left"/>
      <w:pPr>
        <w:ind w:left="720" w:hanging="360"/>
      </w:pPr>
    </w:lvl>
    <w:lvl w:ilvl="1" w:tplc="DD68973A">
      <w:start w:val="1"/>
      <w:numFmt w:val="bullet"/>
      <w:lvlText w:val="o"/>
      <w:lvlJc w:val="left"/>
      <w:pPr>
        <w:ind w:left="1440" w:hanging="360"/>
      </w:pPr>
    </w:lvl>
    <w:lvl w:ilvl="2" w:tplc="04D4B0EA">
      <w:start w:val="1"/>
      <w:numFmt w:val="bullet"/>
      <w:lvlText w:val="▪"/>
      <w:lvlJc w:val="left"/>
      <w:pPr>
        <w:ind w:left="2160" w:hanging="360"/>
      </w:pPr>
    </w:lvl>
    <w:lvl w:ilvl="3" w:tplc="B8CE2588">
      <w:start w:val="1"/>
      <w:numFmt w:val="bullet"/>
      <w:lvlText w:val="•"/>
      <w:lvlJc w:val="left"/>
      <w:pPr>
        <w:ind w:left="2880" w:hanging="360"/>
      </w:pPr>
    </w:lvl>
    <w:lvl w:ilvl="4" w:tplc="3CC600A8">
      <w:start w:val="1"/>
      <w:numFmt w:val="bullet"/>
      <w:lvlText w:val="o"/>
      <w:lvlJc w:val="left"/>
      <w:pPr>
        <w:ind w:left="3600" w:hanging="360"/>
      </w:pPr>
    </w:lvl>
    <w:lvl w:ilvl="5" w:tplc="740C54F0">
      <w:start w:val="1"/>
      <w:numFmt w:val="bullet"/>
      <w:lvlText w:val="▪"/>
      <w:lvlJc w:val="left"/>
      <w:pPr>
        <w:ind w:left="4320" w:hanging="360"/>
      </w:pPr>
    </w:lvl>
    <w:lvl w:ilvl="6" w:tplc="F7482688">
      <w:start w:val="1"/>
      <w:numFmt w:val="bullet"/>
      <w:lvlText w:val="•"/>
      <w:lvlJc w:val="left"/>
      <w:pPr>
        <w:ind w:left="5040" w:hanging="360"/>
      </w:pPr>
    </w:lvl>
    <w:lvl w:ilvl="7" w:tplc="A93621D6">
      <w:start w:val="1"/>
      <w:numFmt w:val="bullet"/>
      <w:lvlText w:val="o"/>
      <w:lvlJc w:val="left"/>
      <w:pPr>
        <w:ind w:left="5760" w:hanging="360"/>
      </w:pPr>
    </w:lvl>
    <w:lvl w:ilvl="8" w:tplc="4F6AFEE6">
      <w:start w:val="1"/>
      <w:numFmt w:val="bullet"/>
      <w:lvlText w:val="▪"/>
      <w:lvlJc w:val="left"/>
      <w:pPr>
        <w:ind w:left="6480" w:hanging="360"/>
      </w:pPr>
    </w:lvl>
  </w:abstractNum>
  <w:num w:numId="1" w16cid:durableId="444926496">
    <w:abstractNumId w:val="1"/>
  </w:num>
  <w:num w:numId="2" w16cid:durableId="951591884">
    <w:abstractNumId w:val="0"/>
    <w:lvlOverride w:ilvl="0">
      <w:startOverride w:val="1"/>
    </w:lvlOverride>
  </w:num>
  <w:num w:numId="3" w16cid:durableId="199561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1B34"/>
    <w:rsid w:val="00151E3D"/>
    <w:rsid w:val="00955B75"/>
    <w:rsid w:val="00A029F4"/>
    <w:rsid w:val="00BC4DC9"/>
    <w:rsid w:val="00D93382"/>
    <w:rsid w:val="00FD1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6E3A1"/>
  <w15:docId w15:val="{D4DB349F-F4AF-4DEA-83AA-921D727A1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955B7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doi.org/10.1080/00140139.2015.1081988" TargetMode="External"/><Relationship Id="rId18" Type="http://schemas.openxmlformats.org/officeDocument/2006/relationships/hyperlink" Target="https://doi.org/10.3390/robotics9010016" TargetMode="External"/><Relationship Id="rId26" Type="http://schemas.openxmlformats.org/officeDocument/2006/relationships/hyperlink" Target="https://doi.org/10.1088/1742-6596/2410/1/012020" TargetMode="External"/><Relationship Id="rId39" Type="http://schemas.openxmlformats.org/officeDocument/2006/relationships/hyperlink" Target="https://doi.org/10.1016/j.promfg.2017.07.252" TargetMode="External"/><Relationship Id="rId21" Type="http://schemas.openxmlformats.org/officeDocument/2006/relationships/hyperlink" Target="https://doi.org/10.1109/TBME.2012.2194489" TargetMode="External"/><Relationship Id="rId34" Type="http://schemas.openxmlformats.org/officeDocument/2006/relationships/hyperlink" Target="https://doi.org/10.1109/TMECH.2007.901934" TargetMode="External"/><Relationship Id="rId42" Type="http://schemas.openxmlformats.org/officeDocument/2006/relationships/hyperlink" Target="https://doi.org/10.1177/0954406215616415" TargetMode="External"/><Relationship Id="rId7" Type="http://schemas.openxmlformats.org/officeDocument/2006/relationships/hyperlink" Target="https://doi.org/10.1080/01691864.2015.1090334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109/TNSRE.2020.3014408" TargetMode="External"/><Relationship Id="rId29" Type="http://schemas.openxmlformats.org/officeDocument/2006/relationships/hyperlink" Target="https://doi.org/10.1007/s11044-022-09855-8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genciabrasil.ebc.com.br/saude/noticia/2026-01/doencas-afastaram-41-milhoes-de-trabalhadores-de-suas-funcoes-em-2025" TargetMode="External"/><Relationship Id="rId11" Type="http://schemas.openxmlformats.org/officeDocument/2006/relationships/hyperlink" Target="https://doi.org/10.1109/ICORR.2015.7281174" TargetMode="External"/><Relationship Id="rId24" Type="http://schemas.openxmlformats.org/officeDocument/2006/relationships/hyperlink" Target="https://doi.org/10.3389/frobt.2022.858893" TargetMode="External"/><Relationship Id="rId32" Type="http://schemas.openxmlformats.org/officeDocument/2006/relationships/hyperlink" Target="https://doi.org/10.3390/asi8040114" TargetMode="External"/><Relationship Id="rId37" Type="http://schemas.openxmlformats.org/officeDocument/2006/relationships/hyperlink" Target="https://doi.org/10.3390/ijerph17041243" TargetMode="External"/><Relationship Id="rId40" Type="http://schemas.openxmlformats.org/officeDocument/2006/relationships/hyperlink" Target="https://doi.org/10.1136/oemed-2017-104339" TargetMode="External"/><Relationship Id="rId45" Type="http://schemas.openxmlformats.org/officeDocument/2006/relationships/theme" Target="theme/theme1.xml"/><Relationship Id="rId15" Type="http://schemas.openxmlformats.org/officeDocument/2006/relationships/hyperlink" Target="https://doi.org/10.1109/ICORR.2009.5209630" TargetMode="External"/><Relationship Id="rId23" Type="http://schemas.openxmlformats.org/officeDocument/2006/relationships/hyperlink" Target="https://doi.org/10.1115/1.4025628" TargetMode="External"/><Relationship Id="rId28" Type="http://schemas.openxmlformats.org/officeDocument/2006/relationships/hyperlink" Target="https://doi.org/10.1115/1.4042523" TargetMode="External"/><Relationship Id="rId36" Type="http://schemas.openxmlformats.org/officeDocument/2006/relationships/hyperlink" Target="https://doi.org/10.1109/TMRB.2023.3275761" TargetMode="External"/><Relationship Id="rId10" Type="http://schemas.openxmlformats.org/officeDocument/2006/relationships/hyperlink" Target="https://doi.org/10.1109/SSD.2016.7473769" TargetMode="External"/><Relationship Id="rId19" Type="http://schemas.openxmlformats.org/officeDocument/2006/relationships/hyperlink" Target="https://doi.org/10.1016/j.apergo.2018.02.025" TargetMode="External"/><Relationship Id="rId31" Type="http://schemas.openxmlformats.org/officeDocument/2006/relationships/hyperlink" Target="https://doi.org/10.1016/j.mechmachtheory.2025.106345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109/ICCES.2017.8275281" TargetMode="External"/><Relationship Id="rId14" Type="http://schemas.openxmlformats.org/officeDocument/2006/relationships/hyperlink" Target="https://doi.org/10.1016/j.robot.2025.105232" TargetMode="External"/><Relationship Id="rId22" Type="http://schemas.openxmlformats.org/officeDocument/2006/relationships/hyperlink" Target="https://doi.org/10.1590/1414-462x202533040384" TargetMode="External"/><Relationship Id="rId27" Type="http://schemas.openxmlformats.org/officeDocument/2006/relationships/hyperlink" Target="https://doi.org/10.1088/1742-6596/2489/1/012008" TargetMode="External"/><Relationship Id="rId30" Type="http://schemas.openxmlformats.org/officeDocument/2006/relationships/hyperlink" Target="https://doi.org/10.1115/1.4053405" TargetMode="External"/><Relationship Id="rId35" Type="http://schemas.openxmlformats.org/officeDocument/2006/relationships/hyperlink" Target="https://doi.org/10.1017/S0263574714000034" TargetMode="External"/><Relationship Id="rId43" Type="http://schemas.openxmlformats.org/officeDocument/2006/relationships/hyperlink" Target="https://doi.org/10.3390/machines10121223" TargetMode="External"/><Relationship Id="rId8" Type="http://schemas.openxmlformats.org/officeDocument/2006/relationships/hyperlink" Target="https://doi.org/10.1016/j.apergo.2021.103385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1016/0021-9290%2895%2900178-6" TargetMode="External"/><Relationship Id="rId17" Type="http://schemas.openxmlformats.org/officeDocument/2006/relationships/hyperlink" Target="https://doi.org/10.1109/LRA.2022.3188402" TargetMode="External"/><Relationship Id="rId25" Type="http://schemas.openxmlformats.org/officeDocument/2006/relationships/hyperlink" Target="https://doi.org/10.3390/robotics11060147" TargetMode="External"/><Relationship Id="rId33" Type="http://schemas.openxmlformats.org/officeDocument/2006/relationships/hyperlink" Target="https://doi.org/10.3390/technologies10010022" TargetMode="External"/><Relationship Id="rId38" Type="http://schemas.openxmlformats.org/officeDocument/2006/relationships/hyperlink" Target="https://doi.org/10.1016/B978-0-12-814659-0.00001-1" TargetMode="External"/><Relationship Id="rId20" Type="http://schemas.openxmlformats.org/officeDocument/2006/relationships/hyperlink" Target="https://doi.org/10.1016/j.apergo.2018.02.024" TargetMode="External"/><Relationship Id="rId41" Type="http://schemas.openxmlformats.org/officeDocument/2006/relationships/hyperlink" Target="https://doi.org/10.1109/TMECH.2022.3154087" TargetMode="External"/><Relationship Id="rIdTccFig1" Target="media/tcc_fig1_geometria.png" Type="http://schemas.openxmlformats.org/officeDocument/2006/relationships/image"/><Relationship Id="rIdTccFig2" Target="media/tcc_fig2_ajuste.png" Type="http://schemas.openxmlformats.org/officeDocument/2006/relationships/image"/><Relationship Id="rIdTccFig3" Target="media/tcc_fig3_familia.png" Type="http://schemas.openxmlformats.org/officeDocument/2006/relationships/image"/><Relationship Id="rIdTccFig4" Target="media/tcc_fig4_rmse_h.png" Type="http://schemas.openxmlformats.org/officeDocument/2006/relationships/image"/><Relationship Id="rIdTccFig5" Target="media/tcc_fig5_normalizado.png" Type="http://schemas.openxmlformats.org/officeDocument/2006/relationships/image"/><Relationship Id="rIdTccRef1" TargetMode="External" Target="https://doi.org/10.1038/s41586-020-2649-2" Type="http://schemas.openxmlformats.org/officeDocument/2006/relationships/hyperlink"/><Relationship Id="rIdTccRef2" TargetMode="External" Target="https://doi.org/10.1109/MCSE.2007.55" Type="http://schemas.openxmlformats.org/officeDocument/2006/relationships/hyperlink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22</Pages>
  <Words>9566</Words>
  <Characters>51660</Characters>
  <Application>Microsoft Office Word</Application>
  <DocSecurity>0</DocSecurity>
  <Lines>430</Lines>
  <Paragraphs>122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Modelagem e simulação de mecanismos passivos de apoio ao braço</vt:lpstr>
    </vt:vector>
  </TitlesOfParts>
  <Company/>
  <LinksUpToDate>false</LinksUpToDate>
  <CharactersWithSpaces>61104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Modelagem e simulação de mecanismos passivos de apoio ao braço</dc:title>
  <dc:description>Claude Docs node/6de42fad-0ed3@35 docx-w6</dc:description>
  <cp:lastModifiedBy>Pedro Brito</cp:lastModifiedBy>
  <cp:revision>2</cp:revision>
  <dcterms:created xsi:type="dcterms:W3CDTF">2026-10-12T20:33:00Z</dcterms:created>
  <dcterms:modified xsi:type="dcterms:W3CDTF">2026-10-12T20:33:00Z</dcterms:modified>
</cp:coreProperties>
</file>