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4"/>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290" w:lineRule="exact"/>
        <w:ind w:firstLine="0"/>
        <w:jc w:val="both"/>
      </w:pPr>
      <w:r>
        <w:t xml:space="preserve">Na versão final, esta página será substituída por outra informando a composição da banca e que a ata de defesa está arquivada pela Universidade Estadual de Campinas.</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Resumo a redigir (no máximo 500 palavras, em uma única página).</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Abstract to be written (at most 500 words, on a single page).</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27</w:t>
        </w:r>
      </w:hyperlink>
    </w:p>
    <w:p>
      <w:pPr>
        <w:pStyle w:val="ndicedeilustraes"/>
      </w:pPr>
      <w:hyperlink w:anchor="_Toc0044" w:history="1">
        <w:r>
          <w:t xml:space="preserve">Figura 2: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r>
          <w:tab/>
        </w:r>
        <w:r>
          <w:t xml:space="preserve">41</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44</w:t>
        </w:r>
      </w:hyperlink>
    </w:p>
    <w:p>
      <w:pPr>
        <w:pStyle w:val="ndicedeilustraes"/>
      </w:pPr>
      <w:hyperlink w:anchor="_Toc0066"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55</w:t>
        </w:r>
      </w:hyperlink>
    </w:p>
    <w:p>
      <w:pPr>
        <w:pStyle w:val="ndicedeilustraes"/>
      </w:pPr>
      <w:hyperlink w:anchor="_Toc0072"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59</w:t>
        </w:r>
      </w:hyperlink>
    </w:p>
    <w:p>
      <w:pPr>
        <w:pStyle w:val="ndicedeilustraes"/>
      </w:pPr>
      <w:hyperlink w:anchor="_Toc0073"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59</w:t>
        </w:r>
      </w:hyperlink>
    </w:p>
    <w:p>
      <w:pPr>
        <w:pStyle w:val="ndicedeilustraes"/>
      </w:pPr>
      <w:hyperlink w:anchor="_Toc0077"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62</w:t>
        </w:r>
      </w:hyperlink>
    </w:p>
    <w:p>
      <w:pPr>
        <w:pStyle w:val="ndicedeilustraes"/>
      </w:pPr>
      <w:hyperlink w:anchor="_Toc0089"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71</w:t>
        </w:r>
      </w:hyperlink>
    </w:p>
    <w:p>
      <w:pPr>
        <w:pStyle w:val="ndicedeilustraes"/>
      </w:pPr>
      <w:hyperlink w:anchor="_Toc0093" w:history="1">
        <w:r>
          <w:t xml:space="preserve">Figura 9: </w:t>
        </w:r>
        <w:r>
          <w:t xml:space="preserve">Pontos extraídos da Figura 16 da patente e razão calculada pelo ajuste de forma, com (a) escala c por curva e (b) escala c comum às três curvas</w:t>
        </w:r>
        <w:r>
          <w:tab/>
        </w:r>
        <w:r>
          <w:t xml:space="preserve">75</w:t>
        </w:r>
      </w:hyperlink>
    </w:p>
    <w:p>
      <w:pPr>
        <w:pStyle w:val="ndicedeilustraes"/>
      </w:pPr>
      <w:hyperlink w:anchor="_Toc0100"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79</w:t>
        </w:r>
      </w:hyperlink>
    </w:p>
    <w:p>
      <w:pPr>
        <w:pStyle w:val="ndicedeilustraes"/>
      </w:pPr>
      <w:hyperlink w:anchor="_Toc0102" w:history="1">
        <w:r>
          <w:t xml:space="preserve">Figura 11: </w:t>
        </w:r>
        <w:r>
          <w:t xml:space="preserve">Torque do elástico e torque do peso normalizados pelos respectivos picos, em função da anteversão</w:t>
        </w:r>
        <w:r>
          <w:tab/>
        </w:r>
        <w:r>
          <w:t xml:space="preserve">80</w:t>
        </w:r>
      </w:hyperlink>
    </w:p>
    <w:p>
      <w:pPr>
        <w:pStyle w:val="ndicedeilustraes"/>
      </w:pPr>
      <w:hyperlink w:anchor="_Toc0104" w:history="1">
        <w:r>
          <w:t xml:space="preserve">Figura 12: </w:t>
        </w:r>
        <w:r>
          <w:t xml:space="preserve">Torque do elástico com K = K</w:t>
        </w:r>
        <w:r>
          <w:rPr>
            <w:vertAlign w:val="subscript"/>
          </w:rPr>
          <w:t xml:space="preserve">40</w:t>
        </w:r>
        <w:r>
          <w:t xml:space="preserve"> no cenário de projeto, torque do peso do membro humano e alvo de 40%</w:t>
        </w:r>
        <w:r>
          <w:tab/>
        </w:r>
        <w:r>
          <w:t xml:space="preserve">81</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26</w:t>
        </w:r>
      </w:hyperlink>
    </w:p>
    <w:p>
      <w:pPr>
        <w:pStyle w:val="ndicedeilustraes"/>
      </w:pPr>
      <w:hyperlink w:anchor="_Toc0037" w:history="1">
        <w:r>
          <w:t xml:space="preserve">Tabela 2: </w:t>
        </w:r>
        <w:r>
          <w:t xml:space="preserve">Fontes e arquivos utilizados na análise da EP 3 504 033 B1</w:t>
        </w:r>
        <w:r>
          <w:tab/>
        </w:r>
        <w:r>
          <w:t xml:space="preserve">35</w:t>
        </w:r>
      </w:hyperlink>
    </w:p>
    <w:p>
      <w:pPr>
        <w:pStyle w:val="ndicedeilustraes"/>
      </w:pPr>
      <w:hyperlink w:anchor="_Toc0042" w:history="1">
        <w:r>
          <w:t xml:space="preserve">Tabela 3: </w:t>
        </w:r>
        <w:r>
          <w:t xml:space="preserve">Convenções angulares e de sinal do modelo da Ottobock</w:t>
        </w:r>
        <w:r>
          <w:tab/>
        </w:r>
        <w:r>
          <w:t xml:space="preserve">39</w:t>
        </w:r>
      </w:hyperlink>
    </w:p>
    <w:p>
      <w:pPr>
        <w:pStyle w:val="ndicedeilustraes"/>
      </w:pPr>
      <w:hyperlink w:anchor="_Toc0057" w:history="1">
        <w:r>
          <w:t xml:space="preserve">Tabela 4: </w:t>
        </w:r>
        <w:r>
          <w:t xml:space="preserve">Grandezas medidas na reconstrução em CAD</w:t>
        </w:r>
        <w:r>
          <w:tab/>
        </w:r>
        <w:r>
          <w:t xml:space="preserve">51</w:t>
        </w:r>
      </w:hyperlink>
    </w:p>
    <w:p>
      <w:pPr>
        <w:pStyle w:val="ndicedeilustraes"/>
      </w:pPr>
      <w:hyperlink w:anchor="_Toc0058" w:history="1">
        <w:r>
          <w:t xml:space="preserve">Tabela 5: </w:t>
        </w:r>
        <w:r>
          <w:t xml:space="preserve">Propriedades de massa do conjunto braço–exoesqueleto</w:t>
        </w:r>
        <w:r>
          <w:tab/>
        </w:r>
        <w:r>
          <w:t xml:space="preserve">51</w:t>
        </w:r>
      </w:hyperlink>
    </w:p>
    <w:p>
      <w:pPr>
        <w:pStyle w:val="ndicedeilustraes"/>
      </w:pPr>
      <w:hyperlink w:anchor="_Toc0060" w:history="1">
        <w:r>
          <w:t xml:space="preserve">Tabela 6: </w:t>
        </w:r>
        <w:r>
          <w:t xml:space="preserve">Pontos extraídos da curva da patente e torque calculado pelo modelo</w:t>
        </w:r>
        <w:r>
          <w:tab/>
        </w:r>
        <w:r>
          <w:t xml:space="preserve">52</w:t>
        </w:r>
      </w:hyperlink>
    </w:p>
    <w:p>
      <w:pPr>
        <w:pStyle w:val="ndicedeilustraes"/>
      </w:pPr>
      <w:hyperlink w:anchor="_Toc0062" w:history="1">
        <w:r>
          <w:t xml:space="preserve">Tabela 7: </w:t>
        </w:r>
        <w:r>
          <w:t xml:space="preserve">Verificações da cadeia de cálculo (h = 22,701 mm)</w:t>
        </w:r>
        <w:r>
          <w:tab/>
        </w:r>
        <w:r>
          <w:t xml:space="preserve">53</w:t>
        </w:r>
      </w:hyperlink>
    </w:p>
    <w:p>
      <w:pPr>
        <w:pStyle w:val="ndicedeilustraes"/>
      </w:pPr>
      <w:hyperlink w:anchor="_Toc0064" w:history="1">
        <w:r>
          <w:t xml:space="preserve">Tabela 8: </w:t>
        </w:r>
        <w:r>
          <w:t xml:space="preserve">Parâmetros não publicados, origem e verificação</w:t>
        </w:r>
        <w:r>
          <w:tab/>
        </w:r>
        <w:r>
          <w:t xml:space="preserve">54</w:t>
        </w:r>
      </w:hyperlink>
    </w:p>
    <w:p>
      <w:pPr>
        <w:pStyle w:val="ndicedeilustraes"/>
      </w:pPr>
      <w:hyperlink w:anchor="_Toc0067" w:history="1">
        <w:r>
          <w:t xml:space="preserve">Tabela 9: </w:t>
        </w:r>
        <w:r>
          <w:t xml:space="preserve">Indicadores de qualidade do ajuste à curva da patente</w:t>
        </w:r>
        <w:r>
          <w:tab/>
        </w:r>
        <w:r>
          <w:t xml:space="preserve">56</w:t>
        </w:r>
      </w:hyperlink>
    </w:p>
    <w:p>
      <w:pPr>
        <w:pStyle w:val="ndicedeilustraes"/>
      </w:pPr>
      <w:hyperlink w:anchor="_Toc0068" w:history="1">
        <w:r>
          <w:t xml:space="preserve">Tabela 10: </w:t>
        </w:r>
        <w:r>
          <w:t xml:space="preserve">Zonas de sinal dos resíduos (modelo − extraído), em ordem de θ*</w:t>
        </w:r>
        <w:r>
          <w:tab/>
        </w:r>
        <w:r>
          <w:t xml:space="preserve">56</w:t>
        </w:r>
      </w:hyperlink>
    </w:p>
    <w:p>
      <w:pPr>
        <w:pStyle w:val="ndicedeilustraes"/>
      </w:pPr>
      <w:hyperlink w:anchor="_Toc0070" w:history="1">
        <w:r>
          <w:t xml:space="preserve">Tabela 11: </w:t>
        </w:r>
        <w:r>
          <w:t xml:space="preserve">Grandezas do mecanismo na faixa de operação</w:t>
        </w:r>
        <w:r>
          <w:tab/>
        </w:r>
        <w:r>
          <w:t xml:space="preserve">57</w:t>
        </w:r>
      </w:hyperlink>
    </w:p>
    <w:p>
      <w:pPr>
        <w:pStyle w:val="ndicedeilustraes"/>
      </w:pPr>
      <w:hyperlink w:anchor="_Toc0074" w:history="1">
        <w:r>
          <w:t xml:space="preserve">Tabela 12: </w:t>
        </w:r>
        <w:r>
          <w:t xml:space="preserve">Platôs de RMSE com K congelado</w:t>
        </w:r>
        <w:r>
          <w:tab/>
        </w:r>
        <w:r>
          <w:t xml:space="preserve">60</w:t>
        </w:r>
      </w:hyperlink>
    </w:p>
    <w:p>
      <w:pPr>
        <w:pStyle w:val="ndicedeilustraes"/>
      </w:pPr>
      <w:hyperlink w:anchor="_Toc0075" w:history="1">
        <w:r>
          <w:t xml:space="preserve">Tabela 13: </w:t>
        </w:r>
        <w:r>
          <w:t xml:space="preserve">Valores notáveis de h na varredura com K congelado</w:t>
        </w:r>
        <w:r>
          <w:tab/>
        </w:r>
        <w:r>
          <w:t xml:space="preserve">61</w:t>
        </w:r>
      </w:hyperlink>
    </w:p>
    <w:p>
      <w:pPr>
        <w:pStyle w:val="ndicedeilustraes"/>
      </w:pPr>
      <w:hyperlink w:anchor="_Toc0081" w:history="1">
        <w:r>
          <w:t xml:space="preserve">Tabela 14: </w:t>
        </w:r>
        <w:r>
          <w:t xml:space="preserve">Grandezas medidas no modelo em CAD e grandezas derivadas</w:t>
        </w:r>
        <w:r>
          <w:tab/>
        </w:r>
        <w:r>
          <w:t xml:space="preserve">64</w:t>
        </w:r>
      </w:hyperlink>
    </w:p>
    <w:p>
      <w:pPr>
        <w:pStyle w:val="ndicedeilustraes"/>
      </w:pPr>
      <w:hyperlink w:anchor="_Toc0082" w:history="1">
        <w:r>
          <w:t xml:space="preserve">Tabela 15: </w:t>
        </w:r>
        <w:r>
          <w:t xml:space="preserve">Propriedades de massa do membro humano em relação ao eixo da articulação 20</w:t>
        </w:r>
        <w:r>
          <w:tab/>
        </w:r>
        <w:r>
          <w:t xml:space="preserve">66</w:t>
        </w:r>
      </w:hyperlink>
    </w:p>
    <w:p>
      <w:pPr>
        <w:pStyle w:val="ndicedeilustraes"/>
      </w:pPr>
      <w:hyperlink w:anchor="_Toc0084" w:history="1">
        <w:r>
          <w:t xml:space="preserve">Tabela 16: </w:t>
        </w:r>
        <w:r>
          <w:t xml:space="preserve">Pontos extraídos da Figura 16 da patente (razão em divisões da grade)</w:t>
        </w:r>
        <w:r>
          <w:tab/>
        </w:r>
        <w:r>
          <w:t xml:space="preserve">67</w:t>
        </w:r>
      </w:hyperlink>
    </w:p>
    <w:p>
      <w:pPr>
        <w:pStyle w:val="ndicedeilustraes"/>
      </w:pPr>
      <w:hyperlink w:anchor="_Toc0086" w:history="1">
        <w:r>
          <w:t xml:space="preserve">Tabela 17: </w:t>
        </w:r>
        <w:r>
          <w:t xml:space="preserve">Verificações da cadeia de cálculo do modelo da Ottobock</w:t>
        </w:r>
        <w:r>
          <w:tab/>
        </w:r>
        <w:r>
          <w:t xml:space="preserve">69</w:t>
        </w:r>
      </w:hyperlink>
    </w:p>
    <w:p>
      <w:pPr>
        <w:pStyle w:val="ndicedeilustraes"/>
      </w:pPr>
      <w:hyperlink w:anchor="_Toc0088"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70</w:t>
        </w:r>
      </w:hyperlink>
    </w:p>
    <w:p>
      <w:pPr>
        <w:pStyle w:val="ndicedeilustraes"/>
      </w:pPr>
      <w:hyperlink w:anchor="_Toc0091" w:history="1">
        <w:r>
          <w:t xml:space="preserve">Tabela 19: </w:t>
        </w:r>
        <w:r>
          <w:t xml:space="preserve">Ajuste de s</w:t>
        </w:r>
        <w:r>
          <w:rPr>
            <w:vertAlign w:val="subscript"/>
          </w:rPr>
          <w:t xml:space="preserve">0</w:t>
        </w:r>
        <w:r>
          <w:t xml:space="preserve"> à forma de cada curva da Figura 16 da patente</w:t>
        </w:r>
        <w:r>
          <w:tab/>
        </w:r>
        <w:r>
          <w:t xml:space="preserve">73</w:t>
        </w:r>
      </w:hyperlink>
    </w:p>
    <w:p>
      <w:pPr>
        <w:pStyle w:val="ndicedeilustraes"/>
      </w:pPr>
      <w:hyperlink w:anchor="_Toc0092" w:history="1">
        <w:r>
          <w:t xml:space="preserve">Tabela 20: </w:t>
        </w:r>
        <w:r>
          <w:t xml:space="preserve">Ajuste conjunto com escala comum e ajuste com força constante</w:t>
        </w:r>
        <w:r>
          <w:tab/>
        </w:r>
        <w:r>
          <w:t xml:space="preserve">74</w:t>
        </w:r>
      </w:hyperlink>
    </w:p>
    <w:p>
      <w:pPr>
        <w:pStyle w:val="ndicedeilustraes"/>
      </w:pPr>
      <w:hyperlink w:anchor="_Toc0095" w:history="1">
        <w:r>
          <w:t xml:space="preserve">Tabela 21: </w:t>
        </w:r>
        <w:r>
          <w:t xml:space="preserve">Parâmetros não publicados, origem e identificabilidade</w:t>
        </w:r>
        <w:r>
          <w:tab/>
        </w:r>
        <w:r>
          <w:t xml:space="preserve">76</w:t>
        </w:r>
      </w:hyperlink>
    </w:p>
    <w:p>
      <w:pPr>
        <w:pStyle w:val="ndicedeilustraes"/>
      </w:pPr>
      <w:hyperlink w:anchor="_Toc0097" w:history="1">
        <w:r>
          <w:t xml:space="preserve">Tabela 22: </w:t>
        </w:r>
        <w:r>
          <w:t xml:space="preserve">Grandezas do circuito em ângulos representativos (</w:t>
        </w:r>
        <w:r>
          <w:rPr>
            <w:i/>
            <w:iCs/>
          </w:rPr>
          <w:t xml:space="preserve">e</w:t>
        </w:r>
        <w:r>
          <w:t xml:space="preserve"> = 34,785 mm)</w:t>
        </w:r>
        <w:r>
          <w:tab/>
        </w:r>
        <w:r>
          <w:t xml:space="preserve">77</w:t>
        </w:r>
      </w:hyperlink>
    </w:p>
    <w:p>
      <w:pPr>
        <w:pStyle w:val="ndicedeilustraes"/>
      </w:pPr>
      <w:hyperlink w:anchor="_Toc0099"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1,45915 N/mm</w:t>
        </w:r>
        <w:r>
          <w:tab/>
        </w:r>
        <w:r>
          <w:t xml:space="preserve">78</w:t>
        </w:r>
      </w:hyperlink>
    </w:p>
    <w:p>
      <w:pPr>
        <w:pStyle w:val="ndicedeilustraes"/>
      </w:pPr>
      <w:hyperlink w:anchor="_Toc0103"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1,45915 N/mm</w:t>
        </w:r>
        <w:r>
          <w:tab/>
        </w:r>
        <w:r>
          <w:t xml:space="preserve">80</w:t>
        </w:r>
      </w:hyperlink>
    </w:p>
    <w:p>
      <w:pPr>
        <w:pStyle w:val="ndicedeilustraes"/>
      </w:pPr>
      <w:hyperlink w:anchor="_Toc0106" w:history="1">
        <w:r>
          <w:t xml:space="preserve">Tabela 25: </w:t>
        </w:r>
        <w:r>
          <w:t xml:space="preserve">Pendências da análise da EP 3 504 033 B1</w:t>
        </w:r>
        <w:r>
          <w:tab/>
        </w:r>
        <w:r>
          <w:t xml:space="preserve">82</w:t>
        </w:r>
      </w:hyperlink>
    </w:p>
    <w:p>
      <w:pPr>
        <w:pStyle w:val="ndicedeilustraes"/>
      </w:pPr>
      <w:hyperlink w:anchor="_Toc0108" w:history="1">
        <w:r>
          <w:t xml:space="preserve">Tabela 26: </w:t>
        </w:r>
        <w:r>
          <w:t xml:space="preserve">Comparação entre os dois dispositivos analisados</w:t>
        </w:r>
        <w:r>
          <w:tab/>
        </w:r>
        <w:r>
          <w:t xml:space="preserve">84</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10</w:t>
        </w:r>
      </w:hyperlink>
    </w:p>
    <w:p>
      <w:pPr>
        <w:pStyle w:val="Sumrio2"/>
      </w:pPr>
      <w:hyperlink w:anchor="_Toc0002" w:history="1">
        <w:r>
          <w:t xml:space="preserve">1.1</w:t>
        </w:r>
        <w:r>
          <w:tab/>
        </w:r>
        <w:r>
          <w:t xml:space="preserve">Objetivos</w:t>
        </w:r>
        <w:r>
          <w:tab/>
        </w:r>
        <w:r>
          <w:t xml:space="preserve">11</w:t>
        </w:r>
      </w:hyperlink>
    </w:p>
    <w:p>
      <w:pPr>
        <w:pStyle w:val="Sumrio3"/>
      </w:pPr>
      <w:hyperlink w:anchor="_Toc0003" w:history="1">
        <w:r>
          <w:t xml:space="preserve">1.1.1</w:t>
        </w:r>
        <w:r>
          <w:tab/>
        </w:r>
        <w:r>
          <w:t xml:space="preserve">Objetivo geral</w:t>
        </w:r>
        <w:r>
          <w:tab/>
        </w:r>
        <w:r>
          <w:t xml:space="preserve">11</w:t>
        </w:r>
      </w:hyperlink>
    </w:p>
    <w:p>
      <w:pPr>
        <w:pStyle w:val="Sumrio3"/>
      </w:pPr>
      <w:hyperlink w:anchor="_Toc0004" w:history="1">
        <w:r>
          <w:t xml:space="preserve">1.1.2</w:t>
        </w:r>
        <w:r>
          <w:tab/>
        </w:r>
        <w:r>
          <w:t xml:space="preserve">Objetivos específicos</w:t>
        </w:r>
        <w:r>
          <w:tab/>
        </w:r>
        <w:r>
          <w:t xml:space="preserve">11</w:t>
        </w:r>
      </w:hyperlink>
    </w:p>
    <w:p>
      <w:pPr>
        <w:pStyle w:val="Sumrio2"/>
      </w:pPr>
      <w:hyperlink w:anchor="_Toc0005" w:history="1">
        <w:r>
          <w:t xml:space="preserve">1.2</w:t>
        </w:r>
        <w:r>
          <w:tab/>
        </w:r>
        <w:r>
          <w:t xml:space="preserve">Justificativa</w:t>
        </w:r>
        <w:r>
          <w:tab/>
        </w:r>
        <w:r>
          <w:t xml:space="preserve">12</w:t>
        </w:r>
      </w:hyperlink>
    </w:p>
    <w:p>
      <w:pPr>
        <w:pStyle w:val="Sumrio1"/>
      </w:pPr>
      <w:hyperlink w:anchor="_Toc0006" w:history="1">
        <w:r>
          <w:t xml:space="preserve">2</w:t>
        </w:r>
        <w:r>
          <w:tab/>
        </w:r>
        <w:r>
          <w:t xml:space="preserve">Fundamentação teórica</w:t>
        </w:r>
        <w:r>
          <w:tab/>
        </w:r>
        <w:r>
          <w:t xml:space="preserve">14</w:t>
        </w:r>
      </w:hyperlink>
    </w:p>
    <w:p>
      <w:pPr>
        <w:pStyle w:val="Sumrio2"/>
      </w:pPr>
      <w:hyperlink w:anchor="_Toc0007" w:history="1">
        <w:r>
          <w:t xml:space="preserve">2.1</w:t>
        </w:r>
        <w:r>
          <w:tab/>
        </w:r>
        <w:r>
          <w:t xml:space="preserve">Carga do ombro no trabalho acima da cabeça</w:t>
        </w:r>
        <w:r>
          <w:tab/>
        </w:r>
        <w:r>
          <w:t xml:space="preserve">14</w:t>
        </w:r>
      </w:hyperlink>
    </w:p>
    <w:p>
      <w:pPr>
        <w:pStyle w:val="Sumrio2"/>
      </w:pPr>
      <w:hyperlink w:anchor="_Toc0008" w:history="1">
        <w:r>
          <w:t xml:space="preserve">2.2</w:t>
        </w:r>
        <w:r>
          <w:tab/>
        </w:r>
        <w:r>
          <w:t xml:space="preserve">Exoesqueletos de membro superior</w:t>
        </w:r>
        <w:r>
          <w:tab/>
        </w:r>
        <w:r>
          <w:t xml:space="preserve">14</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17</w:t>
        </w:r>
      </w:hyperlink>
    </w:p>
    <w:p>
      <w:pPr>
        <w:pStyle w:val="Sumrio2"/>
      </w:pPr>
      <w:hyperlink w:anchor="_Toc0012" w:history="1">
        <w:r>
          <w:t xml:space="preserve">2.6</w:t>
        </w:r>
        <w:r>
          <w:tab/>
        </w:r>
        <w:r>
          <w:t xml:space="preserve">Modelagem dinâmica multicorpos</w:t>
        </w:r>
        <w:r>
          <w:tab/>
        </w:r>
        <w:r>
          <w:t xml:space="preserve">18</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20</w:t>
        </w:r>
      </w:hyperlink>
    </w:p>
    <w:p>
      <w:pPr>
        <w:pStyle w:val="Sumrio2"/>
      </w:pPr>
      <w:hyperlink w:anchor="_Toc0016" w:history="1">
        <w:r>
          <w:t xml:space="preserve">2.10</w:t>
        </w:r>
        <w:r>
          <w:tab/>
        </w:r>
        <w:r>
          <w:t xml:space="preserve">Identificação de parâmetros a partir de curvas publicadas</w:t>
        </w:r>
        <w:r>
          <w:tab/>
        </w:r>
        <w:r>
          <w:t xml:space="preserve">21</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23</w:t>
        </w:r>
      </w:hyperlink>
    </w:p>
    <w:p>
      <w:pPr>
        <w:pStyle w:val="Sumrio2"/>
      </w:pPr>
      <w:hyperlink w:anchor="_Toc0019" w:history="1">
        <w:r>
          <w:t xml:space="preserve">3A</w:t>
        </w:r>
        <w:r>
          <w:tab/>
        </w:r>
        <w:r>
          <w:t xml:space="preserve">Exoesqueleto 1: US 9.889.554 B2</w:t>
        </w:r>
        <w:r>
          <w:tab/>
        </w:r>
        <w:r>
          <w:t xml:space="preserve">24</w:t>
        </w:r>
      </w:hyperlink>
    </w:p>
    <w:p>
      <w:pPr>
        <w:pStyle w:val="Sumrio3"/>
      </w:pPr>
      <w:hyperlink w:anchor="_Toc0020" w:history="1">
        <w:r>
          <w:t xml:space="preserve">3A.1</w:t>
        </w:r>
        <w:r>
          <w:tab/>
        </w:r>
        <w:r>
          <w:t xml:space="preserve">Reconstrução geométrica em CAD</w:t>
        </w:r>
        <w:r>
          <w:tab/>
        </w:r>
        <w:r>
          <w:t xml:space="preserve">24</w:t>
        </w:r>
      </w:hyperlink>
    </w:p>
    <w:p>
      <w:pPr>
        <w:pStyle w:val="Sumrio3"/>
      </w:pPr>
      <w:hyperlink w:anchor="_Toc0021" w:history="1">
        <w:r>
          <w:t xml:space="preserve">3A.2</w:t>
        </w:r>
        <w:r>
          <w:tab/>
        </w:r>
        <w:r>
          <w:t xml:space="preserve">Parâmetros inerciais do membro e transporte ao eixo da junta</w:t>
        </w:r>
        <w:r>
          <w:tab/>
        </w:r>
        <w:r>
          <w:t xml:space="preserve">24</w:t>
        </w:r>
      </w:hyperlink>
    </w:p>
    <w:p>
      <w:pPr>
        <w:pStyle w:val="Sumrio3"/>
      </w:pPr>
      <w:hyperlink w:anchor="_Toc0022" w:history="1">
        <w:r>
          <w:t xml:space="preserve">3A.3</w:t>
        </w:r>
        <w:r>
          <w:tab/>
        </w:r>
        <w:r>
          <w:t xml:space="preserve">Referenciais e convenções angulares e de sinal</w:t>
        </w:r>
        <w:r>
          <w:tab/>
        </w:r>
        <w:r>
          <w:t xml:space="preserve">25</w:t>
        </w:r>
      </w:hyperlink>
    </w:p>
    <w:p>
      <w:pPr>
        <w:pStyle w:val="Sumrio3"/>
      </w:pPr>
      <w:hyperlink w:anchor="_Toc0024" w:history="1">
        <w:r>
          <w:t xml:space="preserve">3A.4</w:t>
        </w:r>
        <w:r>
          <w:tab/>
        </w:r>
        <w:r>
          <w:t xml:space="preserve">Equação de fechamento do circuito vetorial</w:t>
        </w:r>
        <w:r>
          <w:tab/>
        </w:r>
        <w:r>
          <w:t xml:space="preserve">26</w:t>
        </w:r>
      </w:hyperlink>
    </w:p>
    <w:p>
      <w:pPr>
        <w:pStyle w:val="Sumrio3"/>
      </w:pPr>
      <w:hyperlink w:anchor="_Toc0026" w:history="1">
        <w:r>
          <w:t xml:space="preserve">3A.5</w:t>
        </w:r>
        <w:r>
          <w:tab/>
        </w:r>
        <w:r>
          <w:t xml:space="preserve">Ponto de tangência, distância b, ângulo β e braço de momento</w:t>
        </w:r>
        <w:r>
          <w:tab/>
        </w:r>
        <w:r>
          <w:t xml:space="preserve">27</w:t>
        </w:r>
      </w:hyperlink>
    </w:p>
    <w:p>
      <w:pPr>
        <w:pStyle w:val="Sumrio3"/>
      </w:pPr>
      <w:hyperlink w:anchor="_Toc0027" w:history="1">
        <w:r>
          <w:t xml:space="preserve">3A.6</w:t>
        </w:r>
        <w:r>
          <w:tab/>
        </w:r>
        <w:r>
          <w:t xml:space="preserve">Caminho do cabo, lei da mola e torque</w:t>
        </w:r>
        <w:r>
          <w:tab/>
        </w:r>
        <w:r>
          <w:t xml:space="preserve">28</w:t>
        </w:r>
      </w:hyperlink>
    </w:p>
    <w:p>
      <w:pPr>
        <w:pStyle w:val="Sumrio3"/>
      </w:pPr>
      <w:hyperlink w:anchor="_Toc0028" w:history="1">
        <w:r>
          <w:t xml:space="preserve">3A.7</w:t>
        </w:r>
        <w:r>
          <w:tab/>
        </w:r>
        <w:r>
          <w:t xml:space="preserve">Ponto morto</w:t>
        </w:r>
        <w:r>
          <w:tab/>
        </w:r>
        <w:r>
          <w:t xml:space="preserve">28</w:t>
        </w:r>
      </w:hyperlink>
    </w:p>
    <w:p>
      <w:pPr>
        <w:pStyle w:val="Sumrio3"/>
      </w:pPr>
      <w:hyperlink w:anchor="_Toc0029" w:history="1">
        <w:r>
          <w:t xml:space="preserve">3A.8</w:t>
        </w:r>
        <w:r>
          <w:tab/>
        </w:r>
        <w:r>
          <w:t xml:space="preserve">Torque gravitacional</w:t>
        </w:r>
        <w:r>
          <w:tab/>
        </w:r>
        <w:r>
          <w:t xml:space="preserve">30</w:t>
        </w:r>
      </w:hyperlink>
    </w:p>
    <w:p>
      <w:pPr>
        <w:pStyle w:val="Sumrio3"/>
      </w:pPr>
      <w:hyperlink w:anchor="_Toc0030" w:history="1">
        <w:r>
          <w:t xml:space="preserve">3A.9</w:t>
        </w:r>
        <w:r>
          <w:tab/>
        </w:r>
        <w:r>
          <w:t xml:space="preserve">Dados da patente e identificação dos parâmetros</w:t>
        </w:r>
        <w:r>
          <w:tab/>
        </w:r>
        <w:r>
          <w:t xml:space="preserve">31</w:t>
        </w:r>
      </w:hyperlink>
    </w:p>
    <w:p>
      <w:pPr>
        <w:pStyle w:val="Sumrio3"/>
      </w:pPr>
      <w:hyperlink w:anchor="_Toc0031" w:history="1">
        <w:r>
          <w:t xml:space="preserve">3A.10</w:t>
        </w:r>
        <w:r>
          <w:tab/>
        </w:r>
        <w:r>
          <w:t xml:space="preserve">Varredura paramétrica de h com K congelado</w:t>
        </w:r>
        <w:r>
          <w:tab/>
        </w:r>
        <w:r>
          <w:t xml:space="preserve">32</w:t>
        </w:r>
      </w:hyperlink>
    </w:p>
    <w:p>
      <w:pPr>
        <w:pStyle w:val="Sumrio3"/>
      </w:pPr>
      <w:hyperlink w:anchor="_Toc0032" w:history="1">
        <w:r>
          <w:t xml:space="preserve">3A.11</w:t>
        </w:r>
        <w:r>
          <w:tab/>
        </w:r>
        <w:r>
          <w:t xml:space="preserve">Verificações numéricas e testes automatizados</w:t>
        </w:r>
        <w:r>
          <w:tab/>
        </w:r>
        <w:r>
          <w:t xml:space="preserve">32</w:t>
        </w:r>
      </w:hyperlink>
    </w:p>
    <w:p>
      <w:pPr>
        <w:pStyle w:val="Sumrio3"/>
      </w:pPr>
      <w:hyperlink w:anchor="_Toc0033" w:history="1">
        <w:r>
          <w:t xml:space="preserve">3A.12</w:t>
        </w:r>
        <w:r>
          <w:tab/>
        </w:r>
        <w:r>
          <w:t xml:space="preserve">Etapas dinâmicas previstas</w:t>
        </w:r>
        <w:r>
          <w:tab/>
        </w:r>
        <w:r>
          <w:t xml:space="preserve">33</w:t>
        </w:r>
      </w:hyperlink>
    </w:p>
    <w:p>
      <w:pPr>
        <w:pStyle w:val="Sumrio3"/>
      </w:pPr>
      <w:hyperlink w:anchor="_Toc0034" w:history="1">
        <w:r>
          <w:t xml:space="preserve">3A.13</w:t>
        </w:r>
        <w:r>
          <w:tab/>
        </w:r>
        <w:r>
          <w:t xml:space="preserve">Ferramentas e delimitação</w:t>
        </w:r>
        <w:r>
          <w:tab/>
        </w:r>
        <w:r>
          <w:t xml:space="preserve">34</w:t>
        </w:r>
      </w:hyperlink>
    </w:p>
    <w:p>
      <w:pPr>
        <w:pStyle w:val="Sumrio2"/>
      </w:pPr>
      <w:hyperlink w:anchor="_Toc0035" w:history="1">
        <w:r>
          <w:t xml:space="preserve">3B</w:t>
        </w:r>
        <w:r>
          <w:tab/>
        </w:r>
        <w:r>
          <w:t xml:space="preserve">Exoesqueleto 2: EP 3 504 033 B1</w:t>
        </w:r>
        <w:r>
          <w:tab/>
        </w:r>
        <w:r>
          <w:t xml:space="preserve">34</w:t>
        </w:r>
      </w:hyperlink>
    </w:p>
    <w:p>
      <w:pPr>
        <w:pStyle w:val="Sumrio3"/>
      </w:pPr>
      <w:hyperlink w:anchor="_Toc0036" w:history="1">
        <w:r>
          <w:t xml:space="preserve">3B.1</w:t>
        </w:r>
        <w:r>
          <w:tab/>
        </w:r>
        <w:r>
          <w:t xml:space="preserve">Fontes e arquivos utilizados</w:t>
        </w:r>
        <w:r>
          <w:tab/>
        </w:r>
        <w:r>
          <w:t xml:space="preserve">35</w:t>
        </w:r>
      </w:hyperlink>
    </w:p>
    <w:p>
      <w:pPr>
        <w:pStyle w:val="Sumrio3"/>
      </w:pPr>
      <w:hyperlink w:anchor="_Toc0038" w:history="1">
        <w:r>
          <w:t xml:space="preserve">3B.2</w:t>
        </w:r>
        <w:r>
          <w:tab/>
        </w:r>
        <w:r>
          <w:t xml:space="preserve">Arquitetura descrita na patente</w:t>
        </w:r>
        <w:r>
          <w:tab/>
        </w:r>
        <w:r>
          <w:t xml:space="preserve">36</w:t>
        </w:r>
      </w:hyperlink>
    </w:p>
    <w:p>
      <w:pPr>
        <w:pStyle w:val="Sumrio3"/>
      </w:pPr>
      <w:hyperlink w:anchor="_Toc0039" w:history="1">
        <w:r>
          <w:t xml:space="preserve">3B.3</w:t>
        </w:r>
        <w:r>
          <w:tab/>
        </w:r>
        <w:r>
          <w:t xml:space="preserve">Reconstrução geométrica em CAD</w:t>
        </w:r>
        <w:r>
          <w:tab/>
        </w:r>
        <w:r>
          <w:t xml:space="preserve">37</w:t>
        </w:r>
      </w:hyperlink>
    </w:p>
    <w:p>
      <w:pPr>
        <w:pStyle w:val="Sumrio3"/>
      </w:pPr>
      <w:hyperlink w:anchor="_Toc0040" w:history="1">
        <w:r>
          <w:t xml:space="preserve">3B.4</w:t>
        </w:r>
        <w:r>
          <w:tab/>
        </w:r>
        <w:r>
          <w:t xml:space="preserve">Parâmetros inerciais do membro e transporte ao eixo da articulação 20</w:t>
        </w:r>
        <w:r>
          <w:tab/>
        </w:r>
        <w:r>
          <w:t xml:space="preserve">38</w:t>
        </w:r>
      </w:hyperlink>
    </w:p>
    <w:p>
      <w:pPr>
        <w:pStyle w:val="Sumrio3"/>
      </w:pPr>
      <w:hyperlink w:anchor="_Toc0041" w:history="1">
        <w:r>
          <w:t xml:space="preserve">3B.5</w:t>
        </w:r>
        <w:r>
          <w:tab/>
        </w:r>
        <w:r>
          <w:t xml:space="preserve">Referenciais e convenções angulares e de sinal</w:t>
        </w:r>
        <w:r>
          <w:tab/>
        </w:r>
        <w:r>
          <w:t xml:space="preserve">38</w:t>
        </w:r>
      </w:hyperlink>
    </w:p>
    <w:p>
      <w:pPr>
        <w:pStyle w:val="Sumrio3"/>
      </w:pPr>
      <w:hyperlink w:anchor="_Toc0043" w:history="1">
        <w:r>
          <w:t xml:space="preserve">3B.6</w:t>
        </w:r>
        <w:r>
          <w:tab/>
        </w:r>
        <w:r>
          <w:t xml:space="preserve">Cinemática: equações de circuito e troca de regime</w:t>
        </w:r>
        <w:r>
          <w:tab/>
        </w:r>
        <w:r>
          <w:t xml:space="preserve">40</w:t>
        </w:r>
      </w:hyperlink>
    </w:p>
    <w:p>
      <w:pPr>
        <w:pStyle w:val="Sumrio3"/>
      </w:pPr>
      <w:hyperlink w:anchor="_Toc0045" w:history="1">
        <w:r>
          <w:t xml:space="preserve">3B.7</w:t>
        </w:r>
        <w:r>
          <w:tab/>
        </w:r>
        <w:r>
          <w:t xml:space="preserve">Força elástica e torque</w:t>
        </w:r>
        <w:r>
          <w:tab/>
        </w:r>
        <w:r>
          <w:t xml:space="preserve">41</w:t>
        </w:r>
      </w:hyperlink>
    </w:p>
    <w:p>
      <w:pPr>
        <w:pStyle w:val="Sumrio3"/>
      </w:pPr>
      <w:hyperlink w:anchor="_Toc0046" w:history="1">
        <w:r>
          <w:t xml:space="preserve">3B.8</w:t>
        </w:r>
        <w:r>
          <w:tab/>
        </w:r>
        <w:r>
          <w:t xml:space="preserve">Torque gravitacional</w:t>
        </w:r>
        <w:r>
          <w:tab/>
        </w:r>
        <w:r>
          <w:t xml:space="preserve">43</w:t>
        </w:r>
      </w:hyperlink>
    </w:p>
    <w:p>
      <w:pPr>
        <w:pStyle w:val="Sumrio3"/>
      </w:pPr>
      <w:hyperlink w:anchor="_Toc0047" w:history="1">
        <w:r>
          <w:t xml:space="preserve">3B.9</w:t>
        </w:r>
        <w:r>
          <w:tab/>
        </w:r>
        <w:r>
          <w:t xml:space="preserve">Dados da patente</w:t>
        </w:r>
        <w:r>
          <w:tab/>
        </w:r>
        <w:r>
          <w:t xml:space="preserve">43</w:t>
        </w:r>
      </w:hyperlink>
    </w:p>
    <w:p>
      <w:pPr>
        <w:pStyle w:val="Sumrio3"/>
      </w:pPr>
      <w:hyperlink w:anchor="_Toc0049" w:history="1">
        <w:r>
          <w:t xml:space="preserve">3B.10</w:t>
        </w:r>
        <w:r>
          <w:tab/>
        </w:r>
        <w:r>
          <w:t xml:space="preserve">Identificação dos parâmetros a partir da Figura 16 da patente</w:t>
        </w:r>
        <w:r>
          <w:tab/>
        </w:r>
        <w:r>
          <w:t xml:space="preserve">44</w:t>
        </w:r>
      </w:hyperlink>
    </w:p>
    <w:p>
      <w:pPr>
        <w:pStyle w:val="Sumrio3"/>
      </w:pPr>
      <w:hyperlink w:anchor="_Toc0050" w:history="1">
        <w:r>
          <w:t xml:space="preserve">3B.11</w:t>
        </w:r>
        <w:r>
          <w:tab/>
        </w:r>
        <w:r>
          <w:t xml:space="preserve">Varredura paramétrica do trecho </w:t>
        </w:r>
        <w:r>
          <w:rPr>
            <w:i/>
            <w:iCs/>
          </w:rPr>
          <w:t xml:space="preserve">e</w:t>
        </w:r>
        <w:r>
          <w:t xml:space="preserve"> da alavanca</w:t>
        </w:r>
        <w:r>
          <w:tab/>
        </w:r>
        <w:r>
          <w:t xml:space="preserve">47</w:t>
        </w:r>
      </w:hyperlink>
    </w:p>
    <w:p>
      <w:pPr>
        <w:pStyle w:val="Sumrio3"/>
      </w:pPr>
      <w:hyperlink w:anchor="_Toc0051" w:history="1">
        <w:r>
          <w:t xml:space="preserve">3B.12</w:t>
        </w:r>
        <w:r>
          <w:tab/>
        </w:r>
        <w:r>
          <w:t xml:space="preserve">Verificações numéricas</w:t>
        </w:r>
        <w:r>
          <w:tab/>
        </w:r>
        <w:r>
          <w:t xml:space="preserve">48</w:t>
        </w:r>
      </w:hyperlink>
    </w:p>
    <w:p>
      <w:pPr>
        <w:pStyle w:val="Sumrio3"/>
      </w:pPr>
      <w:hyperlink w:anchor="_Toc0052" w:history="1">
        <w:r>
          <w:t xml:space="preserve">3B.13</w:t>
        </w:r>
        <w:r>
          <w:tab/>
        </w:r>
        <w:r>
          <w:t xml:space="preserve">Etapas dinâmicas previstas</w:t>
        </w:r>
        <w:r>
          <w:tab/>
        </w:r>
        <w:r>
          <w:t xml:space="preserve">48</w:t>
        </w:r>
      </w:hyperlink>
    </w:p>
    <w:p>
      <w:pPr>
        <w:pStyle w:val="Sumrio3"/>
      </w:pPr>
      <w:hyperlink w:anchor="_Toc0053" w:history="1">
        <w:r>
          <w:t xml:space="preserve">3B.14</w:t>
        </w:r>
        <w:r>
          <w:tab/>
        </w:r>
        <w:r>
          <w:t xml:space="preserve">Ferramentas e delimitação</w:t>
        </w:r>
        <w:r>
          <w:tab/>
        </w:r>
        <w:r>
          <w:t xml:space="preserve">49</w:t>
        </w:r>
      </w:hyperlink>
    </w:p>
    <w:p>
      <w:pPr>
        <w:pStyle w:val="Sumrio1"/>
      </w:pPr>
      <w:hyperlink w:anchor="_Toc0054" w:history="1">
        <w:r>
          <w:t xml:space="preserve">4</w:t>
        </w:r>
        <w:r>
          <w:tab/>
        </w:r>
        <w:r>
          <w:t xml:space="preserve">Resultados e discussão</w:t>
        </w:r>
        <w:r>
          <w:tab/>
        </w:r>
        <w:r>
          <w:t xml:space="preserve">50</w:t>
        </w:r>
      </w:hyperlink>
    </w:p>
    <w:p>
      <w:pPr>
        <w:pStyle w:val="Sumrio2"/>
      </w:pPr>
      <w:hyperlink w:anchor="_Toc0055" w:history="1">
        <w:r>
          <w:t xml:space="preserve">4A</w:t>
        </w:r>
        <w:r>
          <w:tab/>
        </w:r>
        <w:r>
          <w:t xml:space="preserve">Exoesqueleto 1: US 9.889.554 B2</w:t>
        </w:r>
        <w:r>
          <w:tab/>
        </w:r>
        <w:r>
          <w:t xml:space="preserve">50</w:t>
        </w:r>
      </w:hyperlink>
    </w:p>
    <w:p>
      <w:pPr>
        <w:pStyle w:val="Sumrio3"/>
      </w:pPr>
      <w:hyperlink w:anchor="_Toc0056" w:history="1">
        <w:r>
          <w:t xml:space="preserve">4A.1</w:t>
        </w:r>
        <w:r>
          <w:tab/>
        </w:r>
        <w:r>
          <w:t xml:space="preserve">Geometria reconstruída e propriedades de massa</w:t>
        </w:r>
        <w:r>
          <w:tab/>
        </w:r>
        <w:r>
          <w:t xml:space="preserve">50</w:t>
        </w:r>
      </w:hyperlink>
    </w:p>
    <w:p>
      <w:pPr>
        <w:pStyle w:val="Sumrio3"/>
      </w:pPr>
      <w:hyperlink w:anchor="_Toc0059" w:history="1">
        <w:r>
          <w:t xml:space="preserve">4A.2</w:t>
        </w:r>
        <w:r>
          <w:tab/>
        </w:r>
        <w:r>
          <w:t xml:space="preserve">Dados extraídos da patente</w:t>
        </w:r>
        <w:r>
          <w:tab/>
        </w:r>
        <w:r>
          <w:t xml:space="preserve">52</w:t>
        </w:r>
      </w:hyperlink>
    </w:p>
    <w:p>
      <w:pPr>
        <w:pStyle w:val="Sumrio3"/>
      </w:pPr>
      <w:hyperlink w:anchor="_Toc0061" w:history="1">
        <w:r>
          <w:t xml:space="preserve">4A.3</w:t>
        </w:r>
        <w:r>
          <w:tab/>
        </w:r>
        <w:r>
          <w:t xml:space="preserve">Verificação da cadeia de cálculo</w:t>
        </w:r>
        <w:r>
          <w:tab/>
        </w:r>
        <w:r>
          <w:t xml:space="preserve">53</w:t>
        </w:r>
      </w:hyperlink>
    </w:p>
    <w:p>
      <w:pPr>
        <w:pStyle w:val="Sumrio3"/>
      </w:pPr>
      <w:hyperlink w:anchor="_Toc0063" w:history="1">
        <w:r>
          <w:t xml:space="preserve">4A.4</w:t>
        </w:r>
        <w:r>
          <w:tab/>
        </w:r>
        <w:r>
          <w:t xml:space="preserve">Parâmetros do modelo e reprodução da identificação</w:t>
        </w:r>
        <w:r>
          <w:tab/>
        </w:r>
        <w:r>
          <w:t xml:space="preserve">54</w:t>
        </w:r>
      </w:hyperlink>
    </w:p>
    <w:p>
      <w:pPr>
        <w:pStyle w:val="Sumrio3"/>
      </w:pPr>
      <w:hyperlink w:anchor="_Toc0065" w:history="1">
        <w:r>
          <w:t xml:space="preserve">4A.5</w:t>
        </w:r>
        <w:r>
          <w:tab/>
        </w:r>
        <w:r>
          <w:t xml:space="preserve">Qualidade do ajuste à curva da patente</w:t>
        </w:r>
        <w:r>
          <w:tab/>
        </w:r>
        <w:r>
          <w:t xml:space="preserve">55</w:t>
        </w:r>
      </w:hyperlink>
    </w:p>
    <w:p>
      <w:pPr>
        <w:pStyle w:val="Sumrio3"/>
      </w:pPr>
      <w:hyperlink w:anchor="_Toc0069" w:history="1">
        <w:r>
          <w:t xml:space="preserve">4A.6</w:t>
        </w:r>
        <w:r>
          <w:tab/>
        </w:r>
        <w:r>
          <w:t xml:space="preserve">Comportamento da mola e do mecanismo</w:t>
        </w:r>
        <w:r>
          <w:tab/>
        </w:r>
        <w:r>
          <w:t xml:space="preserve">57</w:t>
        </w:r>
      </w:hyperlink>
    </w:p>
    <w:p>
      <w:pPr>
        <w:pStyle w:val="Sumrio3"/>
      </w:pPr>
      <w:hyperlink w:anchor="_Toc0071" w:history="1">
        <w:r>
          <w:t xml:space="preserve">4A.7</w:t>
        </w:r>
        <w:r>
          <w:tab/>
        </w:r>
        <w:r>
          <w:t xml:space="preserve">Varredura paramétrica de h com K congelado</w:t>
        </w:r>
        <w:r>
          <w:tab/>
        </w:r>
        <w:r>
          <w:t xml:space="preserve">58</w:t>
        </w:r>
      </w:hyperlink>
    </w:p>
    <w:p>
      <w:pPr>
        <w:pStyle w:val="Sumrio3"/>
      </w:pPr>
      <w:hyperlink w:anchor="_Toc0076" w:history="1">
        <w:r>
          <w:t xml:space="preserve">4A.8</w:t>
        </w:r>
        <w:r>
          <w:tab/>
        </w:r>
        <w:r>
          <w:t xml:space="preserve">Confronto entre o torque do cabo e o torque gravitacional</w:t>
        </w:r>
        <w:r>
          <w:tab/>
        </w:r>
        <w:r>
          <w:t xml:space="preserve">61</w:t>
        </w:r>
      </w:hyperlink>
    </w:p>
    <w:p>
      <w:pPr>
        <w:pStyle w:val="Sumrio3"/>
      </w:pPr>
      <w:hyperlink w:anchor="_Toc0078" w:history="1">
        <w:r>
          <w:t xml:space="preserve">4A.9</w:t>
        </w:r>
        <w:r>
          <w:tab/>
        </w:r>
        <w:r>
          <w:t xml:space="preserve">Limitações dos resultados</w:t>
        </w:r>
        <w:r>
          <w:tab/>
        </w:r>
        <w:r>
          <w:t xml:space="preserve">63</w:t>
        </w:r>
      </w:hyperlink>
    </w:p>
    <w:p>
      <w:pPr>
        <w:pStyle w:val="Sumrio2"/>
      </w:pPr>
      <w:hyperlink w:anchor="_Toc0079" w:history="1">
        <w:r>
          <w:t xml:space="preserve">4B</w:t>
        </w:r>
        <w:r>
          <w:tab/>
        </w:r>
        <w:r>
          <w:t xml:space="preserve">Exoesqueleto 2: EP 3 504 033 B1</w:t>
        </w:r>
        <w:r>
          <w:tab/>
        </w:r>
        <w:r>
          <w:t xml:space="preserve">64</w:t>
        </w:r>
      </w:hyperlink>
    </w:p>
    <w:p>
      <w:pPr>
        <w:pStyle w:val="Sumrio3"/>
      </w:pPr>
      <w:hyperlink w:anchor="_Toc0080" w:history="1">
        <w:r>
          <w:t xml:space="preserve">4B.1</w:t>
        </w:r>
        <w:r>
          <w:tab/>
        </w:r>
        <w:r>
          <w:t xml:space="preserve">Geometria reconstruída e propriedades de massa</w:t>
        </w:r>
        <w:r>
          <w:tab/>
        </w:r>
        <w:r>
          <w:t xml:space="preserve">64</w:t>
        </w:r>
      </w:hyperlink>
    </w:p>
    <w:p>
      <w:pPr>
        <w:pStyle w:val="Sumrio3"/>
      </w:pPr>
      <w:hyperlink w:anchor="_Toc0083" w:history="1">
        <w:r>
          <w:t xml:space="preserve">4B.2</w:t>
        </w:r>
        <w:r>
          <w:tab/>
        </w:r>
        <w:r>
          <w:t xml:space="preserve">Dados extraídos da patente</w:t>
        </w:r>
        <w:r>
          <w:tab/>
        </w:r>
        <w:r>
          <w:t xml:space="preserve">66</w:t>
        </w:r>
      </w:hyperlink>
    </w:p>
    <w:p>
      <w:pPr>
        <w:pStyle w:val="Sumrio3"/>
      </w:pPr>
      <w:hyperlink w:anchor="_Toc0085" w:history="1">
        <w:r>
          <w:t xml:space="preserve">4B.3</w:t>
        </w:r>
        <w:r>
          <w:tab/>
        </w:r>
        <w:r>
          <w:t xml:space="preserve">Verificação da cadeia de cálculo</w:t>
        </w:r>
        <w:r>
          <w:tab/>
        </w:r>
        <w:r>
          <w:t xml:space="preserve">68</w:t>
        </w:r>
      </w:hyperlink>
    </w:p>
    <w:p>
      <w:pPr>
        <w:pStyle w:val="Sumrio3"/>
      </w:pPr>
      <w:hyperlink w:anchor="_Toc0087" w:history="1">
        <w:r>
          <w:t xml:space="preserve">4B.4</w:t>
        </w:r>
        <w:r>
          <w:tab/>
        </w:r>
        <w:r>
          <w:t xml:space="preserve">Identificação de s</w:t>
        </w:r>
        <w:r>
          <w:rPr>
            <w:vertAlign w:val="subscript"/>
          </w:rPr>
          <w:t xml:space="preserve">0</w:t>
        </w:r>
        <w:r>
          <w:t xml:space="preserve"> pelo espaçamento entre as curvas</w:t>
        </w:r>
        <w:r>
          <w:tab/>
        </w:r>
        <w:r>
          <w:t xml:space="preserve">69</w:t>
        </w:r>
      </w:hyperlink>
    </w:p>
    <w:p>
      <w:pPr>
        <w:pStyle w:val="Sumrio3"/>
      </w:pPr>
      <w:hyperlink w:anchor="_Toc0090" w:history="1">
        <w:r>
          <w:t xml:space="preserve">4B.5</w:t>
        </w:r>
        <w:r>
          <w:tab/>
        </w:r>
        <w:r>
          <w:t xml:space="preserve">Forma das curvas e ajuste de forma</w:t>
        </w:r>
        <w:r>
          <w:tab/>
        </w:r>
        <w:r>
          <w:t xml:space="preserve">72</w:t>
        </w:r>
      </w:hyperlink>
    </w:p>
    <w:p>
      <w:pPr>
        <w:pStyle w:val="Sumrio3"/>
      </w:pPr>
      <w:hyperlink w:anchor="_Toc0094" w:history="1">
        <w:r>
          <w:t xml:space="preserve">4B.6</w:t>
        </w:r>
        <w:r>
          <w:tab/>
        </w:r>
        <w:r>
          <w:t xml:space="preserve">Parâmetros do modelo</w:t>
        </w:r>
        <w:r>
          <w:tab/>
        </w:r>
        <w:r>
          <w:t xml:space="preserve">75</w:t>
        </w:r>
      </w:hyperlink>
    </w:p>
    <w:p>
      <w:pPr>
        <w:pStyle w:val="Sumrio3"/>
      </w:pPr>
      <w:hyperlink w:anchor="_Toc0096" w:history="1">
        <w:r>
          <w:t xml:space="preserve">4B.7</w:t>
        </w:r>
        <w:r>
          <w:tab/>
        </w:r>
        <w:r>
          <w:t xml:space="preserve">Comportamento do elástico e do mecanismo</w:t>
        </w:r>
        <w:r>
          <w:tab/>
        </w:r>
        <w:r>
          <w:t xml:space="preserve">76</w:t>
        </w:r>
      </w:hyperlink>
    </w:p>
    <w:p>
      <w:pPr>
        <w:pStyle w:val="Sumrio3"/>
      </w:pPr>
      <w:hyperlink w:anchor="_Toc0098" w:history="1">
        <w:r>
          <w:t xml:space="preserve">4B.8</w:t>
        </w:r>
        <w:r>
          <w:tab/>
        </w:r>
        <w:r>
          <w:t xml:space="preserve">Varredura paramétrica do trecho </w:t>
        </w:r>
        <w:r>
          <w:rPr>
            <w:i/>
            <w:iCs/>
          </w:rPr>
          <w:t xml:space="preserve">e</w:t>
        </w:r>
        <w:r>
          <w:t xml:space="preserve"> da alavanca</w:t>
        </w:r>
        <w:r>
          <w:tab/>
        </w:r>
        <w:r>
          <w:t xml:space="preserve">77</w:t>
        </w:r>
      </w:hyperlink>
    </w:p>
    <w:p>
      <w:pPr>
        <w:pStyle w:val="Sumrio3"/>
      </w:pPr>
      <w:hyperlink w:anchor="_Toc0101" w:history="1">
        <w:r>
          <w:t xml:space="preserve">4B.9</w:t>
        </w:r>
        <w:r>
          <w:tab/>
        </w:r>
        <w:r>
          <w:t xml:space="preserve">Confronto com o torque gravitacional</w:t>
        </w:r>
        <w:r>
          <w:tab/>
        </w:r>
        <w:r>
          <w:t xml:space="preserve">79</w:t>
        </w:r>
      </w:hyperlink>
    </w:p>
    <w:p>
      <w:pPr>
        <w:pStyle w:val="Sumrio3"/>
      </w:pPr>
      <w:hyperlink w:anchor="_Toc0105" w:history="1">
        <w:r>
          <w:t xml:space="preserve">4B.10</w:t>
        </w:r>
        <w:r>
          <w:tab/>
        </w:r>
        <w:r>
          <w:t xml:space="preserve">Limitações dos resultados</w:t>
        </w:r>
        <w:r>
          <w:tab/>
        </w:r>
        <w:r>
          <w:t xml:space="preserve">81</w:t>
        </w:r>
      </w:hyperlink>
    </w:p>
    <w:p>
      <w:pPr>
        <w:pStyle w:val="Sumrio3"/>
      </w:pPr>
      <w:hyperlink w:anchor="_Toc0107" w:history="1">
        <w:r>
          <w:t xml:space="preserve">4B.11</w:t>
        </w:r>
        <w:r>
          <w:tab/>
        </w:r>
        <w:r>
          <w:t xml:space="preserve">Comparação com o exoesqueleto 1</w:t>
        </w:r>
        <w:r>
          <w:tab/>
        </w:r>
        <w:r>
          <w:t xml:space="preserve">83</w:t>
        </w:r>
      </w:hyperlink>
    </w:p>
    <w:p>
      <w:pPr>
        <w:pStyle w:val="Sumrio1"/>
      </w:pPr>
      <w:hyperlink w:anchor="_Toc0109" w:history="1">
        <w:r>
          <w:t xml:space="preserve">5</w:t>
        </w:r>
        <w:r>
          <w:tab/>
        </w:r>
        <w:r>
          <w:t xml:space="preserve">Conclusão</w:t>
        </w:r>
        <w:r>
          <w:tab/>
        </w:r>
        <w:r>
          <w:t xml:space="preserve">86</w:t>
        </w:r>
      </w:hyperlink>
    </w:p>
    <w:p>
      <w:pPr>
        <w:pStyle w:val="Sumrio2"/>
      </w:pPr>
      <w:hyperlink w:anchor="_Toc0110" w:history="1">
        <w:r>
          <w:t xml:space="preserve">5A</w:t>
        </w:r>
        <w:r>
          <w:tab/>
        </w:r>
        <w:r>
          <w:t xml:space="preserve">Exoesqueleto 1: US 9.889.554 B2</w:t>
        </w:r>
        <w:r>
          <w:tab/>
        </w:r>
        <w:r>
          <w:t xml:space="preserve">86</w:t>
        </w:r>
      </w:hyperlink>
    </w:p>
    <w:p>
      <w:pPr>
        <w:pStyle w:val="Sumrio2"/>
      </w:pPr>
      <w:hyperlink w:anchor="_Toc0111" w:history="1">
        <w:r>
          <w:t xml:space="preserve">5B</w:t>
        </w:r>
        <w:r>
          <w:tab/>
        </w:r>
        <w:r>
          <w:t xml:space="preserve">Exoesqueleto 2: EP 3 504 033 B1</w:t>
        </w:r>
        <w:r>
          <w:tab/>
        </w:r>
        <w:r>
          <w:t xml:space="preserve">87</w:t>
        </w:r>
      </w:hyperlink>
    </w:p>
    <w:p>
      <w:pPr>
        <w:pStyle w:val="Sumrio1"/>
      </w:pPr>
      <w:hyperlink w:anchor="_Toc0112" w:history="1">
        <w:r>
          <w:t xml:space="preserve">Referências</w:t>
        </w:r>
        <w:r>
          <w:tab/>
        </w:r>
        <w:r>
          <w:t xml:space="preserve">90</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Entre os passivos destinados ao levantamento de cargas, </w:t>
      </w:r>
      <w:r>
        <w:t xml:space="preserve">Ning et al. (2023)</w:t>
      </w:r>
      <w:r>
        <w:t xml:space="preserve"> organizam a estrutura em módulos de braço, ombro e costas e dimensionam o conjunto a partir da tração da mola. 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constitui problema clássico da síntese de mecanismos. </w:t>
      </w:r>
      <w:r>
        <w:t xml:space="preserve">Arakelian (2016)</w:t>
      </w:r>
      <w:r>
        <w:t xml:space="preserve"> sistematiza as soluções em três grupos, definidos pela natureza da força compensadora — contrapesos, molas ou força ativa proveniente de atuador auxiliar —, e </w:t>
      </w:r>
      <w:r>
        <w:t xml:space="preserve">Nguyen (2026)</w:t>
      </w:r>
      <w:r>
        <w:t xml:space="preserve"> atualiza o panorama das alternativas estritamente passivas e de seus limites de aplicação. Em exoesqueletos vestíveis, a inviabilidade do contrapeso impõe o predomínio da solução elástica, quase sempre associada a cabos, polias ou cames encarregados de moldar a curva de torque; nessa linha, </w:t>
      </w:r>
      <w:r>
        <w:t xml:space="preserve">Ning et al. (2022)</w:t>
      </w:r>
      <w:r>
        <w:t xml:space="preserve"> projetam o perfil da came a partir do módulo de armazenamento de energia da mola e validam o resultado por eletromiografia.</w:t>
      </w:r>
    </w:p>
    <w:p>
      <w:r>
        <w:t xml:space="preserve">A patente US 9.889.554 B2 </w:t>
      </w:r>
      <w:r>
        <w:t xml:space="preserve">(van Engelhoven; Kazerooni, 2018)</w:t>
      </w:r>
      <w:r>
        <w:t xml:space="preserve"> descreve arranjo dessa natureza: um elo proximal, solidário a uma base fixada ao tronco, articula-se com um elo distal que acompanha o braço, e um gerador de força de tração, constituído por mola e cabo tensionado sobre uma polia, produz o torque de apoio. Abaixo de um ângulo de transição (</w:t>
      </w:r>
      <w:r>
        <w:rPr>
          <w:i/>
          <w:iCs/>
        </w:rPr>
        <w:t xml:space="preserve">toggle angle</w:t>
      </w:r>
      <w:r>
        <w:t xml:space="preserve">), uma protuberância situada junto à junta restringe a mola, de modo que o torque decai a valor residual e o membro recupera liberdade de movimento. A patente EP 3 504 033 B1 </w:t>
      </w:r>
      <w:r>
        <w:t xml:space="preserve">(Ottobock, 2023)</w:t>
      </w:r>
      <w:r>
        <w:t xml:space="preserve">, por sua vez, endereça o mesmo problema por caminho construtivo distinto, transmitindo a força de um atuador passivo por meio de elemento rígido apoiado na pelve.</w:t>
      </w:r>
    </w:p>
    <w:p>
      <w:r>
        <w:t xml:space="preserve">Em ambos os documentos, contudo, as figuras exibem apenas a forma dos perfis de torque, desprovidas de escala nos eixos, o que inviabiliza o aproveitamento direto dos dados publicados e motiva a reconstrução geométrica adotada neste trabalho.</w:t>
      </w:r>
    </w:p>
    <w:p>
      <w:r>
        <w:t xml:space="preserve">Na EP 3 504 033 B1, a faixa sem torque com o braço baixado não depende de um batente. O elemento elástico passa a encostar, a partir de um ângulo ajustável, num elemento de encosto situado junto à articulação; com esse elemento sobre o eixo de rotação, as forças dos dois trechos do elástico passam pelo eixo e não produzem torque, embora o elástico continue tracionado </w:t>
      </w:r>
      <w:r>
        <w:t xml:space="preserve">(Ottobock, 2023)</w:t>
      </w:r>
      <w:r>
        <w:t xml:space="preserve">. Nessa patente, diferentemente do que se disse acima para os dois documentos, a abscissa das curvas publicadas tem escala em graus; só a ordenada é desprovida de escala.</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(Ning et al., 2022; Okabe; Brittes; Brito, 2025)</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3B.14 aplicam à EP 3 504 033 B1 </w:t>
      </w:r>
      <w:r>
        <w:t xml:space="preserve">(Ottobock, 2023)</w:t>
      </w:r>
      <w:r>
        <w:t xml:space="preserve"> o procedimento das seções 3A.1 a 3A.13, que foi executado para o gerador de torque da US 9.889.554 B2.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3"/>
      </w:pPr>
      <w:bookmarkStart w:id="36" w:name="_Toc0036"/>
      <w:r>
        <w:t xml:space="preserve">3B.1</w:t>
      </w:r>
      <w:r>
        <w:tab/>
      </w:r>
      <w:r>
        <w:t xml:space="preserve">Fontes e arquivos utilizados</w:t>
      </w:r>
      <w:bookmarkEnd w:id="36"/>
    </w:p>
    <w:p>
      <w:pPr>
        <w:pStyle w:val="SemRecuo"/>
      </w:pPr>
      <w: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7" w:name="_Toc0037"/>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8" w:name="_Toc0038"/>
      <w:r>
        <w:t xml:space="preserve">3B.2</w:t>
      </w:r>
      <w:r>
        <w:tab/>
      </w:r>
      <w:r>
        <w:t xml:space="preserve">Arquitetura descrita na patente</w:t>
      </w:r>
      <w:bookmarkEnd w:id="38"/>
    </w:p>
    <w:p>
      <w:pPr>
        <w:pStyle w:val="SemRecuo"/>
      </w:pPr>
      <w: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3"/>
      </w:pPr>
      <w:bookmarkStart w:id="39" w:name="_Toc0039"/>
      <w:r>
        <w:t xml:space="preserve">3B.3</w:t>
      </w:r>
      <w:r>
        <w:tab/>
      </w:r>
      <w:r>
        <w:t xml:space="preserve">Reconstrução geométrica em CAD</w:t>
      </w:r>
      <w:bookmarkEnd w:id="39"/>
    </w:p>
    <w:p>
      <w:pPr>
        <w:pStyle w:val="SemRecuo"/>
      </w:pPr>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40" w:name="_Toc0040"/>
      <w:r>
        <w:t xml:space="preserve">3B.4</w:t>
      </w:r>
      <w:r>
        <w:tab/>
      </w:r>
      <w:r>
        <w:t xml:space="preserve">Parâmetros inerciais do membro e transporte ao eixo da articulação 20</w:t>
      </w:r>
      <w:bookmarkEnd w:id="40"/>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41" w:name="_Toc0041"/>
      <w:r>
        <w:t xml:space="preserve">3B.5</w:t>
      </w:r>
      <w:r>
        <w:tab/>
      </w:r>
      <w:r>
        <w:t xml:space="preserve">Referenciais e convenções angulares e de sinal</w:t>
      </w:r>
      <w:bookmarkEnd w:id="41"/>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2" w:name="_Toc0042"/>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3B.7</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(40)</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(42)</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3B.6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3" w:name="_Toc0043"/>
      <w:r>
        <w:t xml:space="preserve">3B.6</w:t>
      </w:r>
      <w:r>
        <w:tab/>
      </w:r>
      <w:r>
        <w:t xml:space="preserve">Cinemática: equações de circuito e troca de regime</w:t>
      </w:r>
      <w:bookmarkEnd w:id="43"/>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r>
        <w:t xml:space="preserve">Com o elemento 78 sobre o eixo (p</w:t>
      </w:r>
      <w:r>
        <w:rPr>
          <w:vertAlign w:val="subscript"/>
        </w:rPr>
        <w:t xml:space="preserve">78</w:t>
      </w:r>
      <w:r>
        <w:t xml:space="preserve"> = 0), configuração preferida pela patente [0099],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(39)</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(39)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Legenda"/>
        <w:jc w:val="both"/>
      </w:pPr>
      <w:bookmarkStart w:id="44" w:name="_Toc0044"/>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bookmarkEnd w:id="44"/>
    </w:p>
    <w:p>
      <w:pPr>
        <w:pStyle w:val="Figura"/>
      </w:pPr>
      <w:r>
        <w:drawing>
          <wp:inline distT="0" distB="0" distL="0" distR="0">
            <wp:extent cx="5760000" cy="2649600"/>
            <wp:effectExtent l="0" t="0" r="0" b="0"/>
            <wp:docPr id="2" name="Imagem 2"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26496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O traço preto vai de O ao cotovelo e ao ponto P; os quadrados marcam o centro do elemento 78; as linhas pontilhadas indicam o eixo do braço.</w:t>
      </w:r>
    </w:p>
    <w:p>
      <w:pPr>
        <w:pStyle w:val="Ttulo3"/>
      </w:pPr>
      <w:bookmarkStart w:id="45" w:name="_Toc0045"/>
      <w:r>
        <w:t xml:space="preserve">3B.7</w:t>
      </w:r>
      <w:r>
        <w:tab/>
      </w:r>
      <w:r>
        <w:t xml:space="preserve">Força elástica e torque</w:t>
      </w:r>
      <w:bookmarkEnd w:id="45"/>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(40)</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(41)</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(42)</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(43)</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Com apenas o membro humano, a</w:t>
      </w:r>
      <w:r>
        <w:rPr>
          <w:vertAlign w:val="subscript"/>
        </w:rPr>
        <w:t xml:space="preserve">CG</w:t>
      </w:r>
      <w:r>
        <w:t xml:space="preserve"> = 0 e τ</w:t>
      </w:r>
      <w:r>
        <w:rPr>
          <w:vertAlign w:val="subscript"/>
        </w:rPr>
        <w:t xml:space="preserve">g</w:t>
      </w:r>
      <w:r>
        <w:t xml:space="preserve"> = M g d sen θ</w:t>
      </w:r>
      <w:r>
        <w:rPr>
          <w:vertAlign w:val="subscript"/>
        </w:rPr>
        <w:t xml:space="preserve">el</w:t>
      </w:r>
      <w:r>
        <w:t xml:space="preserve">/1000, com máximo de 10,550 N·m em θ</w:t>
      </w:r>
      <w:r>
        <w:rPr>
          <w:vertAlign w:val="subscript"/>
        </w:rPr>
        <w:t xml:space="preserve">el</w:t>
      </w:r>
      <w:r>
        <w:t xml:space="preserve"> = 90°. A Equação (44) mantém a</w:t>
      </w:r>
      <w:r>
        <w:rPr>
          <w:vertAlign w:val="subscript"/>
        </w:rPr>
        <w:t xml:space="preserve">CG</w:t>
      </w:r>
      <w:r>
        <w:t xml:space="preserve"> para o caso em que o braço do exoesqueleto for incorporado; nesse caso, o máximo se desloca do ângulo a</w:t>
      </w:r>
      <w:r>
        <w:rPr>
          <w:vertAlign w:val="subscript"/>
        </w:rPr>
        <w:t xml:space="preserve">CG</w:t>
      </w:r>
      <w:r>
        <w:t xml:space="preserve">, e o torque troca de sinal perto dos extremos da faixa.</w:t>
      </w:r>
    </w:p>
    <w:p>
      <w:pPr>
        <w:pStyle w:val="Ttulo3"/>
      </w:pPr>
      <w:bookmarkStart w:id="47" w:name="_Toc0047"/>
      <w:r>
        <w:t xml:space="preserve">3B.9</w:t>
      </w:r>
      <w:r>
        <w:tab/>
      </w:r>
      <w:r>
        <w:t xml:space="preserve">Dados da patente</w:t>
      </w:r>
      <w:bookmarkEnd w:id="47"/>
    </w:p>
    <w:p>
      <w:pPr>
        <w:pStyle w:val="SemRecuo"/>
      </w:pPr>
      <w: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r>
        <w:t xml:space="preserve">A Figura 17 da patente não foi digitalizada. A seção 4B.8 faz apenas uma comparação visual com ela.</w:t>
      </w:r>
    </w:p>
    <w:p>
      <w:pPr>
        <w:pStyle w:val="Ttulo3"/>
      </w:pPr>
      <w:bookmarkStart w:id="49" w:name="_Toc0049"/>
      <w:r>
        <w:t xml:space="preserve">3B.10</w:t>
      </w:r>
      <w:r>
        <w:tab/>
      </w:r>
      <w:r>
        <w:t xml:space="preserve">Identificação dos parâmetros a partir da Figura 16 da patente</w:t>
      </w:r>
      <w:bookmarkEnd w:id="49"/>
    </w:p>
    <w:p>
      <w:pPr>
        <w:pStyle w:val="SemRecuo"/>
      </w:pPr>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[0093];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3B.6: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[0093]. Como ℓ decresce com θ</w:t>
      </w:r>
      <w:r>
        <w:rPr>
          <w:vertAlign w:val="subscript"/>
        </w:rPr>
        <w:t xml:space="preserve">el</w:t>
      </w:r>
      <w:r>
        <w:t xml:space="preserve">, Equação (43),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50" w:name="_Toc0050"/>
      <w:r>
        <w:t xml:space="preserve">3B.11</w:t>
      </w:r>
      <w:r>
        <w:tab/>
      </w:r>
      <w:r>
        <w:t xml:space="preserve">Varredura paramétrica do trecho </w:t>
      </w:r>
      <w:r>
        <w:rPr>
          <w:i/>
          <w:iCs/>
        </w:rPr>
        <w:t xml:space="preserve">e</w:t>
      </w:r>
      <w:r>
        <w:t xml:space="preserve"> da alavanca</w:t>
      </w:r>
      <w:bookmarkEnd w:id="50"/>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(reivindicação 9; [0044], [0060], [0101]) e objeto da Figura 17 da patente [0094]. Por isso, o papel de h na seção 4A é desempenhado aqui por </w:t>
      </w:r>
      <w:r>
        <w:rPr>
          <w:i/>
          <w:iCs/>
        </w:rPr>
        <w:t xml:space="preserve">e</w:t>
      </w:r>
      <w:r>
        <w:t xml:space="preserve">. A varredura manteve s</w:t>
      </w:r>
      <w:r>
        <w:rPr>
          <w:vertAlign w:val="subscript"/>
        </w:rPr>
        <w:t xml:space="preserve">0</w:t>
      </w:r>
      <w:r>
        <w:t xml:space="preserve"> = 287,190 mm e K = 1,45915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1" w:name="_Toc0051"/>
      <w:r>
        <w:t xml:space="preserve">3B.12</w:t>
      </w:r>
      <w:r>
        <w:tab/>
      </w:r>
      <w:r>
        <w:t xml:space="preserve">Verificações numéricas</w:t>
      </w:r>
      <w:bookmarkEnd w:id="51"/>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3"/>
      </w:pPr>
      <w:bookmarkStart w:id="52" w:name="_Toc0052"/>
      <w:r>
        <w:t xml:space="preserve">3B.13</w:t>
      </w:r>
      <w:r>
        <w:tab/>
      </w:r>
      <w:r>
        <w:t xml:space="preserve">Etapas dinâmicas previstas</w:t>
      </w:r>
      <w:bookmarkEnd w:id="52"/>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(43),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(42);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0,434676 kg·m</w:t>
      </w:r>
      <w:r>
        <w:rPr>
          <w:vertAlign w:val="superscript"/>
        </w:rPr>
        <w:t xml:space="preserve">2</w:t>
      </w:r>
      <w: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3" w:name="_Toc0053"/>
      <w:r>
        <w:t xml:space="preserve">3B.14</w:t>
      </w:r>
      <w:r>
        <w:tab/>
      </w:r>
      <w:r>
        <w:t xml:space="preserve">Ferramentas e delimitação</w:t>
      </w:r>
      <w:bookmarkEnd w:id="53"/>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4" w:name="_Toc0054"/>
      <w:r>
        <w:t xml:space="preserve">Capítulo 4</w:t>
      </w:r>
      <w:r>
        <w:br/>
      </w:r>
      <w:r>
        <w:t xml:space="preserve">Resultados e discussão</w:t>
      </w:r>
      <w:bookmarkEnd w:id="54"/>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5" w:name="_Toc0055"/>
      <w:r>
        <w:t xml:space="preserve">4A</w:t>
      </w:r>
      <w:r>
        <w:tab/>
      </w:r>
      <w:r>
        <w:t xml:space="preserve">Exoesqueleto 1: US 9.889.554 B2</w:t>
      </w:r>
      <w:bookmarkEnd w:id="55"/>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6" w:name="_Toc0056"/>
      <w:r>
        <w:t xml:space="preserve">4A.1</w:t>
      </w:r>
      <w:r>
        <w:tab/>
      </w:r>
      <w:r>
        <w:t xml:space="preserve">Geometria reconstruída e propriedades de massa</w:t>
      </w:r>
      <w:bookmarkEnd w:id="56"/>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8" w:name="_Toc0058"/>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9" w:name="_Toc0059"/>
      <w:r>
        <w:t xml:space="preserve">4A.2</w:t>
      </w:r>
      <w:r>
        <w:tab/>
      </w:r>
      <w:r>
        <w:t xml:space="preserve">Dados extraídos da patente</w:t>
      </w:r>
      <w:bookmarkEnd w:id="59"/>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60" w:name="_Toc0060"/>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6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1" w:name="_Toc0061"/>
      <w:r>
        <w:t xml:space="preserve">4A.3</w:t>
      </w:r>
      <w:r>
        <w:tab/>
      </w:r>
      <w:r>
        <w:t xml:space="preserve">Verificação da cadeia de cálculo</w:t>
      </w:r>
      <w:bookmarkEnd w:id="61"/>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2" w:name="_Toc0062"/>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3" w:name="_Toc0063"/>
      <w:r>
        <w:t xml:space="preserve">4A.4</w:t>
      </w:r>
      <w:r>
        <w:tab/>
      </w:r>
      <w:r>
        <w:t xml:space="preserve">Parâmetros do modelo e reprodução da identificação</w:t>
      </w:r>
      <w:bookmarkEnd w:id="63"/>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4" w:name="_Toc0064"/>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5" w:name="_Toc0065"/>
      <w:r>
        <w:t xml:space="preserve">4A.5</w:t>
      </w:r>
      <w:r>
        <w:tab/>
      </w:r>
      <w:r>
        <w:t xml:space="preserve">Qualidade do ajuste à curva da patente</w:t>
      </w:r>
      <w:bookmarkEnd w:id="65"/>
    </w:p>
    <w:p>
      <w:pPr>
        <w:pStyle w:val="SemRecuo"/>
      </w:pPr>
      <w:r>
        <w:t xml:space="preserve">A Figura 4 sobrepõe o torque calculado com os parâmetros congelados aos 29 pontos extraídos, e a Tabela 9 reúne os indicadores do ajuste. </w:t>
      </w:r>
    </w:p>
    <w:p>
      <w:pPr>
        <w:pStyle w:val="Legenda"/>
        <w:jc w:val="both"/>
      </w:pPr>
      <w:bookmarkStart w:id="66" w:name="_Toc0066"/>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6"/>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8" w:name="_Toc0068"/>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9" w:name="_Toc0069"/>
      <w:r>
        <w:t xml:space="preserve">4A.6</w:t>
      </w:r>
      <w:r>
        <w:tab/>
      </w:r>
      <w:r>
        <w:t xml:space="preserve">Comportamento da mola e do mecanismo</w:t>
      </w:r>
      <w:bookmarkEnd w:id="69"/>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70" w:name="_Toc0070"/>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7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1" w:name="_Toc0071"/>
      <w:r>
        <w:t xml:space="preserve">4A.7</w:t>
      </w:r>
      <w:r>
        <w:tab/>
      </w:r>
      <w:r>
        <w:t xml:space="preserve">Varredura paramétrica de h com K congelado</w:t>
      </w:r>
      <w:bookmarkEnd w:id="71"/>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2"/>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3" w:name="_Toc0073"/>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3"/>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5" w:name="_Toc0075"/>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6" w:name="_Toc0076"/>
      <w:r>
        <w:t xml:space="preserve">4A.8</w:t>
      </w:r>
      <w:r>
        <w:tab/>
      </w:r>
      <w:r>
        <w:t xml:space="preserve">Confronto entre o torque do cabo e o torque gravitacional</w:t>
      </w:r>
      <w:bookmarkEnd w:id="76"/>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7" w:name="_Toc0077"/>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7"/>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8" w:name="_Toc0078"/>
      <w:r>
        <w:t xml:space="preserve">4A.9</w:t>
      </w:r>
      <w:r>
        <w:tab/>
      </w:r>
      <w:r>
        <w:t xml:space="preserve">Limitações dos resultados</w:t>
      </w:r>
      <w:bookmarkEnd w:id="78"/>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9" w:name="_Toc0079"/>
      <w:r>
        <w:t xml:space="preserve">4B</w:t>
      </w:r>
      <w:r>
        <w:tab/>
      </w:r>
      <w:r>
        <w:t xml:space="preserve">Exoesqueleto 2: EP 3 504 033 B1</w:t>
      </w:r>
      <w:bookmarkEnd w:id="79"/>
    </w:p>
    <w:p>
      <w:pPr>
        <w:pStyle w:val="SemRecuo"/>
      </w:pPr>
      <w:r>
        <w:t xml:space="preserve">Esta seção apresenta os resultados das etapas das seções 3B.3 a 3B.12,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1,45915 N/mm, hipótese de projeto. As etapas dinâmicas da seção 3B.13 não foram executadas.</w:t>
      </w:r>
    </w:p>
    <w:p>
      <w:pPr>
        <w:pStyle w:val="Ttulo3"/>
      </w:pPr>
      <w:bookmarkStart w:id="80" w:name="_Toc0080"/>
      <w:r>
        <w:t xml:space="preserve">4B.1</w:t>
      </w:r>
      <w:r>
        <w:tab/>
      </w:r>
      <w:r>
        <w:t xml:space="preserve">Geometria reconstruída e propriedades de massa</w:t>
      </w:r>
      <w:bookmarkEnd w:id="80"/>
    </w:p>
    <w:p>
      <w:pPr>
        <w:pStyle w:val="SemRecuo"/>
      </w:pPr>
      <w:r>
        <w:t xml:space="preserve">A Tabela 14 reúne as grandezas medidas no modelo em CAD e as que delas derivam, com a origem de cada uma (seção 3B.3).</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(39)</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3B.5).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[0099]; as consequências dessa diferença são tratadas nas seções 3B.6 e 4B.9.</w:t>
      </w:r>
    </w:p>
    <w:p>
      <w:pPr>
        <w:pStyle w:val="Legenda"/>
        <w:spacing w:after="258"/>
        <w:jc w:val="center"/>
      </w:pPr>
      <w:bookmarkStart w:id="82" w:name="_Toc0082"/>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membro humano em relação ao eixo da articulação 20</w:t>
      </w:r>
      <w:bookmarkEnd w:id="8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Membro humano</w:t>
            </w:r>
          </w:p>
        </w:tc>
        <w:tc>
          <w:tcPr>
            <w:tcW w:w="1333" w:type="dxa"/>
            <w:tcBorders>
              <w:bottom w:val="single" w:sz="8" w:space="0" w:color="000000"/>
            </w:tcBorders>
            <w:vAlign w:val="top"/>
          </w:tcPr>
          <w:p>
            <w:pPr>
              <w:pStyle w:val="TabelaTexto"/>
              <w:jc w:val="center"/>
            </w:pPr>
            <w:r>
              <w:rPr>
                <w:sz w:val="22"/>
                <w:szCs w:val="22"/>
              </w:rPr>
              <w:t xml:space="preserve">3,6062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298,310</w:t>
            </w:r>
          </w:p>
        </w:tc>
        <w:tc>
          <w:tcPr>
            <w:tcW w:w="1585" w:type="dxa"/>
            <w:tcBorders>
              <w:bottom w:val="single" w:sz="8" w:space="0" w:color="000000"/>
            </w:tcBorders>
            <w:vAlign w:val="top"/>
          </w:tcPr>
          <w:p>
            <w:pPr>
              <w:pStyle w:val="TabelaTexto"/>
              <w:jc w:val="center"/>
            </w:pPr>
            <w:r>
              <w:rPr>
                <w:sz w:val="22"/>
                <w:szCs w:val="22"/>
              </w:rPr>
              <w:t xml:space="preserve">0,113765</w:t>
            </w:r>
          </w:p>
        </w:tc>
        <w:tc>
          <w:tcPr>
            <w:tcW w:w="1466" w:type="dxa"/>
            <w:tcBorders>
              <w:bottom w:val="single" w:sz="8" w:space="0" w:color="000000"/>
            </w:tcBorders>
            <w:tcMar>
              <w:right w:w="0" w:type="dxa"/>
            </w:tcMar>
            <w:vAlign w:val="top"/>
          </w:tcPr>
          <w:p>
            <w:pPr>
              <w:pStyle w:val="TabelaTexto"/>
              <w:jc w:val="center"/>
            </w:pPr>
            <w:r>
              <w:rPr>
                <w:sz w:val="22"/>
                <w:szCs w:val="22"/>
              </w:rPr>
              <w:t xml:space="preserve">0,434676</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w:t>
      </w:r>
    </w:p>
    <w:p>
      <w:r>
        <w:t xml:space="preserve">A consistência foi conferida pela Equação (1):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A amplitude do momento gravitacional do membro é M g d = 10,550 N·m.</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3"/>
      </w:pPr>
      <w:bookmarkStart w:id="83" w:name="_Toc0083"/>
      <w:r>
        <w:t xml:space="preserve">4B.2</w:t>
      </w:r>
      <w:r>
        <w:tab/>
      </w:r>
      <w:r>
        <w:t xml:space="preserve">Dados extraídos da patente</w:t>
      </w:r>
      <w:bookmarkEnd w:id="83"/>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4" w:name="_Toc0084"/>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3B.10).</w:t>
      </w:r>
    </w:p>
    <w:p>
      <w:pPr>
        <w:pStyle w:val="Ttulo3"/>
      </w:pPr>
      <w:bookmarkStart w:id="85" w:name="_Toc0085"/>
      <w:r>
        <w:t xml:space="preserve">4B.3</w:t>
      </w:r>
      <w:r>
        <w:tab/>
      </w:r>
      <w:r>
        <w:t xml:space="preserve">Verificação da cadeia de cálculo</w:t>
      </w:r>
      <w:bookmarkEnd w:id="85"/>
    </w:p>
    <w:p>
      <w:pPr>
        <w:pStyle w:val="SemRecuo"/>
      </w:pPr>
      <w: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0,062 mm, limitado pela interpolação linear entre os pontos de cada curva.</w:t>
      </w:r>
    </w:p>
    <w:p>
      <w:pPr>
        <w:pStyle w:val="Legenda"/>
        <w:spacing w:after="258"/>
        <w:jc w:val="center"/>
      </w:pPr>
      <w:bookmarkStart w:id="86" w:name="_Toc0086"/>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(43)</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(43)</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(39)</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2,7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0,062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7" w:name="_Toc0087"/>
      <w:r>
        <w:t xml:space="preserve">4B.4</w:t>
      </w:r>
      <w:r>
        <w:tab/>
      </w:r>
      <w:r>
        <w:t xml:space="preserve">Identificação de s</w:t>
      </w:r>
      <w:r>
        <w:rPr>
          <w:vertAlign w:val="subscript"/>
        </w:rPr>
        <w:t xml:space="preserve">0</w:t>
      </w:r>
      <w:r>
        <w:t xml:space="preserve"> pelo espaçamento entre as curvas</w:t>
      </w:r>
      <w:bookmarkEnd w:id="87"/>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em [0093],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8" w:name="_Toc0088"/>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1,64025 N/mm, com pico de τ de 4,225 N·m em 92,1°; no ajuste de forma, o s</w:t>
      </w:r>
      <w:r>
        <w:rPr>
          <w:vertAlign w:val="subscript"/>
        </w:rPr>
        <w:t xml:space="preserve">0</w:t>
      </w:r>
      <w:r>
        <w:t xml:space="preserve"> da tracejada vai de 159,944 mm para 279,526 mm, com 4 dos 40 pontos ajustados no regime II, e K</w:t>
      </w:r>
      <w:r>
        <w:rPr>
          <w:vertAlign w:val="subscript"/>
        </w:rPr>
        <w:t xml:space="preserve">40</w:t>
      </w:r>
      <w:r>
        <w:t xml:space="preserve">, de 0,50185 para 1,29549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pStyle w:val="Legenda"/>
        <w:jc w:val="both"/>
      </w:pPr>
      <w:bookmarkStart w:id="89" w:name="_Toc0089"/>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9"/>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90" w:name="_Toc0090"/>
      <w:r>
        <w:t xml:space="preserve">4B.5</w:t>
      </w:r>
      <w:r>
        <w:tab/>
      </w:r>
      <w:r>
        <w:t xml:space="preserve">Forma das curvas e ajuste de forma</w:t>
      </w:r>
      <w:bookmarkEnd w:id="90"/>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0,38 em 20°, 0,78 em 60°, 1,34 em 120°, 2,04 em 150° e 3,03 em 165°. Com esses valores de s</w:t>
      </w:r>
      <w:r>
        <w:rPr>
          <w:vertAlign w:val="subscript"/>
        </w:rPr>
        <w:t xml:space="preserve">0</w:t>
      </w:r>
      <w:r>
        <w:t xml:space="preserve"> e com o m do CAD e o τ</w:t>
      </w:r>
      <w:r>
        <w:rPr>
          <w:vertAlign w:val="subscript"/>
        </w:rPr>
        <w:t xml:space="preserve">g</w:t>
      </w:r>
      <w: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3B.10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276,56 mm na pontilhada, 159,94 mm na tracejada e o limite s</w:t>
      </w:r>
      <w:r>
        <w:rPr>
          <w:vertAlign w:val="subscript"/>
        </w:rPr>
        <w:t xml:space="preserve">0</w:t>
      </w:r>
      <w: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271,94 a 280,64</w:t>
            </w:r>
          </w:p>
        </w:tc>
        <w:tc>
          <w:tcPr>
            <w:tcW w:w="2158" w:type="dxa"/>
            <w:vAlign w:val="top"/>
          </w:tcPr>
          <w:p>
            <w:pPr>
              <w:pStyle w:val="TabelaTexto"/>
              <w:keepNext/>
              <w:jc w:val="center"/>
            </w:pPr>
            <w:r>
              <w:rPr>
                <w:sz w:val="22"/>
                <w:szCs w:val="22"/>
              </w:rPr>
              <w:t xml:space="preserve">143,91 a 173,51</w:t>
            </w:r>
          </w:p>
        </w:tc>
        <w:tc>
          <w:tcPr>
            <w:tcW w:w="2048" w:type="dxa"/>
            <w:tcMar>
              <w:right w:w="0" w:type="dxa"/>
            </w:tcMar>
            <w:vAlign w:val="top"/>
          </w:tcPr>
          <w:p>
            <w:pPr>
              <w:pStyle w:val="TabelaTexto"/>
              <w:keepNext/>
              <w:jc w:val="center"/>
            </w:pPr>
            <w:r>
              <w:rPr>
                <w:sz w:val="22"/>
                <w:szCs w:val="22"/>
              </w:rPr>
              <w:t xml:space="preserve">0,00 a 4,86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2,89897</w:t>
            </w:r>
          </w:p>
        </w:tc>
        <w:tc>
          <w:tcPr>
            <w:tcW w:w="2158" w:type="dxa"/>
            <w:vAlign w:val="top"/>
          </w:tcPr>
          <w:p>
            <w:pPr>
              <w:pStyle w:val="TabelaTexto"/>
              <w:keepNext/>
              <w:jc w:val="center"/>
            </w:pPr>
            <w:r>
              <w:rPr>
                <w:sz w:val="22"/>
                <w:szCs w:val="22"/>
              </w:rPr>
              <w:t xml:space="preserve">1,55457</w:t>
            </w:r>
          </w:p>
        </w:tc>
        <w:tc>
          <w:tcPr>
            <w:tcW w:w="2048" w:type="dxa"/>
            <w:tcMar>
              <w:right w:w="0" w:type="dxa"/>
            </w:tcMar>
            <w:vAlign w:val="top"/>
          </w:tcPr>
          <w:p>
            <w:pPr>
              <w:pStyle w:val="TabelaTexto"/>
              <w:keepNext/>
              <w:jc w:val="center"/>
            </w:pPr>
            <w:r>
              <w:rPr>
                <w:sz w:val="22"/>
                <w:szCs w:val="22"/>
              </w:rPr>
              <w:t xml:space="preserve">1,08650</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0,1628</w:t>
            </w:r>
          </w:p>
        </w:tc>
        <w:tc>
          <w:tcPr>
            <w:tcW w:w="2158" w:type="dxa"/>
            <w:vAlign w:val="top"/>
          </w:tcPr>
          <w:p>
            <w:pPr>
              <w:pStyle w:val="TabelaTexto"/>
              <w:keepNext/>
              <w:jc w:val="center"/>
            </w:pPr>
            <w:r>
              <w:rPr>
                <w:sz w:val="22"/>
                <w:szCs w:val="22"/>
              </w:rPr>
              <w:t xml:space="preserve">0,1116</w:t>
            </w:r>
          </w:p>
        </w:tc>
        <w:tc>
          <w:tcPr>
            <w:tcW w:w="2048" w:type="dxa"/>
            <w:tcMar>
              <w:right w:w="0" w:type="dxa"/>
            </w:tcMar>
            <w:vAlign w:val="top"/>
          </w:tcPr>
          <w:p>
            <w:pPr>
              <w:pStyle w:val="TabelaTexto"/>
              <w:keepNext/>
              <w:jc w:val="center"/>
            </w:pPr>
            <w:r>
              <w:rPr>
                <w:sz w:val="22"/>
                <w:szCs w:val="22"/>
              </w:rPr>
              <w:t xml:space="preserve">0,1604</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0,1419</w:t>
            </w:r>
          </w:p>
        </w:tc>
        <w:tc>
          <w:tcPr>
            <w:tcW w:w="2158" w:type="dxa"/>
            <w:vAlign w:val="top"/>
          </w:tcPr>
          <w:p>
            <w:pPr>
              <w:pStyle w:val="TabelaTexto"/>
              <w:keepNext/>
              <w:jc w:val="center"/>
            </w:pPr>
            <w:r>
              <w:rPr>
                <w:sz w:val="22"/>
                <w:szCs w:val="22"/>
              </w:rPr>
              <w:t xml:space="preserve">0,0956</w:t>
            </w:r>
          </w:p>
        </w:tc>
        <w:tc>
          <w:tcPr>
            <w:tcW w:w="2048" w:type="dxa"/>
            <w:tcMar>
              <w:right w:w="0" w:type="dxa"/>
            </w:tcMar>
            <w:vAlign w:val="top"/>
          </w:tcPr>
          <w:p>
            <w:pPr>
              <w:pStyle w:val="TabelaTexto"/>
              <w:keepNext/>
              <w:jc w:val="center"/>
            </w:pPr>
            <w:r>
              <w:rPr>
                <w:sz w:val="22"/>
                <w:szCs w:val="22"/>
              </w:rPr>
              <w:t xml:space="preserve">0,1077</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0,3575, em 162,08°</w:t>
            </w:r>
          </w:p>
        </w:tc>
        <w:tc>
          <w:tcPr>
            <w:tcW w:w="2158" w:type="dxa"/>
            <w:vAlign w:val="top"/>
          </w:tcPr>
          <w:p>
            <w:pPr>
              <w:pStyle w:val="TabelaTexto"/>
              <w:keepNext/>
              <w:jc w:val="center"/>
            </w:pPr>
            <w:r>
              <w:rPr>
                <w:sz w:val="22"/>
                <w:szCs w:val="22"/>
              </w:rPr>
              <w:t xml:space="preserve">0,2595, em 21,39°</w:t>
            </w:r>
          </w:p>
        </w:tc>
        <w:tc>
          <w:tcPr>
            <w:tcW w:w="2048" w:type="dxa"/>
            <w:tcMar>
              <w:right w:w="0" w:type="dxa"/>
            </w:tcMar>
            <w:vAlign w:val="top"/>
          </w:tcPr>
          <w:p>
            <w:pPr>
              <w:pStyle w:val="TabelaTexto"/>
              <w:keepNext/>
              <w:jc w:val="center"/>
            </w:pPr>
            <w:r>
              <w:rPr>
                <w:sz w:val="22"/>
                <w:szCs w:val="22"/>
              </w:rPr>
              <w:t xml:space="preserve">0,3644,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0,5614</w:t>
            </w:r>
          </w:p>
        </w:tc>
        <w:tc>
          <w:tcPr>
            <w:tcW w:w="2158" w:type="dxa"/>
            <w:vAlign w:val="top"/>
          </w:tcPr>
          <w:p>
            <w:pPr>
              <w:pStyle w:val="TabelaTexto"/>
              <w:keepNext/>
              <w:jc w:val="center"/>
            </w:pPr>
            <w:r>
              <w:rPr>
                <w:sz w:val="22"/>
                <w:szCs w:val="22"/>
              </w:rPr>
              <w:t xml:space="preserve">0,8545</w:t>
            </w:r>
          </w:p>
        </w:tc>
        <w:tc>
          <w:tcPr>
            <w:tcW w:w="2048" w:type="dxa"/>
            <w:tcMar>
              <w:right w:w="0" w:type="dxa"/>
            </w:tcMar>
            <w:vAlign w:val="top"/>
          </w:tcPr>
          <w:p>
            <w:pPr>
              <w:pStyle w:val="TabelaTexto"/>
              <w:keepNext/>
              <w:jc w:val="center"/>
            </w:pPr>
            <w:r>
              <w:rPr>
                <w:sz w:val="22"/>
                <w:szCs w:val="22"/>
              </w:rPr>
              <w:t xml:space="preserve">0,9387</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77,342</w:t>
            </w:r>
          </w:p>
        </w:tc>
        <w:tc>
          <w:tcPr>
            <w:tcW w:w="2158" w:type="dxa"/>
            <w:vAlign w:val="top"/>
          </w:tcPr>
          <w:p>
            <w:pPr>
              <w:pStyle w:val="TabelaTexto"/>
              <w:keepNext/>
              <w:jc w:val="center"/>
            </w:pPr>
            <w:r>
              <w:rPr>
                <w:sz w:val="22"/>
                <w:szCs w:val="22"/>
              </w:rPr>
              <w:t xml:space="preserve">193,955</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1,25852</w:t>
            </w:r>
          </w:p>
        </w:tc>
        <w:tc>
          <w:tcPr>
            <w:tcW w:w="2158" w:type="dxa"/>
            <w:vAlign w:val="top"/>
          </w:tcPr>
          <w:p>
            <w:pPr>
              <w:pStyle w:val="TabelaTexto"/>
              <w:keepNext/>
              <w:jc w:val="center"/>
            </w:pPr>
            <w:r>
              <w:rPr>
                <w:sz w:val="22"/>
                <w:szCs w:val="22"/>
              </w:rPr>
              <w:t xml:space="preserve">0,50185</w:t>
            </w:r>
          </w:p>
        </w:tc>
        <w:tc>
          <w:tcPr>
            <w:tcW w:w="2048" w:type="dxa"/>
            <w:tcMar>
              <w:right w:w="0" w:type="dxa"/>
            </w:tcMar>
            <w:vAlign w:val="top"/>
          </w:tcPr>
          <w:p>
            <w:pPr>
              <w:pStyle w:val="TabelaTexto"/>
              <w:keepNext/>
              <w:jc w:val="center"/>
            </w:pPr>
            <w:r>
              <w:rPr>
                <w:sz w:val="22"/>
                <w:szCs w:val="22"/>
              </w:rPr>
              <w:t xml:space="preserve">0,27504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0,4341</w:t>
            </w:r>
          </w:p>
        </w:tc>
        <w:tc>
          <w:tcPr>
            <w:tcW w:w="2158" w:type="dxa"/>
            <w:tcBorders>
              <w:bottom w:val="single" w:sz="8" w:space="0" w:color="000000"/>
            </w:tcBorders>
            <w:vAlign w:val="top"/>
          </w:tcPr>
          <w:p>
            <w:pPr>
              <w:pStyle w:val="TabelaTexto"/>
              <w:jc w:val="center"/>
            </w:pPr>
            <w:r>
              <w:rPr>
                <w:sz w:val="22"/>
                <w:szCs w:val="22"/>
              </w:rPr>
              <w:t xml:space="preserve">0,3228</w:t>
            </w:r>
          </w:p>
        </w:tc>
        <w:tc>
          <w:tcPr>
            <w:tcW w:w="2048" w:type="dxa"/>
            <w:tcBorders>
              <w:bottom w:val="single" w:sz="8" w:space="0" w:color="000000"/>
            </w:tcBorders>
            <w:tcMar>
              <w:right w:w="0" w:type="dxa"/>
            </w:tcMar>
            <w:vAlign w:val="top"/>
          </w:tcPr>
          <w:p>
            <w:pPr>
              <w:pStyle w:val="TabelaTexto"/>
              <w:jc w:val="center"/>
            </w:pPr>
            <w:r>
              <w:rPr>
                <w:sz w:val="22"/>
                <w:szCs w:val="22"/>
              </w:rPr>
              <w:t xml:space="preserve">0,2531</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8,70 mm na curva pontilhada e 29,60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0,50185 N/mm e F(90°) = 97,34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2" w:name="_Toc0092"/>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221,841</w:t>
            </w:r>
          </w:p>
        </w:tc>
        <w:tc>
          <w:tcPr>
            <w:tcW w:w="2158" w:type="dxa"/>
            <w:vAlign w:val="top"/>
          </w:tcPr>
          <w:p>
            <w:pPr>
              <w:pStyle w:val="TabelaTexto"/>
              <w:keepNext/>
              <w:jc w:val="center"/>
            </w:pPr>
            <w:r>
              <w:rPr>
                <w:sz w:val="22"/>
                <w:szCs w:val="22"/>
              </w:rPr>
              <w:t xml:space="preserve">154,277</w:t>
            </w:r>
          </w:p>
        </w:tc>
        <w:tc>
          <w:tcPr>
            <w:tcW w:w="2048" w:type="dxa"/>
            <w:tcMar>
              <w:right w:w="0" w:type="dxa"/>
            </w:tcMar>
            <w:vAlign w:val="top"/>
          </w:tcPr>
          <w:p>
            <w:pPr>
              <w:pStyle w:val="TabelaTexto"/>
              <w:keepNext/>
              <w:jc w:val="center"/>
            </w:pPr>
            <w:r>
              <w:rPr>
                <w:sz w:val="22"/>
                <w:szCs w:val="22"/>
              </w:rPr>
              <w:t xml:space="preserve">88,842</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21,62%</w:t>
            </w:r>
          </w:p>
        </w:tc>
        <w:tc>
          <w:tcPr>
            <w:tcW w:w="2158" w:type="dxa"/>
            <w:vAlign w:val="top"/>
          </w:tcPr>
          <w:p>
            <w:pPr>
              <w:pStyle w:val="TabelaTexto"/>
              <w:keepNext/>
              <w:jc w:val="center"/>
            </w:pPr>
            <w:r>
              <w:rPr>
                <w:sz w:val="22"/>
                <w:szCs w:val="22"/>
              </w:rPr>
              <w:t xml:space="preserve">6,60%</w:t>
            </w:r>
          </w:p>
        </w:tc>
        <w:tc>
          <w:tcPr>
            <w:tcW w:w="2048" w:type="dxa"/>
            <w:tcMar>
              <w:right w:w="0" w:type="dxa"/>
            </w:tcMar>
            <w:vAlign w:val="top"/>
          </w:tcPr>
          <w:p>
            <w:pPr>
              <w:pStyle w:val="TabelaTexto"/>
              <w:keepNext/>
              <w:jc w:val="center"/>
            </w:pPr>
            <w:r>
              <w:rPr>
                <w:sz w:val="22"/>
                <w:szCs w:val="22"/>
              </w:rPr>
              <w:t xml:space="preserve">6,57%</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0,1013</w:t>
            </w:r>
          </w:p>
        </w:tc>
        <w:tc>
          <w:tcPr>
            <w:tcW w:w="2158" w:type="dxa"/>
            <w:vAlign w:val="top"/>
          </w:tcPr>
          <w:p>
            <w:pPr>
              <w:pStyle w:val="TabelaTexto"/>
              <w:keepNext/>
              <w:jc w:val="center"/>
            </w:pPr>
            <w:r>
              <w:rPr>
                <w:sz w:val="22"/>
                <w:szCs w:val="22"/>
              </w:rPr>
              <w:t xml:space="preserve">0,8541</w:t>
            </w:r>
          </w:p>
        </w:tc>
        <w:tc>
          <w:tcPr>
            <w:tcW w:w="2048" w:type="dxa"/>
            <w:tcMar>
              <w:right w:w="0" w:type="dxa"/>
            </w:tcMar>
            <w:vAlign w:val="top"/>
          </w:tcPr>
          <w:p>
            <w:pPr>
              <w:pStyle w:val="TabelaTexto"/>
              <w:keepNext/>
              <w:jc w:val="center"/>
            </w:pPr>
            <w:r>
              <w:rPr>
                <w:sz w:val="22"/>
                <w:szCs w:val="22"/>
              </w:rPr>
              <w:t xml:space="preserve">0,9013</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35,55%</w:t>
            </w:r>
          </w:p>
        </w:tc>
        <w:tc>
          <w:tcPr>
            <w:tcW w:w="2158" w:type="dxa"/>
            <w:vAlign w:val="top"/>
          </w:tcPr>
          <w:p>
            <w:pPr>
              <w:pStyle w:val="TabelaTexto"/>
              <w:keepNext/>
              <w:jc w:val="center"/>
            </w:pPr>
            <w:r>
              <w:rPr>
                <w:sz w:val="22"/>
                <w:szCs w:val="22"/>
              </w:rPr>
              <w:t xml:space="preserve">12,90%</w:t>
            </w:r>
          </w:p>
        </w:tc>
        <w:tc>
          <w:tcPr>
            <w:tcW w:w="2048" w:type="dxa"/>
            <w:tcMar>
              <w:right w:w="0" w:type="dxa"/>
            </w:tcMar>
            <w:vAlign w:val="top"/>
          </w:tcPr>
          <w:p>
            <w:pPr>
              <w:pStyle w:val="TabelaTexto"/>
              <w:keepNext/>
              <w:jc w:val="center"/>
            </w:pPr>
            <w:r>
              <w:rPr>
                <w:sz w:val="22"/>
                <w:szCs w:val="22"/>
              </w:rPr>
              <w:t xml:space="preserve">3,43%</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−1,4289</w:t>
            </w:r>
          </w:p>
        </w:tc>
        <w:tc>
          <w:tcPr>
            <w:tcW w:w="2158" w:type="dxa"/>
            <w:tcBorders>
              <w:bottom w:val="single" w:sz="8" w:space="0" w:color="000000"/>
            </w:tcBorders>
            <w:vAlign w:val="top"/>
          </w:tcPr>
          <w:p>
            <w:pPr>
              <w:pStyle w:val="TabelaTexto"/>
              <w:jc w:val="center"/>
            </w:pPr>
            <w:r>
              <w:rPr>
                <w:sz w:val="22"/>
                <w:szCs w:val="22"/>
              </w:rPr>
              <w:t xml:space="preserve">0,4429</w:t>
            </w:r>
          </w:p>
        </w:tc>
        <w:tc>
          <w:tcPr>
            <w:tcW w:w="2048" w:type="dxa"/>
            <w:tcBorders>
              <w:bottom w:val="single" w:sz="8" w:space="0" w:color="000000"/>
            </w:tcBorders>
            <w:tcMar>
              <w:right w:w="0" w:type="dxa"/>
            </w:tcMar>
            <w:vAlign w:val="top"/>
          </w:tcPr>
          <w:p>
            <w:pPr>
              <w:pStyle w:val="TabelaTexto"/>
              <w:jc w:val="center"/>
            </w:pPr>
            <w:r>
              <w:rPr>
                <w:sz w:val="22"/>
                <w:szCs w:val="22"/>
              </w:rPr>
              <w:t xml:space="preserve">0,9731</w:t>
            </w:r>
          </w:p>
        </w:tc>
      </w:tr>
    </w:tbl>
    <w:p>
      <w:pPr>
        <w:pStyle w:val="FonteNota"/>
      </w:pPr>
      <w:r>
        <w:rPr>
          <w:sz w:val="20"/>
          <w:szCs w:val="20"/>
        </w:rPr>
        <w:t xml:space="preserve">Fonte: elaborada pelo autor.</w:t>
      </w:r>
    </w:p>
    <w:p>
      <w:pPr>
        <w:pStyle w:val="FonteNota"/>
      </w:pPr>
      <w:r>
        <w:rPr>
          <w:sz w:val="20"/>
          <w:szCs w:val="20"/>
        </w:rPr>
        <w:t xml:space="preserve">Nota: no ajuste conjunto, c = 1,5051, comum às três curvas; na força constante, c é ajustado por curva.</w:t>
      </w:r>
    </w:p>
    <w:p>
      <w:r>
        <w:t xml:space="preserve">O ajuste conjunto ordena os comprimentos de referência como as pré-tensões descritas em [0093]: s</w:t>
      </w:r>
      <w:r>
        <w:rPr>
          <w:vertAlign w:val="subscript"/>
        </w:rPr>
        <w:t xml:space="preserve">0</w:t>
      </w:r>
      <w:r>
        <w:t xml:space="preserve"> = 221,841 mm na curva pontilhada, 154,277 mm na tracejada e 88,842 mm na contínua; menor s</w:t>
      </w:r>
      <w:r>
        <w:rPr>
          <w:vertAlign w:val="subscript"/>
        </w:rPr>
        <w:t xml:space="preserve">0</w:t>
      </w:r>
      <w: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rPr>
        <w:t xml:space="preserve">0</w:t>
      </w:r>
      <w:r>
        <w:t xml:space="preserve"> = 0, e as outras duas com erros de 35,55% e 12,90%.</w:t>
      </w:r>
    </w:p>
    <w:p>
      <w:r>
        <w:t xml:space="preserve">A pré-tensão da curva pontilhada, descrita como quase nula [0093], também diverge do ajuste de forma. Pelo critério da seção 4B.4, a extensão em 180°, essa curva teria 20,37 mm com o s</w:t>
      </w:r>
      <w:r>
        <w:rPr>
          <w:vertAlign w:val="subscript"/>
        </w:rPr>
        <w:t xml:space="preserve">0</w:t>
      </w:r>
      <w:r>
        <w:t xml:space="preserve"> individual e 75,09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3" w:name="_Toc0093"/>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3"/>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4" w:name="_Toc0094"/>
      <w:r>
        <w:t xml:space="preserve">4B.6</w:t>
      </w:r>
      <w:r>
        <w:tab/>
      </w:r>
      <w:r>
        <w:t xml:space="preserve">Parâmetros do modelo</w:t>
      </w:r>
      <w:bookmarkEnd w:id="94"/>
    </w:p>
    <w:p>
      <w:pPr>
        <w:pStyle w:val="SemRecuo"/>
      </w:pPr>
      <w:r>
        <w:t xml:space="preserve">A Tabela 21 resume a situação dos parâmetros que a patente não publica, no formato da Tabela 8.</w:t>
      </w:r>
    </w:p>
    <w:p>
      <w:pPr>
        <w:pStyle w:val="Legenda"/>
        <w:spacing w:after="258"/>
        <w:jc w:val="center"/>
      </w:pPr>
      <w:bookmarkStart w:id="95" w:name="_Toc0095"/>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1,45915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 [0099]</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Não incluídos</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Falta a posição do eixo da articulação no Fusion</w:t>
            </w:r>
          </w:p>
        </w:tc>
      </w:tr>
    </w:tbl>
    <w:p>
      <w:pPr>
        <w:pStyle w:val="FonteNota"/>
      </w:pPr>
      <w:r>
        <w:rPr>
          <w:sz w:val="20"/>
          <w:szCs w:val="20"/>
        </w:rPr>
        <w:t xml:space="preserve">Fonte: elaborada pelo autor.</w:t>
      </w:r>
    </w:p>
    <w:p>
      <w:pPr>
        <w:pStyle w:val="Ttulo3"/>
      </w:pPr>
      <w:bookmarkStart w:id="96" w:name="_Toc0096"/>
      <w:r>
        <w:t xml:space="preserve">4B.7</w:t>
      </w:r>
      <w:r>
        <w:tab/>
      </w:r>
      <w:r>
        <w:t xml:space="preserve">Comportamento do elástico e do mecanismo</w:t>
      </w:r>
      <w:bookmarkEnd w:id="96"/>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7" w:name="_Toc0097"/>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148,89 N a 14,21 N. O ajuste de forma levaria a valores bem diferentes: com s</w:t>
      </w:r>
      <w:r>
        <w:rPr>
          <w:vertAlign w:val="subscript"/>
        </w:rPr>
        <w:t xml:space="preserve">0</w:t>
      </w:r>
      <w:r>
        <w:t xml:space="preserve"> = 159,944 mm, a extensão iria de 229,29 a 136,99 mm, com deformação de 143,4%, e a força, com o K</w:t>
      </w:r>
      <w:r>
        <w:rPr>
          <w:vertAlign w:val="subscript"/>
        </w:rPr>
        <w:t xml:space="preserve">40</w:t>
      </w:r>
      <w:r>
        <w:t xml:space="preserve"> correspondente, de 115,07 a 68,75 N. A viabilidade dessas extensões depende do elemento elástico, que a patente não especifica.</w:t>
      </w:r>
    </w:p>
    <w:p>
      <w:pPr>
        <w:pStyle w:val="Ttulo3"/>
      </w:pPr>
      <w:bookmarkStart w:id="98" w:name="_Toc0098"/>
      <w:r>
        <w:t xml:space="preserve">4B.8</w:t>
      </w:r>
      <w:r>
        <w:tab/>
      </w:r>
      <w:r>
        <w:t xml:space="preserve">Varredura paramétrica do trecho </w:t>
      </w:r>
      <w:r>
        <w:rPr>
          <w:i/>
          <w:iCs/>
        </w:rPr>
        <w:t xml:space="preserve">e</w:t>
      </w:r>
      <w:r>
        <w:t xml:space="preserve"> da alavanca</w:t>
      </w:r>
      <w:bookmarkEnd w:id="98"/>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9" w:name="_Toc0099"/>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1,45915 N/mm</w:t>
      </w:r>
      <w:bookmarkEnd w:id="9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3,296</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3,274</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3,822</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3,754</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4,354</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4,220</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4,965</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4,736</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5,580</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5,241</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rPr>
        <w:t xml:space="preserve">g</w:t>
      </w:r>
      <w:r>
        <w:t xml:space="preserve"> da família têm máximo entre 54,4° e 75,6°, que ocorre mais cedo quanto maior o trecho </w:t>
      </w:r>
      <w:r>
        <w:rPr>
          <w:i/>
          <w:iCs/>
        </w:rPr>
        <w:t xml:space="preserve">e</w:t>
      </w:r>
      <w: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100" w:name="_Toc0100"/>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100"/>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1" w:name="_Toc0101"/>
      <w:r>
        <w:t xml:space="preserve">4B.9</w:t>
      </w:r>
      <w:r>
        <w:tab/>
      </w:r>
      <w:r>
        <w:t xml:space="preserve">Confronto com o torque gravitacional</w:t>
      </w:r>
      <w:bookmarkEnd w:id="101"/>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r>
        <w:t xml:space="preserve">Com o s</w:t>
      </w:r>
      <w:r>
        <w:rPr>
          <w:vertAlign w:val="subscript"/>
        </w:rPr>
        <w:t xml:space="preserve">0</w:t>
      </w:r>
      <w: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2" w:name="_Toc0102"/>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2"/>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4,354 N·m em θ</w:t>
      </w:r>
      <w:r>
        <w:rPr>
          <w:vertAlign w:val="subscript"/>
        </w:rPr>
        <w:t xml:space="preserve">el</w:t>
      </w:r>
      <w:r>
        <w:t xml:space="preserve"> = 78,8°, e a razão τ/τ</w:t>
      </w:r>
      <w:r>
        <w:rPr>
          <w:vertAlign w:val="subscript"/>
        </w:rPr>
        <w:t xml:space="preserve">g</w:t>
      </w:r>
      <w:r>
        <w:t xml:space="preserve"> vai de 0,35 em 30° a 0,43 em 60°, 0,40 em 90° e 0,20 em 150°, com 0,19 em 170°. A força e a extensão do elástico nesse cenário estão na seção 4B.7.</w:t>
      </w:r>
    </w:p>
    <w:p>
      <w:pPr>
        <w:pStyle w:val="Legenda"/>
        <w:spacing w:after="258"/>
        <w:jc w:val="center"/>
      </w:pPr>
      <w:bookmarkStart w:id="103" w:name="_Toc0103"/>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1,45915 N/mm</w:t>
      </w:r>
      <w:bookmarkEnd w:id="10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147,26</w:t>
            </w:r>
          </w:p>
        </w:tc>
        <w:tc>
          <w:tcPr>
            <w:tcW w:w="934" w:type="dxa"/>
            <w:vAlign w:val="top"/>
          </w:tcPr>
          <w:p>
            <w:pPr>
              <w:pStyle w:val="TabelaTextoMenor"/>
              <w:keepNext/>
              <w:jc w:val="center"/>
            </w:pPr>
            <w:r>
              <w:rPr>
                <w:sz w:val="20"/>
                <w:szCs w:val="20"/>
              </w:rPr>
              <w:t xml:space="preserve">0,887</w:t>
            </w:r>
          </w:p>
        </w:tc>
        <w:tc>
          <w:tcPr>
            <w:tcW w:w="978" w:type="dxa"/>
            <w:vAlign w:val="top"/>
          </w:tcPr>
          <w:p>
            <w:pPr>
              <w:pStyle w:val="TabelaTextoMenor"/>
              <w:keepNext/>
              <w:jc w:val="center"/>
            </w:pPr>
            <w:r>
              <w:rPr>
                <w:sz w:val="20"/>
                <w:szCs w:val="20"/>
              </w:rPr>
              <w:t xml:space="preserve">1,832</w:t>
            </w:r>
          </w:p>
        </w:tc>
        <w:tc>
          <w:tcPr>
            <w:tcW w:w="769" w:type="dxa"/>
            <w:tcMar>
              <w:right w:w="0" w:type="dxa"/>
            </w:tcMar>
            <w:vAlign w:val="top"/>
          </w:tcPr>
          <w:p>
            <w:pPr>
              <w:pStyle w:val="TabelaTextoMenor"/>
              <w:keepNext/>
              <w:jc w:val="center"/>
            </w:pPr>
            <w:r>
              <w:rPr>
                <w:sz w:val="20"/>
                <w:szCs w:val="20"/>
              </w:rPr>
              <w:t xml:space="preserve">0,484</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143,47</w:t>
            </w:r>
          </w:p>
        </w:tc>
        <w:tc>
          <w:tcPr>
            <w:tcW w:w="934" w:type="dxa"/>
            <w:vAlign w:val="top"/>
          </w:tcPr>
          <w:p>
            <w:pPr>
              <w:pStyle w:val="TabelaTextoMenor"/>
              <w:keepNext/>
              <w:jc w:val="center"/>
            </w:pPr>
            <w:r>
              <w:rPr>
                <w:sz w:val="20"/>
                <w:szCs w:val="20"/>
              </w:rPr>
              <w:t xml:space="preserve">1,825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0,346</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126,38</w:t>
            </w:r>
          </w:p>
        </w:tc>
        <w:tc>
          <w:tcPr>
            <w:tcW w:w="934" w:type="dxa"/>
            <w:vAlign w:val="top"/>
          </w:tcPr>
          <w:p>
            <w:pPr>
              <w:pStyle w:val="TabelaTextoMenor"/>
              <w:keepNext/>
              <w:jc w:val="center"/>
            </w:pPr>
            <w:r>
              <w:rPr>
                <w:sz w:val="20"/>
                <w:szCs w:val="20"/>
              </w:rPr>
              <w:t xml:space="preserve">3,952</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0,433</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97,34</w:t>
            </w:r>
          </w:p>
        </w:tc>
        <w:tc>
          <w:tcPr>
            <w:tcW w:w="934" w:type="dxa"/>
            <w:vAlign w:val="top"/>
          </w:tcPr>
          <w:p>
            <w:pPr>
              <w:pStyle w:val="TabelaTextoMenor"/>
              <w:keepNext/>
              <w:jc w:val="center"/>
            </w:pPr>
            <w:r>
              <w:rPr>
                <w:sz w:val="20"/>
                <w:szCs w:val="20"/>
              </w:rPr>
              <w:t xml:space="preserve">4,220</w:t>
            </w:r>
          </w:p>
        </w:tc>
        <w:tc>
          <w:tcPr>
            <w:tcW w:w="978" w:type="dxa"/>
            <w:vAlign w:val="top"/>
          </w:tcPr>
          <w:p>
            <w:pPr>
              <w:pStyle w:val="TabelaTextoMenor"/>
              <w:keepNext/>
              <w:jc w:val="center"/>
            </w:pPr>
            <w:r>
              <w:rPr>
                <w:sz w:val="20"/>
                <w:szCs w:val="20"/>
              </w:rPr>
              <w:t xml:space="preserve">10,550</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62,79</w:t>
            </w:r>
          </w:p>
        </w:tc>
        <w:tc>
          <w:tcPr>
            <w:tcW w:w="934" w:type="dxa"/>
            <w:vAlign w:val="top"/>
          </w:tcPr>
          <w:p>
            <w:pPr>
              <w:pStyle w:val="TabelaTextoMenor"/>
              <w:keepNext/>
              <w:jc w:val="center"/>
            </w:pPr>
            <w:r>
              <w:rPr>
                <w:sz w:val="20"/>
                <w:szCs w:val="20"/>
              </w:rPr>
              <w:t xml:space="preserve">2,830</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0,310</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31,81</w:t>
            </w:r>
          </w:p>
        </w:tc>
        <w:tc>
          <w:tcPr>
            <w:tcW w:w="934" w:type="dxa"/>
            <w:vAlign w:val="top"/>
          </w:tcPr>
          <w:p>
            <w:pPr>
              <w:pStyle w:val="TabelaTextoMenor"/>
              <w:keepNext/>
              <w:jc w:val="center"/>
            </w:pPr>
            <w:r>
              <w:rPr>
                <w:sz w:val="20"/>
                <w:szCs w:val="20"/>
              </w:rPr>
              <w:t xml:space="preserve">1,075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0,204</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18,07</w:t>
            </w:r>
          </w:p>
        </w:tc>
        <w:tc>
          <w:tcPr>
            <w:tcW w:w="934" w:type="dxa"/>
            <w:tcBorders>
              <w:bottom w:val="single" w:sz="8" w:space="0" w:color="000000"/>
            </w:tcBorders>
            <w:vAlign w:val="top"/>
          </w:tcPr>
          <w:p>
            <w:pPr>
              <w:pStyle w:val="TabelaTextoMenor"/>
              <w:jc w:val="center"/>
            </w:pPr>
            <w:r>
              <w:rPr>
                <w:sz w:val="20"/>
                <w:szCs w:val="20"/>
              </w:rPr>
              <w:t xml:space="preserve">0,350</w:t>
            </w:r>
          </w:p>
        </w:tc>
        <w:tc>
          <w:tcPr>
            <w:tcW w:w="978" w:type="dxa"/>
            <w:tcBorders>
              <w:bottom w:val="single" w:sz="8" w:space="0" w:color="000000"/>
            </w:tcBorders>
            <w:vAlign w:val="top"/>
          </w:tcPr>
          <w:p>
            <w:pPr>
              <w:pStyle w:val="TabelaTextoMenor"/>
              <w:jc w:val="center"/>
            </w:pPr>
            <w:r>
              <w:rPr>
                <w:sz w:val="20"/>
                <w:szCs w:val="20"/>
              </w:rPr>
              <w:t xml:space="preserve">1,832</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0,191</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3B.10); τ</w:t>
      </w:r>
      <w:r>
        <w:rPr>
          <w:sz w:val="20"/>
          <w:szCs w:val="20"/>
          <w:vertAlign w:val="subscript"/>
        </w:rPr>
        <w:t xml:space="preserve">g</w:t>
      </w:r>
      <w:r>
        <w:rPr>
          <w:sz w:val="20"/>
          <w:szCs w:val="20"/>
        </w:rPr>
        <w:t xml:space="preserve"> considera só o membro humano.</w:t>
      </w:r>
    </w:p>
    <w:p>
      <w:pPr>
        <w:pStyle w:val="Legenda"/>
        <w:jc w:val="both"/>
      </w:pPr>
      <w:bookmarkStart w:id="104" w:name="_Toc0104"/>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humano e alvo de 40%</w:t>
      </w:r>
      <w:bookmarkEnd w:id="104"/>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1,43382 a 1,49390 N/mm, e o pico de τ, de 4,346 a 4,365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83,72° e 177,42°,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5" w:name="_Toc0105"/>
      <w:r>
        <w:t xml:space="preserve">4B.10</w:t>
      </w:r>
      <w:r>
        <w:tab/>
      </w:r>
      <w:r>
        <w:t xml:space="preserve">Limitações dos resultados</w:t>
      </w:r>
      <w:bookmarkEnd w:id="105"/>
    </w:p>
    <w:p>
      <w:pPr>
        <w:pStyle w:val="SemRecuo"/>
      </w:pPr>
      <w: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6" w:name="_Toc0106"/>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3B.5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3B.5)</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em [0099]</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7" w:name="_Toc0107"/>
      <w:r>
        <w:t xml:space="preserve">4B.11</w:t>
      </w:r>
      <w:r>
        <w:tab/>
      </w:r>
      <w:r>
        <w:t xml:space="preserve">Comparação com o exoesqueleto 1</w:t>
      </w:r>
      <w:bookmarkEnd w:id="107"/>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pStyle w:val="Legenda"/>
        <w:spacing w:after="258"/>
        <w:jc w:val="center"/>
      </w:pPr>
      <w:bookmarkStart w:id="108" w:name="_Toc0108"/>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0,561 a 0,939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149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Só o membro humano, pico de 10,550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9" w:name="_Toc0109"/>
      <w:r>
        <w:t xml:space="preserve">Capítulo 5</w:t>
      </w:r>
      <w:r>
        <w:br/>
      </w:r>
      <w:r>
        <w:t xml:space="preserve">Conclusão</w:t>
      </w:r>
      <w:bookmarkEnd w:id="109"/>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10" w:name="_Toc0110"/>
      <w:r>
        <w:t xml:space="preserve">5A</w:t>
      </w:r>
      <w:r>
        <w:tab/>
      </w:r>
      <w:r>
        <w:t xml:space="preserve">Exoesqueleto 1: US 9.889.554 B2</w:t>
      </w:r>
      <w:bookmarkEnd w:id="110"/>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1" w:name="_Toc0111"/>
      <w:r>
        <w:t xml:space="preserve">5B</w:t>
      </w:r>
      <w:r>
        <w:tab/>
      </w:r>
      <w:r>
        <w:t xml:space="preserve">Exoesqueleto 2: EP 3 504 033 B1</w:t>
      </w:r>
      <w:bookmarkEnd w:id="111"/>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rPr>
        <w:t xml:space="preserve">g</w:t>
      </w:r>
      <w:r>
        <w:t xml:space="preserve"> vale 0,48 em 10°, 0,35 em 30°, 0,43 em 60°, 0,40 em 90° e 0,20 em 150°, com mínimo de 0,18 em 163,9°.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a posição do eixo da articulação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2" w:name="_Toc0112"/>
      <w:r>
        <w:t xml:space="preserve">Referências</w:t>
      </w:r>
      <w:bookmarkEnd w:id="112"/>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Ning, Y. et al. Design and analysis of upper limb passive exoskeleton robot for lift assist. </w:t>
      </w:r>
      <w:r>
        <w:rPr>
          <w:b/>
          <w:bCs/>
        </w:rPr>
        <w:t xml:space="preserve">Journal of Physics: Conference Series</w:t>
      </w:r>
      <w:r>
        <w:t xml:space="preserve">, [S.l.], v. 2410, art. 012020, 2022. DOI: </w:t>
      </w:r>
      <w:hyperlink r:id="rId58" w:history="1">
        <w:r>
          <w:rPr>
            <w:rFonts w:ascii="Linux Libertine Mono O" w:hAnsi="Linux Libertine Mono O" w:cs="Linux Libertine Mono O"/>
            <w:sz w:val="21"/>
            <w:szCs w:val="21"/>
          </w:rPr>
          <w:t xml:space="preserve">10.​1088/​1742-​6596/​2410/​1/​012020</w:t>
        </w:r>
      </w:hyperlink>
      <w:r>
        <w:t xml:space="preserve">.</w:t>
      </w:r>
    </w:p>
    <w:p>
      <w:pPr>
        <w:pStyle w:val="Referencia"/>
      </w:pPr>
      <w:r>
        <w:t xml:space="preserve">Ning, Y. et al. Structure design and analysis of upper limb wearable passive power-assisted exoskeleton robot. </w:t>
      </w:r>
      <w:r>
        <w:rPr>
          <w:b/>
          <w:bCs/>
        </w:rPr>
        <w:t xml:space="preserve">Journal of Physics: Conference Series</w:t>
      </w:r>
      <w:r>
        <w:t xml:space="preserve">, [S.l.], v. 2489, art. 012008, 2023. DOI: </w:t>
      </w:r>
      <w:hyperlink r:id="rId59" w:history="1">
        <w:r>
          <w:rPr>
            <w:rFonts w:ascii="Linux Libertine Mono O" w:hAnsi="Linux Libertine Mono O" w:cs="Linux Libertine Mono O"/>
            <w:sz w:val="21"/>
            <w:szCs w:val="21"/>
          </w:rPr>
          <w:t xml:space="preserve">10.​1088/​1742-​6596/​2489/​1/​012008</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60"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2025. Manuscrito CND-25-1354, submetido para publicação.</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61"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2"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3"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4"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5"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6"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7"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8"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9"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70"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71"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2"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3" w:history="1">
        <w:r>
          <w:rPr>
            <w:rFonts w:ascii="Linux Libertine Mono O" w:hAnsi="Linux Libertine Mono O" w:cs="Linux Libertine Mono O"/>
            <w:sz w:val="21"/>
            <w:szCs w:val="21"/>
          </w:rPr>
          <w:t xml:space="preserve">10.3390/machines10121223</w:t>
        </w:r>
      </w:hyperlink>
      <w:r>
        <w:t xml:space="preserve">.</w:t>
      </w:r>
    </w:p>
    <w:sectPr>
      <w:headerReference w:type="default" r:id="rId75"/>
      <w:headerReference w:type="first" r:id="rId76"/>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1088/1742-6596/2410/1/012020" TargetMode="External"/><Relationship Id="rId59" Type="http://schemas.openxmlformats.org/officeDocument/2006/relationships/hyperlink" Target="https://doi.org/10.1088/1742-6596/2489/1/012008" TargetMode="External"/><Relationship Id="rId60" Type="http://schemas.openxmlformats.org/officeDocument/2006/relationships/hyperlink" Target="https://doi.org/10.3390/asi8040114" TargetMode="External"/><Relationship Id="rId61" Type="http://schemas.openxmlformats.org/officeDocument/2006/relationships/hyperlink" Target="https://doi.org/10.3390/technologies10010022" TargetMode="External"/><Relationship Id="rId62" Type="http://schemas.openxmlformats.org/officeDocument/2006/relationships/hyperlink" Target="https://doi.org/10.1109/TMECH.2007.901934" TargetMode="External"/><Relationship Id="rId63" Type="http://schemas.openxmlformats.org/officeDocument/2006/relationships/hyperlink" Target="https://doi.org/10.1017/S0263574714000034" TargetMode="External"/><Relationship Id="rId64" Type="http://schemas.openxmlformats.org/officeDocument/2006/relationships/hyperlink" Target="https://doi.org/10.1109/TMRB.2023.3275761" TargetMode="External"/><Relationship Id="rId65" Type="http://schemas.openxmlformats.org/officeDocument/2006/relationships/hyperlink" Target="https://doi.org/10.3390/ijerph17041243" TargetMode="External"/><Relationship Id="rId66" Type="http://schemas.openxmlformats.org/officeDocument/2006/relationships/hyperlink" Target="https://doi.org/10.1016/B978-0-12-814659-0.00001-1" TargetMode="External"/><Relationship Id="rId67" Type="http://schemas.openxmlformats.org/officeDocument/2006/relationships/hyperlink" Target="https://doi.org/10.1016/j.promfg.2017.07.252" TargetMode="External"/><Relationship Id="rId68" Type="http://schemas.openxmlformats.org/officeDocument/2006/relationships/hyperlink" Target="https://www.suitx.com/en/products/ix-shoulder-air-exoskeleton" TargetMode="External"/><Relationship Id="rId69" Type="http://schemas.openxmlformats.org/officeDocument/2006/relationships/hyperlink" Target="https://doi.org/10.1136/oemed-2017-104339" TargetMode="External"/><Relationship Id="rId70" Type="http://schemas.openxmlformats.org/officeDocument/2006/relationships/hyperlink" Target="https://doi.org/10.1038/s41592-019-0686-2" TargetMode="External"/><Relationship Id="rId71" Type="http://schemas.openxmlformats.org/officeDocument/2006/relationships/hyperlink" Target="https://doi.org/10.1109/TMECH.2022.3154087" TargetMode="External"/><Relationship Id="rId72" Type="http://schemas.openxmlformats.org/officeDocument/2006/relationships/hyperlink" Target="https://doi.org/10.1177/0954406215616415" TargetMode="External"/><Relationship Id="rId73" Type="http://schemas.openxmlformats.org/officeDocument/2006/relationships/hyperlink" Target="https://doi.org/10.3390/machines10121223" TargetMode="External"/><Relationship Id="rId74" Type="http://schemas.openxmlformats.org/officeDocument/2006/relationships/image" Target="media/imagem13.png"/><Relationship Id="rId75" Type="http://schemas.openxmlformats.org/officeDocument/2006/relationships/header" Target="header11.xml"/><Relationship Id="rId76"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