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55A95" w14:textId="77777777" w:rsidR="00FD1B34" w:rsidRPr="00955B75" w:rsidRDefault="003B1183">
      <w:pPr>
        <w:pStyle w:val="Ttulo1"/>
        <w:rPr>
          <w:lang w:val="pt-BR"/>
        </w:rPr>
      </w:pPr>
      <w:r>
        <w:rPr>
          <w:lang w:val="pt-BR"/>
        </w:rPr>
        <w:t>Modelagem e simulação de mecanismos passivos de apoio ao braço</w:t>
      </w:r>
    </w:p>
    <w:p w14:paraId="2F70FE64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 INTRODUÇÃO</w:t>
      </w:r>
    </w:p>
    <w:p w14:paraId="1CDC0A56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Vários setores como: Montagem automotiva, construção civil, solda e manutenção industrial exigem do trabalhador a manutenção dos braços elevados, muitas vezes acima da linha dos ombros. A análise de van der Molen et al. (2017) associa a elevação dos braços ao dobro do risco de distúrbios na articulação ombro, e Seidler et al. (2020) estimam aumento de 21% no risco a cada mil horas de trabalho com as mãos acima dessa linha.</w:t>
      </w:r>
    </w:p>
    <w:p w14:paraId="40854E1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Em 2025, no Brasil, foram concedidos 4,12 milhões afastamentos por incapacidade temporária, e as lesões do ombro (CID M75) ficaram entre as maiores causas, com 135.093 concessões (AGÊNCIA BRASIL, 2026). Na série de 2008 a 2018, os distúrbios osteomusculares relacionados ao trabalho responderam por 786.923 benefícios acidentários, e o CID M75 foi a razão de afastamento mais frequente entre as mulheres (MANOEL; CAVALCANTE, 2025).</w:t>
      </w:r>
    </w:p>
    <w:p w14:paraId="5510F7A8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Os exoesqueletos surgem, então, como uma das respostas a esse problema. Os modelos passivos, que devolvem ao usuário a energia armazenada em molas, são os modelos predominantes no meio industrial por serem leves, baratos e independentes de fonte externa de energia (DE LOOZE et al., 2016; REYES et al., 2023). Revisões de estudos experimentais sugerem redução consistente da atividade dos deltoides e do trapézio durante o trabalho acima da cabeça (BÄR et al., 2021; MOELLER et al., 2022).</w:t>
      </w:r>
    </w:p>
    <w:p w14:paraId="06F9D02F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Em um dispositivo passivo o auxílio é consequência da geometria do mecanismo e da mola. O torque entregue é uma função do ângulo de elevação, e projetar o dispositivo significa aproximar essa curva do torque gravitacional do braço. Quando as duas curvas se afastam, o exoesqueleto ajuda demais em uma faixa e de menos em outra, provocando uma compensação com a musculatura do usuário (NASR; FERGUSON; McPHEE, 2022).</w:t>
      </w:r>
    </w:p>
    <w:p w14:paraId="38B460FC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Os modelos que chegaram ao mercado estão descritos em patentes, que detalham o mecanismo, mas não permitem quantificá-lo: apesar de conter as curvas de torque nos eixos, nenhuma delas informa massa, inércia ou rigidez. Avaliar um mecanismo desses exige reconstruir sua geometria e resolver o problema em duas etapas, o equilíbrio estático, que dimensiona a compensação de gravidade, e a dinâmica multicorpos, que expõe inércia, forças de Coriolis e atrito durante o movimento real.</w:t>
      </w:r>
    </w:p>
    <w:p w14:paraId="7AF96914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Este trabalho trata dessa lacuna: modelar e simular, de forma integrada, o comportamento estático e dinâmico de mecanismos passivos de apoio ao braço reconstruídos a partir de suas patentes, usando formulações amplamente conhecidas como a formulação de Lagrange e parâmetros antropométricos de referência.</w:t>
      </w:r>
    </w:p>
    <w:p w14:paraId="4D4113A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 Objetivos</w:t>
      </w:r>
    </w:p>
    <w:p w14:paraId="549CFE4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1.1.1 Objetivo geral</w:t>
      </w:r>
    </w:p>
    <w:p w14:paraId="25D4FF75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Modelar e simular o comportamento estático e dinâmico de mecanismos passivos de apoio ao braço descritos em patentes, tomando como caso de referência o gerador de torque de mola da US 9.889.554 </w:t>
        <w:lastRenderedPageBreak/>
        <w:t>B2, US 9.737.374 B2 e da EP 3 504 033 B1 e comparar o torque entregue pelo mecanismo ao torque gravitacional do conjunto braço–exoesqueleto ao longo da faixa de elevação.</w:t>
      </w:r>
    </w:p>
    <w:p w14:paraId="7758EE69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1.1.2 Objetivos específicos</w:t>
      </w:r>
    </w:p>
    <w:p w14:paraId="29BF3A37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a) reconstruir em CAD a geometria do gerador de torque a partir dos desenhos da patente e extrair massa, centro de massa e momentos de inércia de cada peça;</w:t>
      </w:r>
    </w:p>
    <w:p w14:paraId="2829246D" w14:textId="77777777" w:rsidR="00FD1B34" w:rsidRPr="00955B75" w:rsidRDefault="003B1183">
      <w:pPr>
        <w:rPr>
          <w:lang w:val="pt-BR"/>
        </w:rPr>
      </w:pPr>
      <w:r>
        <w:rPr>
          <w:lang w:val="pt-BR"/>
        </w:rPr>
        <w:t>b) estimar os parâmetros inerciais de braço, antebraço e mão segundo de Leva (1996) e transportá-los ao eixo da junta pelo teorema dos eixos paralelos;</w:t>
      </w:r>
    </w:p>
    <w:p w14:paraId="4D673846" w14:textId="77777777" w:rsidR="00FD1B34" w:rsidRPr="00955B75" w:rsidRDefault="003B1183">
      <w:pPr>
        <w:rPr>
          <w:lang w:val="pt-BR"/>
        </w:rPr>
      </w:pPr>
      <w:r>
        <w:rPr>
          <w:lang w:val="pt-BR"/>
        </w:rPr>
        <w:t>c) formular a cinemática de circuito fechado do mecanismo, obtendo o comprimento do cabo, a condição de tangência na polia, o braço de momento e o torque em função do ângulo;</w:t>
      </w:r>
    </w:p>
    <w:p w14:paraId="0BE6A4A2" w14:textId="77777777" w:rsidR="00FD1B34" w:rsidRPr="00955B75" w:rsidRDefault="003B1183">
      <w:pPr>
        <w:rPr>
          <w:lang w:val="pt-BR"/>
        </w:rPr>
      </w:pPr>
      <w:r>
        <w:rPr>
          <w:lang w:val="pt-BR"/>
        </w:rPr>
        <w:t>d) identificar, por mínimos quadrados e sob restrições geométricas declaradas, os parâmetros que a patente não informa — posição da ancoragem, comprimento livre e rigidez da mola e calibração angular;</w:t>
      </w:r>
    </w:p>
    <w:p w14:paraId="2A468E1B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e) calcular, de forma independente da cadeia do cabo, o torque gravitacional do conjunto braço–exoesqueleto e confrontar as duas curvas ao longo da faixa de elevação;</w:t>
      </w:r>
    </w:p>
    <w:p w14:paraId="6FC65E9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f) obter a equação de movimento pela formulação de Lagrange e integrá-la numericamente, avaliando a resposta sob velocidades e acelerações transitórias;</w:t>
      </w:r>
    </w:p>
    <w:p w14:paraId="28271328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g) acoplar o modelo ao MBDyn por meio de força estrutural externa, com troca de dados via </w:t>
      </w:r>
      <w:r>
        <w:rPr>
          <w:i/>
          <w:lang w:val="pt-BR"/>
        </w:rPr>
        <w:t>socket</w:t>
      </w:r>
      <w:r>
        <w:rPr>
          <w:lang w:val="pt-BR"/>
        </w:rPr>
        <w:t xml:space="preserve">, para a simulação multicorpos do conjunto humano–exoesqueleto.</w:t>
      </w:r>
    </w:p>
    <w:p w14:paraId="7E16B2C7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1.2 Justificativa</w:t>
      </w:r>
    </w:p>
    <w:p w14:paraId="47D586E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auxílio de um exoesqueleto passivo depende apenas da geometria e da mola, parâmetros que são definidos durante o projeto e inalteráveis após a manufatura do modelo. Um modelo confiável permite estudar rigidez, pré-carga e posição dos suportes antes do protótipo físico, quando mudar ainda é barato, e permite comparar mecanismos concorrentes sobre a mesma base quantitativa — algo que as patentes, por si, não oferecem.</w:t>
      </w:r>
    </w:p>
    <w:p w14:paraId="65A573FB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escolha de ferramentas livres, Python e MBDyn, torna o modelo reprodutível por outros grupos e extensível a sistemas multicorpos mais completos. E o tema tem endereço local: as lesões de ombro continuam entre as principais causas de afastamento no país, em setores que concentram trabalho acima da cabeça.</w:t>
      </w:r>
    </w:p>
    <w:p w14:paraId="175F4E23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 FUNDAMENTAÇÃO TEÓRICA</w:t>
      </w:r>
    </w:p>
    <w:p w14:paraId="3E45420C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2.1 Carga do ombro no trabalho acima da cabeça</w:t>
      </w:r>
    </w:p>
    <w:p w14:paraId="02039C15" w14:textId="77777777" w:rsidR="00FD1B34" w:rsidRPr="00955B75" w:rsidRDefault="003B1183">
      <w:pPr>
        <w:rPr>
          <w:lang w:val="pt-BR"/>
        </w:rPr>
      </w:pPr>
      <w:r>
        <w:rPr>
          <w:lang w:val="pt-BR"/>
        </w:rPr>
        <w:t>Durante atividades que exigem a manutenção dos braços elevados, o sistema musculoesquelético é submetido a demandas intensas de torque articular (MOELLER et al., 2022; PERRY; ROSEN; BURNS, 2007). A contração dos músculos flexores e abdutores para vencer a gravidade induz à fadiga precoce e eleva o risco de Distúrbios Osteomusculares Relacionados ao Trabalho (DORT).</w:t>
      </w:r>
    </w:p>
    <w:p w14:paraId="5F877D4F" w14:textId="77777777" w:rsidR="00FD1B34" w:rsidRPr="00955B75" w:rsidRDefault="003B1183">
      <w:pPr>
        <w:rPr>
          <w:lang w:val="pt-BR"/>
        </w:rPr>
      </w:pPr>
      <w:r>
        <w:rPr>
          <w:lang w:val="pt-BR"/>
        </w:rPr>
        <w:lastRenderedPageBreak/>
        <w:t xml:space="preserve">A evidência epidemiológica disponível indica relação dose-dependente entre a exposição postural e o desfecho clínico. A meta-análise de van der Molen et al. (2017) atribui à elevação de braços e mãos a duplicação do risco de distúrbios específicos do ombro, enquanto Seidler et al. (2020) quantificam acréscimo de 21% no risco a cada mil horas acumuladas de trabalho com as mãos acima da linha dos ombros — faixa angular na qual se intensifica a compressão subacromial sobre os tendões do manguito rotador.</w:t>
      </w:r>
    </w:p>
    <w:p w14:paraId="6BDF3BEE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 torque exigido do ombro depende do ângulo de elevação (</w:t>
      </w:r>
      <w:r>
        <w:t>θ</w:t>
      </w:r>
      <w:r>
        <w:rPr>
          <w:lang w:val="pt-BR"/>
        </w:rPr>
        <w:t xml:space="preserve">). Sob condições estáticas ou semiestáticas, o momento gravitacional sobre o conjunto braço–antebraço varia proporcionalmente ao seno do ângulo articular, com pico quando o segmento fica perpendicular ao vetor da gravidade, a 90° de elevação (GRAZI et al., 2020; PALAZZI et al., 2022). É esse perfil que qualquer dispositivo de apoio precisa acompanhar.</w:t>
      </w:r>
    </w:p>
    <w:p w14:paraId="6E0B107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2.2 Exoesqueletos de membro superior</w:t>
      </w:r>
    </w:p>
    <w:p w14:paraId="3982D056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Avanços na robótica e na biomecânica aceleraram o desenvolvimento de exoesqueletos que interagem com a estrutura musculoesquelética humana (GULL; BAI; BAK, 2020). Na reabilitação, apoiam pacientes com sequelas neurológicas, como as do Acidente Vascular Cerebral (BARSOTTI et al., 2015; BOUTERAA; BEN ABDALLAH, 2016; ZEIAEE et al., 2017); na indústria, reduzem a sobrecarga física de trabalhadores (MOELLER et al., 2022; SPADA et al., 2017).</w:t>
      </w:r>
    </w:p>
    <w:p w14:paraId="6A7F54DF" w14:textId="77777777" w:rsidR="00FD1B34" w:rsidRPr="00BE1C36" w:rsidRDefault="003B1183">
      <w:pPr>
        <w:rPr>
          <w:lang w:val="pt-BR"/>
        </w:rPr>
      </w:pPr>
      <w:r>
        <w:rPr>
          <w:lang w:val="pt-BR"/>
        </w:rPr>
        <w:t xml:space="preserve">Quanto à fonte de energia empregada, tais dispositivos classificam-se em ativos, que incorporam atuadores, sensores e malhas de controle (PERRY; ROSEN; BURNS, 2007; RAHMAN et al., 2015); passivos, que armazenam e restituem energia por meio de elementos elásticos, sem qualquer fonte externa de potência; e semipassivos, que regulam mecanicamente o nível de assistência sem, contudo, injetar energia no movimento (GRAZI et al., 2020). No contexto ocupacional de apoio ao ombro, as arquiteturas passivas predominam, e o estado da arte, os desafios abertos e as direções futuras de pesquisa desse grupo encontram-se sistematizados por Reyes et al. (2023).</w:t>
      </w:r>
    </w:p>
    <w:p w14:paraId="31E7E2D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No caso dos dispositivos ativos, o desempenho é condicionado tanto pela arquitetura mecânica quanto pela instrumentação responsável por estimar a intenção de movimento do usuário. Atia et al. (2018) acompanham a cinemática do braço por unidades inerciais em protótipo de baixo custo, ao passo que Obukhov et al. (2025) recorrem à fusão de eletromiografia, unidades inerciais e rastreadores de realidade virtual para classificar a atividade motora que comanda o exoesqueleto. Tal aparato instrumental inexiste nos dispositivos passivos, nos quais a assistência fica integralmente determinada na etapa de projeto do mecanismo — circunstância que confere ao modelo preditivo um peso que ele não teria em um sistema controlado.</w:t>
      </w:r>
    </w:p>
    <w:p w14:paraId="27F697FE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Entre os passivos destinados ao levantamento de cargas, Ning et al. (2023) organizam a estrutura em módulos de braço, ombro e costas e dimensionam o conjunto a partir da tração da mola. Os efeitos documentados pela literatura experimental apresentam direção consistente, porém magnitude variável: a meta-análise de Bär et al. (2021) reúne as reduções de esforço físico agudo associadas ao uso de exoesqueletos ocupacionais, e Moeller et al. (2022) registram diminuição da atividade de deltoide e trapézio na maioria dos 35 estudos revisados, acompanhada, entretanto, de efeitos indesejados quando o ajuste do dispositivo não corresponde à tarefa executada.</w:t>
      </w:r>
    </w:p>
    <w:p w14:paraId="3A31BA19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lastRenderedPageBreak/>
        <w:t>2.3 Compensação de gravidade em mecanismos passivos</w:t>
      </w:r>
    </w:p>
    <w:p w14:paraId="20BD2E38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compensação de gravidade constitui problema clássico da síntese de mecanismos. Arakelian (2016) sistematiza as soluções em três grupos, definidos pela natureza da força compensadora — contrapesos, molas ou força ativa proveniente de atuador auxiliar —, e Nguyen (2026) atualiza o panorama das alternativas estritamente passivas e de seus limites de aplicação. Em exoesqueletos vestíveis, a inviabilidade do contrapeso impõe o predomínio da solução elástica, quase sempre associada a cabos, polias ou cames encarregados de moldar a curva de torque; nessa linha, Ning et al. (2022) projetam o perfil da came a partir do módulo de armazenamento de energia da mola e validam o resultado por eletromiografia.</w:t>
      </w:r>
    </w:p>
    <w:p w14:paraId="14A2EBB8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 patente US 9.889.554 B2 (VAN ENGELHOVEN; KAZEROONI, 2018) descreve arranjo dessa natureza: um elo proximal, solidário a uma base fixada ao tronco, articula-se com um elo distal que acompanha o braço, e um gerador de força de tração, constituído por mola e cabo tensionado sobre uma polia, produz o torque de apoio. Abaixo de um ângulo de transição (</w:t>
      </w:r>
      <w:r>
        <w:rPr>
          <w:i/>
          <w:lang w:val="pt-BR"/>
        </w:rPr>
        <w:t xml:space="preserve">toggle angle</w:t>
      </w:r>
      <w:r>
        <w:rPr>
          <w:lang w:val="pt-BR"/>
        </w:rPr>
        <w:t>), uma protuberância situada junto à junta restringe a mola, de modo que o torque decai a valor residual e o membro recupera liberdade de movimento. A patente EP 3 504 033 B1 (OTTOBOCK, 2023), por sua vez, endereça o mesmo problema por caminho construtivo distinto, transmitindo a força de um atuador passivo por meio de elemento rígido apoiado na pelve.</w:t>
      </w:r>
    </w:p>
    <w:p w14:paraId="4939AF5C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Em ambos os documentos, contudo, as figuras exibem apenas a forma dos perfis de torque, desprovidas de escala nos eixos, o que inviabiliza o aproveitamento direto dos dados publicados e motiva a reconstrução geométrica adotada neste trabalho.</w:t>
      </w:r>
    </w:p>
    <w:p w14:paraId="45093B2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2.4 Curva torque × ângulo e ajuste ao perfil gravitacional</w:t>
      </w:r>
    </w:p>
    <w:p w14:paraId="0E2E519C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mapeamento da curva torque × ângulo gerada pelo mecanismo permite alinhar o perfil de suporte elástico à curva anatômica de carga do braço, otimizando a entrega de torque nas posições de maior exigência (NING et al., 2022; OKABE; BRITTES; BRITO, 2026). Palazzi et al. (2022) mostram, em um exoesqueleto balanceado por gravidade, redução de 89% no torque de pico do ombro quando esse ajuste é bem resolvido.</w:t>
      </w:r>
    </w:p>
    <w:p w14:paraId="21FD8160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ajuste, entretanto, encontra limite intrínseco à natureza passiva do dispositivo. Nasr, Ferguson e McPhee (2022) otimizam mecanismos passivos de ombro mediante simulação dinâmica inversa e equações algébrico-diferenciais e concluem que um mecanismo dessa classe entrega torque específico para cada ângulo de elevação, condição que o torna adequado a uma tarefa e inadequado às demais. Daí decorrem as soluções semipassivas de assistência regulável (GRAZI et al., 2020) e as configurações ativo-passivas (NASR; BELL; McPHEE, 2023); na primeira direção, Grazi et al. (2022) regulam o nível de assistência em tempo real a partir dos sinais cinemáticos captados pelos próprios sensores embarcados no dispositivo.</w:t>
      </w:r>
    </w:p>
    <w:p w14:paraId="15590017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2.5 Compatibilidade cinemática e forças de interface</w:t>
      </w:r>
    </w:p>
    <w:p w14:paraId="12653F63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membro superior tem arquitetura anatômica complexa, com destaque para o complexo do ombro, modelável como junta de três graus de rotação cujo centro glenoumeral se desloca durante a elevação do braço (GOPURA; KIGUCHI, 2009; SHEN et al., 2020). Os desalinhamentos entre os eixos de rotação da estrutura e as articulações biológicas geram hiperestaticidade e, com ela, forças parasitas de </w:t>
        <w:lastRenderedPageBreak/>
        <w:t>cisalhamento e pressão excessiva nos apoios de fixação, comprometendo conforto e eficiência (ZEIAEE et al., 2017).</w:t>
      </w:r>
    </w:p>
    <w:p w14:paraId="513D61F3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Näf et al. (2018) revisam nove categorias de estratégias de compensação de desalinhamento e as avaliam segundo o domínio de aplicação e os requisitos específicos de cada um, ao passo que Yoon et al. (2022) demonstram que a otimização da posição das juntas de um exoesqueleto de ombro reduz simultaneamente a força de interação e o volume ocupado pela estrutura. Tais forças de contato constituem, precisamente, uma das grandezas de saída que o modelo desenvolvido neste trabalho se propõe a estimar.</w:t>
      </w:r>
    </w:p>
    <w:p w14:paraId="3AE38ED4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 xml:space="preserve">2.6 Modelagem dinâmica multicorpos</w:t>
      </w:r>
    </w:p>
    <w:p w14:paraId="46EB35E7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 análise de equilíbrio estático dimensiona a compensação de gravidade (PALAZZI et al., 2022), mas durante o movimento real ela é sobreposta por componentes dinâmicas: matriz de inércia M(</w:t>
      </w:r>
      <w:r>
        <w:t>θ</w:t>
      </w:r>
      <w:r>
        <w:rPr>
          <w:lang w:val="pt-BR"/>
        </w:rPr>
        <w:t>), forças de Coriolis e centrífugas C(</w:t>
      </w:r>
      <w:r>
        <w:t>θ</w:t>
      </w:r>
      <w:r>
        <w:rPr>
          <w:lang w:val="pt-BR"/>
        </w:rPr>
        <w:t>,</w:t>
      </w:r>
      <w:r>
        <w:t>θ</w:t>
      </w:r>
      <w:r>
        <w:rPr>
          <w:lang w:val="pt-BR"/>
        </w:rPr>
        <w:t>'), atrito articular não linear com folga (</w:t>
      </w:r>
      <w:r>
        <w:rPr>
          <w:i/>
          <w:lang w:val="pt-BR"/>
        </w:rPr>
        <w:t>backlash</w:t>
      </w:r>
      <w:r>
        <w:rPr>
          <w:lang w:val="pt-BR"/>
        </w:rPr>
        <w:t xml:space="preserve">) e histerese nos mecanismos de transmissão (RAHMAN et al., 2015; WANG et al., 2022). Daí a necessidade de estender o modelo a uma análise multicorpos, pela formulação de Euler-Lagrange ou por equações algébrico-diferenciais, avaliando o comportamento sob velocidades e acelerações transitórias.</w:t>
      </w:r>
    </w:p>
    <w:p w14:paraId="487FC56B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Os parâmetros inerciais dos segmentos corporais que alimentam essa formulação provêm de tabelas antropométricas: de Leva (1996) ajusta os valores de Zatsiorsky e Seluyanov aos centros articulares, procedimento que viabiliza o transporte de massa e momentos de inércia ao eixo da junta do exoesqueleto pelo teorema dos eixos paralelos.</w:t>
      </w:r>
    </w:p>
    <w:p w14:paraId="68C5864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MBDyn, programa livre de dinâmica multicorpos desenvolvido no Politecnico di Milano, integra sistemas dessa natureza segundo a formulação apresentada por Masarati, Morandini e Mantegazza (2014) e admite forças externas trocadas por </w:t>
      </w:r>
      <w:r>
        <w:rPr>
          <w:i/>
          <w:lang w:val="pt-BR"/>
        </w:rPr>
        <w:t>socket</w:t>
      </w:r>
      <w:r>
        <w:rPr>
          <w:lang w:val="pt-BR"/>
        </w:rPr>
        <w:t xml:space="preserve">, o que viabiliza o acoplamento com um modelo implementado em Python. Trabalhos recentes percorrem esse caminho: Nasr, Ferguson e McPhee (2022) e Nasr, Bell e McPhee (2023) modelam o conjunto humano–exoesqueleto como cadeia cinemática fechada, enquanto Musso, Oliveira e Bai (2022) descrevem matematicamente um exoesqueleto passivo não rígido e o avaliam por simulação musculoesquelética.</w:t>
      </w:r>
    </w:p>
    <w:p w14:paraId="7CBDBEB6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2.7 Arquiteturas passivas de apoio ao ombro</w:t>
      </w:r>
    </w:p>
    <w:p w14:paraId="164A59A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Três arquiteturas comerciais consolidaram soluções distintas para esse mesmo problema. O shoulderX, desenvolvido na Universidade da Califórnia em Berkeley, gera o torque por conjunto mola–cabo–polia montado entre um elo proximal e um elo distal: a mola traciona um cabo que contorna a polia solidária ao elo distal, e uma protuberância junto à junta restringe o gerador de força além do ângulo de transição, instaurando a zona neutra em que o torque é praticamente nulo com o braço baixado (VAN ENGELHOVEN; KAZEROONI, 2018).</w:t>
      </w:r>
    </w:p>
    <w:p w14:paraId="3D5E6084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Airframe, da Levitate Technologies, adota sistema adaptativo de apoio no qual o elemento elástico é progressivamente engajado à medida que o braço se eleva, transferindo-se a carga ao tronco e à cintura pélvica (DOYLE, 2017). Já o Paexo, da Ottobock, emprega elemento elástico atuando sobre braço de alavanca ajustável, de modo que o suporte é máximo com o braço próximo da horizontal e se anula com o braço junto ao corpo (OTTOBOCK, 2023). Apesar das diferenças construtivas, as três soluções perseguem idêntico objetivo funcional: sintetizar, por meio da geometria e de um único elemento </w:t>
        <w:lastRenderedPageBreak/>
        <w:t>elástico, perfil de torque que acompanhe o momento gravitacional do membro superior ao longo da elevação.</w:t>
      </w:r>
    </w:p>
    <w:p w14:paraId="68A983A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avaliação experimental desses dispositivos evidencia, contudo, que o ganho não é automático. Kim et al. (2018a) relatam redução de até 45% no pico de atividade muscular do ombro em tarefas simuladas de furar e montar acima da cabeça, acompanhada de queda no tempo de execução e de aumento no número de erros; em trabalho complementar, os mesmos autores documentam efeitos não previstos sobre a cinemática do ombro, o equilíbrio postural e a carga na coluna (KIM et al., 2018b). A leitura de projeto que daí decorre é direta: o benefício depende menos da magnitude do torque fornecido do que de sua distribuição angular, o que converte o requisito de projeto em uma curva </w:t>
      </w:r>
      <w:r>
        <w:t>τ</w:t>
      </w:r>
      <w:r>
        <w:rPr>
          <w:lang w:val="pt-BR"/>
        </w:rPr>
        <w:t>(</w:t>
      </w:r>
      <w:r>
        <w:t>θ</w:t>
      </w:r>
      <w:r>
        <w:rPr>
          <w:lang w:val="pt-BR"/>
        </w:rPr>
        <w:t>), e não em valor isolado de torque máximo.</w:t>
      </w:r>
    </w:p>
    <w:p w14:paraId="4A2CF72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2.8 Balanceamento estático por molas</w:t>
      </w:r>
    </w:p>
    <w:p w14:paraId="3A13AB87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síntese de um perfil de torque por meio de molas dispõe de base teórica consolidada. Herder (2001) formaliza os sistemas de energia nula, nos quais a soma das energias potenciais gravitacional e elástica permanece constante em toda a faixa de movimento, e demonstra que o balanceamento perfeito exige molas de comprimento livre nulo, obtidas na prática por arranjos de cabo e polia.</w:t>
      </w:r>
    </w:p>
    <w:p w14:paraId="1FA831A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Wu, Wang e Du (2016) aplicam o princípio a um exoesqueleto de membro superior e relatam redução de 34,6% no consumo de potência em relação à configuração não balanceada. Em exoesqueletos vestíveis, porém, o balanceamento perfeito não constitui o alvo: as restrições de empacotamento, o curso admissível da mola e a exigência de anular o suporte com o braço baixado convertem o problema em exercício de projeto restrito, no qual se busca a melhor aproximação de um perfil desejado dentro de limites construtivos, e não a compensação integral do peso. Por essa razão, o torque de um mecanismo passivo resulta do produto entre a força elástica, função da extensão da mola, e o braço de momento do cabo, ambos dependentes da configuração de forma não linear.</w:t>
      </w:r>
    </w:p>
    <w:p w14:paraId="1284FAA8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2.9 Parâmetros inerciais do membro superior e transporte de eixos</w:t>
      </w:r>
    </w:p>
    <w:p w14:paraId="1290BA9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cálculo do torque gravitacional e das equações de movimento pressupõe o conhecimento da massa, da posição do centro de massa e dos momentos de inércia de braço, antebraço e mão. De Leva (1996) ajusta os dados de Zatsiorsky e Seluyanov, obtidos por varredura de raios gama, de modo que as posições de centro de massa e os raios de giração fiquem referenciados aos centros articulares usualmente adotados em biomecânica, e não aos marcos ósseos originais. Os valores são expressos como frações da massa corporal total e do comprimento do segmento, o que permite escalar o modelo para o indivíduo de referência adotado.</w:t>
      </w:r>
    </w:p>
    <w:p w14:paraId="555368EE" w14:textId="77777777" w:rsidR="00FD1B34" w:rsidRPr="00955B75" w:rsidRDefault="003B1183">
      <w:pPr>
        <w:rPr>
          <w:lang w:val="pt-BR"/>
        </w:rPr>
      </w:pPr>
      <w:r>
        <w:rPr>
          <w:lang w:val="pt-BR"/>
        </w:rPr>
        <w:t>Como tais parâmetros são fornecidos no centro de massa de cada segmento, sua transposição ao eixo da junta do exoesqueleto demanda o teorema dos eixos paralelos, segundo o qual o momento de inércia em eixo paralelo corresponde à soma do momento no centro de massa com o produto da massa pelo quadrado da distância entre os eixos. Cabe distinguir, nesse ponto, as duas grandezas que o procedimento alimenta: o momento estático do peso, dependente apenas da massa e do braço horizontal do centro de gravidade, e o momento de inércia, que descreve a resistência à aceleração angular e comparece exclusivamente na análise dinâmica.</w:t>
      </w:r>
    </w:p>
    <w:p w14:paraId="7BED5B2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lastRenderedPageBreak/>
        <w:t>2.10 Identificação de parâmetros a partir de curvas publicadas</w:t>
      </w:r>
    </w:p>
    <w:p w14:paraId="5BCE1E0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Quando os parâmetros construtivos não são divulgados pelo fabricante, resta identificá-los a partir daquilo que a patente efetivamente publica. As curvas de torque dessas fontes são, em geral, qualitativas: a ordenada aparece rotulada apenas como torque, sem unidade declarada, circunstância que permite ajustar a forma do perfil, mas não convertê-lo em newton-metro sem dado adicional documentado.</w:t>
      </w:r>
    </w:p>
    <w:p w14:paraId="0D6334B0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 procedimento usual consiste no ajuste por mínimos quadrados dos parâmetros desconhecidos contra os pontos extraídos da curva, sob restrições geométricas e de projeto explicitadas, avaliado por indicadores como a raiz do erro quadrático médio e o coeficiente de determinação. Dois cuidados distinguem um ajuste defensável de um exercício circular: a separação entre a etapa de identificação e a etapa de uso, com o congelamento dos parâmetros antes da avaliação do modelo, e a classificação de cada grandeza quanto à origem — medida, de literatura, identificada, derivada ou assumida — de modo que nenhum parâmetro ajustado seja apresentado como medida.</w:t>
      </w:r>
    </w:p>
    <w:p w14:paraId="31E8E941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2.11 Lacuna</w:t>
      </w:r>
    </w:p>
    <w:p w14:paraId="4F49279F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literatura revisada avalia, predominantemente, dispositivos já construídos, por meio de eletromiografia e questionários, ou otimiza mecanismos concebidos pelos próprios autores. Configura-se, assim, a ausência de uma comparação quantitativa entre os mecanismos passivos que efetivamente alcançaram o mercado, construída a partir da documentação pública de patente e conduzida do equilíbrio estático até a dinâmica multicorpos. É essa a contribuição pretendida pelo presente trabalho.</w:t>
      </w:r>
    </w:p>
    <w:p w14:paraId="4481E3C4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 MATERIAIS E MÉTODOS</w:t>
      </w:r>
    </w:p>
    <w:p w14:paraId="460BAA59" w14:textId="77777777" w:rsidR="009C1161" w:rsidRDefault="003B1183">
      <w:pPr>
        <w:rPr>
          <w:lang w:val="pt-BR"/>
        </w:rPr>
      </w:pPr>
      <w:r>
        <w:rPr>
          <w:lang w:val="pt-BR"/>
        </w:rPr>
        <w:t>O trabalho é teórico-computacional. O procedimento parte da reconstrução geométrica do mecanismo e chega ao torque estático que ele entrega em função do ângulo, passando pela identificação dos parâmetros que a patente não publica. Ele foi concebido para os geradores de torque da US 9.889.554 B2, da US 9.737.374 B2 e da EP 3 504 033 B1, mas, nesta etapa do trabalho, foi executado apenas para o gerador de torque da US 9.889.554 B2, ao qual se referem todas as equações deste capítulo e todos os resultados do capítulo 4.</w:t>
      </w:r>
    </w:p>
    <w:p w14:paraId="4892F17F" w14:textId="77777777" w:rsidR="009C1161" w:rsidRDefault="003B1183">
      <w:pPr>
        <w:rPr>
          <w:lang w:val="pt-BR"/>
        </w:rPr>
      </w:pPr>
      <w:r>
        <w:rPr>
          <w:lang w:val="pt-BR"/>
        </w:rPr>
        <w:t>Cada grandeza empregada é classificada quanto à origem: medida no modelo em CAD, obtida da literatura, documental (lida em desenho ou documento, sem verificação independente), identificada por ajuste à curva da patente, derivada pelo modelo ou assumida como hipótese. A classificação impede que um parâmetro ajustado seja apresentado como medida e que uma hipótese de projeto seja apresentada como lei física.</w:t>
      </w:r>
    </w:p>
    <w:p w14:paraId="484774D2" w14:textId="77777777" w:rsidR="009C1161" w:rsidRDefault="003B1183">
      <w:pPr>
        <w:rPr>
          <w:lang w:val="pt-BR"/>
        </w:rPr>
      </w:pPr>
      <w:r>
        <w:rPr>
          <w:lang w:val="pt-BR"/>
        </w:rPr>
        <w:t>A cadeia de cálculo descrita nas seções 3.3 a 3.8 está implementada no arquivo torque_model.py, que contém os parâmetros congelados e não executa ajuste algum. Os números e as figuras do capítulo 4 são produzidos pelo script tcc_resultados.py, que importa esse modelo e chama suas funções com a posição da ancoragem sempre explícita, sem alterar nenhum parâmetro.</w:t>
      </w:r>
    </w:p>
    <w:p w14:paraId="78597467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 Reconstrução geométrica em CAD</w:t>
      </w:r>
    </w:p>
    <w:p w14:paraId="1AD384A3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geometria do mecanismo foi reconstruída no Autodesk Fusion sobre os desenhos da patente, em especial a vista em corte do gerador de torque e o esquema simplificado que define o ângulo entre os </w:t>
        <w:lastRenderedPageBreak/>
        <w:t>elos e as distâncias características. Como as figuras de patente não são cotadas, o modelo foi escalado por um fator único, fixado pela razão entre o comprimento do elo distal reconstruído e o comprimento de segmento do indivíduo de referência.</w:t>
      </w:r>
    </w:p>
    <w:p w14:paraId="3F94266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Da reconstrução saem as grandezas geométricas do mecanismo — distância do pivô ao centro do tambor, raio do tambor, componentes do vetor que liga o pivô à ancoragem do cabo e defasagem angular do desenho —, a pose de referência, com o respectivo comprimento da mola. O mesmo modelo fornece massa, posição do centro de massa e momento de inércia de cada peça do exoesqueleto. Por dependerem do fator de escala e da interpretação de desenhos não cotados, essas grandezas são classificadas como medidas em CAD, e não como dimensões do dispositivo comercial.</w:t>
      </w:r>
    </w:p>
    <w:p w14:paraId="3190FD74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3.2 Parâmetros inerciais do membro e transporte ao eixo da junta</w:t>
      </w:r>
    </w:p>
    <w:p w14:paraId="2258170C" w14:textId="709982E4" w:rsidR="009C1161" w:rsidRDefault="003B1183">
      <w:pPr>
        <w:rPr>
          <w:lang w:val="pt-BR"/>
        </w:rPr>
      </w:pPr>
      <w:r>
        <w:rPr>
          <w:lang w:val="pt-BR"/>
        </w:rPr>
        <w:t xml:space="preserve">Massa, posição do centro de massa e raios de giro de braço, antebraço e mão foram obtidos das tabelas de de Leva (1996) para o indivíduo masculino de referência, com o cotovelo estendido. Os momentos de inércia de cada corpo, do membro e das peças do exoesqueleto, foram transportados ao eixo da junta pelo teorema de Steiner: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3838C6C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878DAE9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 w14:paraId="3F72F54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(1)</w:t>
            </w:r>
          </w:p>
        </w:tc>
      </w:tr>
    </w:tbl>
    <w:p w14:paraId="752F01FB" w14:textId="77777777" w:rsidR="009C1161" w:rsidRDefault="003B1183">
      <w:pPr>
        <w:rPr>
          <w:lang w:val="pt-BR"/>
        </w:rPr>
      </w:pPr>
      <w:r>
        <w:rPr>
          <w:lang w:val="pt-BR"/>
        </w:rPr>
        <w:t>em que I</w:t>
      </w:r>
      <w:r>
        <w:rPr>
          <w:vertAlign w:val="subscript"/>
          <w:lang w:val="pt-BR"/>
        </w:rPr>
        <w:t>O</w:t>
      </w:r>
      <w:r>
        <w:rPr>
          <w:lang w:val="pt-BR"/>
        </w:rPr>
        <w:t xml:space="preserve"> é o momento de inércia em relação ao eixo da junta, I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 o momento de inércia em relação ao eixo paralelo que passa pelo centro de massa, M a massa e d a distância entre os dois eixos. A composição foi feita em planilha, construída para recalcular o conjunto quando qualquer entrada muda. Conforme a seção 2.9, o momento de inércia não participa do torque estático do peso, que depende apenas da massa e da posição do centro de massa (seção 3.8); ele se destina à etapa dinâmica prevista na seção 3.12.</w:t>
      </w:r>
    </w:p>
    <w:p w14:paraId="276BE8C8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3.3 Referenciais e convenções angulares e de sinal</w:t>
      </w:r>
    </w:p>
    <w:p w14:paraId="71CDF80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mecanismo é tratado como plano, com origem O no eixo da junta (pivô). Comprimentos são expressos em milímetros e ângulos em graus na entrada, com uma única conversão para radianos dentro das contas. Quatro ângulos aparecem no cálculo e são mantidos separados, por serem fonte recorrente de erro (Tabela 1). O ângulo interno θ* entre os elos é a variável independente do modelo, e q é sua versão referida ao desenho: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1799A8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5B1074D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r>
                  <w:rPr>
                    <w:rFonts w:ascii="Cambria Math" w:hAnsi="Cambria Math"/>
                    <w:lang w:val="pt-BR"/>
                  </w:rPr>
                  <m:t>α</m:t>
                </m:r>
              </m:oMath>
            </m:oMathPara>
          </w:p>
        </w:tc>
        <w:tc>
          <w:tcPr>
            <w:tcW w:w="900" w:type="dxa"/>
            <w:vAlign w:val="center"/>
          </w:tcPr>
          <w:p w14:paraId="7371D808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(2)</w:t>
            </w:r>
          </w:p>
        </w:tc>
      </w:tr>
    </w:tbl>
    <w:p w14:paraId="612ADF93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θ* e a defasagem angular α do desenho convertidos para radianos. O ângulo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da curva publicada na patente, medido a partir da horizontal, e a elevação anatômica do braço, θ</w:t>
      </w:r>
      <w:r>
        <w:rPr>
          <w:vertAlign w:val="subscript"/>
          <w:lang w:val="pt-BR"/>
        </w:rPr>
        <w:t>el</w:t>
      </w:r>
      <w:r>
        <w:rPr>
          <w:lang w:val="pt-BR"/>
        </w:rPr>
        <w:t xml:space="preserve"> (denotada θ na seção 2.1), relacionam-se com θ* por</w:t>
      </w:r>
    </w:p>
    <w:tbl>
      <w:tblPr>
        <w:tblW w:w="9360" w:type="dxa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0606624F" w14:textId="77777777" w:rsidTr="00484427">
        <w:trPr>
          <w:cantSplit/>
          <w:jc w:val="center"/>
        </w:trPr>
        <w:tc>
          <w:tcPr>
            <w:tcW w:w="8460" w:type="dxa"/>
            <w:vAlign w:val="center"/>
          </w:tcPr>
          <w:p w14:paraId="44CFE7D7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pat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76FDE9F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(3)</w:t>
            </w:r>
          </w:p>
        </w:tc>
      </w:tr>
      <w:tr w:rsidR="009C1161" w14:paraId="1F06BFCE" w14:textId="77777777" w:rsidTr="00484427">
        <w:trPr>
          <w:cantSplit/>
          <w:jc w:val="center"/>
        </w:trPr>
        <w:tc>
          <w:tcPr>
            <w:tcW w:w="8460" w:type="dxa"/>
            <w:vAlign w:val="center"/>
          </w:tcPr>
          <w:p w14:paraId="3DF62A9F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el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pat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+90°=223,017°-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 w14:paraId="27CDD8E6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(4)</w:t>
            </w:r>
          </w:p>
        </w:tc>
      </w:tr>
    </w:tbl>
    <w:p w14:paraId="60F909E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= 133,017° é a calibração angular identificada (seção 3.9). A faixa da patente,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de −60° a +90,1°, corresponde a θ* de 42,917° a 193,017° e a elevação de 30° a 180,1°; a elevação cresce quando </w:t>
        <w:lastRenderedPageBreak/>
        <w:t xml:space="preserve">θ* decresce. O ângulo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não deve ser confundido com φ, direção da linha do cabo calculada pelo modelo (seção 3.4).</w:t>
      </w:r>
    </w:p>
    <w:p w14:paraId="4CFE4C2B" w14:textId="4EDFEBD9" w:rsidR="009C1161" w:rsidRDefault="003B1183">
      <w:pPr>
        <w:rPr>
          <w:lang w:val="pt-BR"/>
        </w:rPr>
      </w:pPr>
      <w:r>
        <w:rPr>
          <w:lang w:val="pt-BR"/>
        </w:rPr>
        <w:t xml:space="preserve">O torque τ do modelo é positivo no sentido anti-horário, isto é, no sentido de θ* crescente. A patente apresenta o torque do cabo positivo no sentido oposto, em que ele tende a elevar o braço; para uniformizar, a curva calculada comparada à da patente foi adotada −τ.</w:t>
      </w:r>
    </w:p>
    <w:p w14:paraId="52BCF89E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1 — Convenções angulares e de sinal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300"/>
        <w:gridCol w:w="3200"/>
        <w:gridCol w:w="2760"/>
        <w:gridCol w:w="2100"/>
      </w:tblGrid>
      <w:tr w:rsidR="009C1161" w14:paraId="3BE6BED3" w14:textId="77777777">
        <w:trPr>
          <w:cantSplit/>
          <w:tblHeader/>
          <w:jc w:val="center"/>
        </w:trPr>
        <w:tc>
          <w:tcPr>
            <w:tcW w:w="1300" w:type="dxa"/>
            <w:shd w:val="clear" w:color="auto" w:fill="F2F2F2"/>
            <w:vAlign w:val="center"/>
          </w:tcPr>
          <w:p w14:paraId="369AADE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670F1F7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Definição</w:t>
            </w:r>
          </w:p>
        </w:tc>
        <w:tc>
          <w:tcPr>
            <w:tcW w:w="2760" w:type="dxa"/>
            <w:shd w:val="clear" w:color="auto" w:fill="F2F2F2"/>
            <w:vAlign w:val="center"/>
          </w:tcPr>
          <w:p w14:paraId="4A37AF5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Relação</w:t>
            </w:r>
          </w:p>
        </w:tc>
        <w:tc>
          <w:tcPr>
            <w:tcW w:w="2100" w:type="dxa"/>
            <w:shd w:val="clear" w:color="auto" w:fill="F2F2F2"/>
            <w:vAlign w:val="center"/>
          </w:tcPr>
          <w:p w14:paraId="554E678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Uso</w:t>
            </w:r>
          </w:p>
        </w:tc>
      </w:tr>
      <w:tr w:rsidR="009C1161" w:rsidRPr="00F132A8" w14:paraId="74D1DAA3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1E33662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θ*</w:t>
            </w:r>
          </w:p>
        </w:tc>
        <w:tc>
          <w:tcPr>
            <w:tcW w:w="3200" w:type="dxa"/>
            <w:vAlign w:val="center"/>
          </w:tcPr>
          <w:p w14:paraId="34E2437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interno do mecanismo, entre os elos</w:t>
            </w:r>
          </w:p>
        </w:tc>
        <w:tc>
          <w:tcPr>
            <w:tcW w:w="2760" w:type="dxa"/>
            <w:vAlign w:val="center"/>
          </w:tcPr>
          <w:p w14:paraId="6743755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Variável independente, em graus</w:t>
            </w:r>
          </w:p>
        </w:tc>
        <w:tc>
          <w:tcPr>
            <w:tcW w:w="2100" w:type="dxa"/>
            <w:vAlign w:val="center"/>
          </w:tcPr>
          <w:p w14:paraId="21F9522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Toda a cadeia de cálculo</w:t>
            </w:r>
          </w:p>
        </w:tc>
      </w:tr>
      <w:tr w:rsidR="009C1161" w14:paraId="5989A1E4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1BDA71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q</w:t>
            </w:r>
          </w:p>
        </w:tc>
        <w:tc>
          <w:tcPr>
            <w:tcW w:w="3200" w:type="dxa"/>
            <w:vAlign w:val="center"/>
          </w:tcPr>
          <w:p w14:paraId="53BED06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θ* referido ao desenho, em radianos</w:t>
            </w:r>
          </w:p>
        </w:tc>
        <w:tc>
          <w:tcPr>
            <w:tcW w:w="2760" w:type="dxa"/>
            <w:vAlign w:val="center"/>
          </w:tcPr>
          <w:p w14:paraId="5A4EC79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(2)</w:t>
            </w:r>
          </w:p>
        </w:tc>
        <w:tc>
          <w:tcPr>
            <w:tcW w:w="2100" w:type="dxa"/>
            <w:vAlign w:val="center"/>
          </w:tcPr>
          <w:p w14:paraId="1B4C4F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Fechamento do circuito</w:t>
            </w:r>
          </w:p>
        </w:tc>
      </w:tr>
      <w:tr w:rsidR="009C1161" w14:paraId="2D262937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10149EE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φ</w:t>
            </w:r>
          </w:p>
        </w:tc>
        <w:tc>
          <w:tcPr>
            <w:tcW w:w="3200" w:type="dxa"/>
            <w:vAlign w:val="center"/>
          </w:tcPr>
          <w:p w14:paraId="02205C5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Direção da linha de ação do cabo</w:t>
            </w:r>
          </w:p>
        </w:tc>
        <w:tc>
          <w:tcPr>
            <w:tcW w:w="2760" w:type="dxa"/>
            <w:vAlign w:val="center"/>
          </w:tcPr>
          <w:p w14:paraId="2E83EC7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(8)</w:t>
            </w:r>
          </w:p>
        </w:tc>
        <w:tc>
          <w:tcPr>
            <w:tcW w:w="2100" w:type="dxa"/>
            <w:vAlign w:val="center"/>
          </w:tcPr>
          <w:p w14:paraId="16148B0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Tangência, braço e força</w:t>
            </w:r>
          </w:p>
        </w:tc>
      </w:tr>
      <w:tr w:rsidR="009C1161" w14:paraId="0E33EADD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2C07FA2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φ</w:t>
            </w:r>
            <w:r>
              <w:rPr>
                <w:vertAlign w:val="subscript"/>
                <w:lang w:val="pt-BR"/>
              </w:rPr>
              <w:t>pat</w:t>
            </w:r>
          </w:p>
        </w:tc>
        <w:tc>
          <w:tcPr>
            <w:tcW w:w="3200" w:type="dxa"/>
            <w:vAlign w:val="center"/>
          </w:tcPr>
          <w:p w14:paraId="49135A9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da curva publicada, a partir da horizontal</w:t>
            </w:r>
          </w:p>
        </w:tc>
        <w:tc>
          <w:tcPr>
            <w:tcW w:w="2760" w:type="dxa"/>
            <w:vAlign w:val="center"/>
          </w:tcPr>
          <w:p w14:paraId="068833B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θ* = θ</w:t>
            </w:r>
            <w:r>
              <w:rPr>
                <w:vertAlign w:val="subscript"/>
                <w:lang w:val="pt-BR"/>
              </w:rPr>
              <w:t>off</w:t>
            </w:r>
            <w:r>
              <w:rPr>
                <w:lang w:val="pt-BR"/>
              </w:rPr>
              <w:t xml:space="preserve"> − φ</w:t>
            </w:r>
            <w:r>
              <w:rPr>
                <w:vertAlign w:val="subscript"/>
                <w:lang w:val="pt-BR"/>
              </w:rPr>
              <w:t>pat</w:t>
            </w:r>
          </w:p>
        </w:tc>
        <w:tc>
          <w:tcPr>
            <w:tcW w:w="2100" w:type="dxa"/>
            <w:vAlign w:val="center"/>
          </w:tcPr>
          <w:p w14:paraId="3233F46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Leitura da patente</w:t>
            </w:r>
          </w:p>
        </w:tc>
      </w:tr>
      <w:tr w:rsidR="009C1161" w14:paraId="0C051FFF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78C5D2C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el</w:t>
            </w:r>
          </w:p>
        </w:tc>
        <w:tc>
          <w:tcPr>
            <w:tcW w:w="3200" w:type="dxa"/>
            <w:vAlign w:val="center"/>
          </w:tcPr>
          <w:p w14:paraId="5834533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Elevação anatômica do braço</w:t>
            </w:r>
          </w:p>
        </w:tc>
        <w:tc>
          <w:tcPr>
            <w:tcW w:w="2760" w:type="dxa"/>
            <w:vAlign w:val="center"/>
          </w:tcPr>
          <w:p w14:paraId="6A68677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el</w:t>
            </w:r>
            <w:r>
              <w:rPr>
                <w:lang w:val="pt-BR"/>
              </w:rPr>
              <w:t xml:space="preserve"> = φ</w:t>
            </w:r>
            <w:r>
              <w:rPr>
                <w:vertAlign w:val="subscript"/>
                <w:lang w:val="pt-BR"/>
              </w:rPr>
              <w:t>pat</w:t>
            </w:r>
            <w:r>
              <w:rPr>
                <w:lang w:val="pt-BR"/>
              </w:rPr>
              <w:t xml:space="preserve"> + 90°</w:t>
            </w:r>
          </w:p>
        </w:tc>
        <w:tc>
          <w:tcPr>
            <w:tcW w:w="2100" w:type="dxa"/>
            <w:vAlign w:val="center"/>
          </w:tcPr>
          <w:p w14:paraId="425683A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Comparação com o peso</w:t>
            </w:r>
          </w:p>
        </w:tc>
      </w:tr>
      <w:tr w:rsidR="009C1161" w14:paraId="6BF9CDA2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BA91EF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ψ</w:t>
            </w:r>
          </w:p>
        </w:tc>
        <w:tc>
          <w:tcPr>
            <w:tcW w:w="3200" w:type="dxa"/>
            <w:vAlign w:val="center"/>
          </w:tcPr>
          <w:p w14:paraId="62153BA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entre o cabo e o elo pivô–tambor</w:t>
            </w:r>
          </w:p>
        </w:tc>
        <w:tc>
          <w:tcPr>
            <w:tcW w:w="2760" w:type="dxa"/>
            <w:vAlign w:val="center"/>
          </w:tcPr>
          <w:p w14:paraId="639E344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(15)</w:t>
            </w:r>
          </w:p>
        </w:tc>
        <w:tc>
          <w:tcPr>
            <w:tcW w:w="2100" w:type="dxa"/>
            <w:vAlign w:val="center"/>
          </w:tcPr>
          <w:p w14:paraId="47498ED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Arco enrolado no tambor</w:t>
            </w:r>
          </w:p>
        </w:tc>
      </w:tr>
      <w:tr w:rsidR="009C1161" w14:paraId="0787EE31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69529F8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τ</w:t>
            </w:r>
          </w:p>
        </w:tc>
        <w:tc>
          <w:tcPr>
            <w:tcW w:w="3200" w:type="dxa"/>
            <w:vAlign w:val="center"/>
          </w:tcPr>
          <w:p w14:paraId="21BF22F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Torque do cabo no modelo</w:t>
            </w:r>
          </w:p>
        </w:tc>
        <w:tc>
          <w:tcPr>
            <w:tcW w:w="2760" w:type="dxa"/>
            <w:vAlign w:val="center"/>
          </w:tcPr>
          <w:p w14:paraId="3CAD093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Positivo no sentido de θ* crescente</w:t>
            </w:r>
          </w:p>
        </w:tc>
        <w:tc>
          <w:tcPr>
            <w:tcW w:w="2100" w:type="dxa"/>
            <w:vAlign w:val="center"/>
          </w:tcPr>
          <w:p w14:paraId="55465DC3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Cadeia de cálculo</w:t>
            </w:r>
          </w:p>
        </w:tc>
      </w:tr>
      <w:tr w:rsidR="009C1161" w14:paraId="7464AAFB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04C973F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−τ</w:t>
            </w:r>
          </w:p>
        </w:tc>
        <w:tc>
          <w:tcPr>
            <w:tcW w:w="3200" w:type="dxa"/>
            <w:vAlign w:val="center"/>
          </w:tcPr>
          <w:p w14:paraId="3F71A97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Torque do cabo na convenção da patente</w:t>
            </w:r>
          </w:p>
        </w:tc>
        <w:tc>
          <w:tcPr>
            <w:tcW w:w="2760" w:type="dxa"/>
            <w:vAlign w:val="center"/>
          </w:tcPr>
          <w:p w14:paraId="067FD81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Positivo quando tende a elevar o braço</w:t>
            </w:r>
          </w:p>
        </w:tc>
        <w:tc>
          <w:tcPr>
            <w:tcW w:w="2100" w:type="dxa"/>
            <w:vAlign w:val="center"/>
          </w:tcPr>
          <w:p w14:paraId="719175E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Comparação com a patente</w:t>
            </w:r>
          </w:p>
        </w:tc>
      </w:tr>
    </w:tbl>
    <w:p w14:paraId="55004276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06029CA3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3.4 Equação de fechamento do circuito vetorial</w:t>
      </w:r>
    </w:p>
    <w:p w14:paraId="2D3FBEA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cinemática do gerador de torque é descrita por um circuito vetorial fechado (Figura 1), percorrido do pivô O até a ancoragem A do cabo, de A até o ponto de tangência T ao longo do vão livre do cabo, de T até o centro D do tambor e de D de volta a O ao longo do elo. O vetor fixo do pivô à ancoragem, no referencial do desenho,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97AED2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182EC29" w14:textId="590FD0C3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16AA974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(5)</w:t>
            </w:r>
          </w:p>
        </w:tc>
      </w:tr>
    </w:tbl>
    <w:p w14:paraId="6BE85BB3" w14:textId="77777777" w:rsidR="009C1161" w:rsidRDefault="003B1183">
      <w:pPr>
        <w:rPr>
          <w:lang w:val="pt-BR"/>
        </w:rPr>
      </w:pPr>
      <w:r>
        <w:rPr>
          <w:lang w:val="pt-BR"/>
        </w:rPr>
        <w:t>em que h e p são as componentes desse vetor no referencial do elo proximal. A posição da ancoragem h é o parâmetro geométrico mais incerto do mecanismo e permanece explícita em todas as equações; a cota lida no CAD, H</w:t>
      </w:r>
      <w:r>
        <w:rPr>
          <w:vertAlign w:val="subscript"/>
          <w:lang w:val="pt-BR"/>
        </w:rPr>
        <w:t>CAD</w:t>
      </w:r>
      <w:r>
        <w:rPr>
          <w:lang w:val="pt-BR"/>
        </w:rPr>
        <w:t xml:space="preserve"> = 34,785 mm, é tratada como valor documental, e o valor adotado no modelo é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= 22,701 mm (seção 3.9). Com u(x) = (cos x, sen x) e u</w:t>
      </w:r>
      <w:r>
        <w:rPr>
          <w:vertAlign w:val="subscript"/>
          <w:lang w:val="pt-BR"/>
        </w:rPr>
        <w:t>⊥</w:t>
      </w:r>
      <w:r>
        <w:rPr>
          <w:lang w:val="pt-BR"/>
        </w:rPr>
        <w:t xml:space="preserve">(x) = (−sen x, cos x), o fechamento do circuito se escreve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7A9AD3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C12CD83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R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⊥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0</m:t>
                </m:r>
              </m:oMath>
            </m:oMathPara>
          </w:p>
        </w:tc>
        <w:tc>
          <w:tcPr>
            <w:tcW w:w="900" w:type="dxa"/>
            <w:vAlign w:val="center"/>
          </w:tcPr>
          <w:p w14:paraId="0862F6FB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(6)</w:t>
            </w:r>
          </w:p>
        </w:tc>
      </w:tr>
    </w:tbl>
    <w:p w14:paraId="2367BD8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s é o comprimento do vão livre do cabo, de A a T, R o raio do tambor e C a distância do pivô ao centro do tambor. As duas componentes da Equação (6) são as equações escalares de fechamento f</w:t>
      </w:r>
      <w:r>
        <w:rPr>
          <w:vertAlign w:val="subscript"/>
          <w:lang w:val="pt-BR"/>
        </w:rPr>
        <w:t>1</w:t>
      </w:r>
      <w:r>
        <w:rPr>
          <w:lang w:val="pt-BR"/>
        </w:rPr>
        <w:t xml:space="preserve"> = 0 </w:t>
        <w:lastRenderedPageBreak/>
        <w:t>e f</w:t>
      </w:r>
      <w:r>
        <w:rPr>
          <w:vertAlign w:val="subscript"/>
          <w:lang w:val="pt-BR"/>
        </w:rPr>
        <w:t>2</w:t>
      </w:r>
      <w:r>
        <w:rPr>
          <w:lang w:val="pt-BR"/>
        </w:rPr>
        <w:t xml:space="preserve"> = 0. Isolando-se os termos em φ, o lado esquerdo torna-se o vetor (s, R) girado de φ, o que permite resolver o sistema em forma fechada, sem procedimento iterativo: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AD1E9A8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DDE98A4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C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q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W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ρ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3F92B90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(7)</w:t>
            </w:r>
          </w:p>
        </w:tc>
      </w:tr>
      <w:tr w:rsidR="009C1161" w14:paraId="3B1AB29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61FDCC3D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x</m:t>
                            </m:r>
                          </m:sub>
                        </m:sSub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s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609123E3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(8)</w:t>
            </w:r>
          </w:p>
        </w:tc>
      </w:tr>
    </w:tbl>
    <w:p w14:paraId="0A429072" w14:textId="77777777" w:rsidR="009C1161" w:rsidRDefault="003B1183">
      <w:pPr>
        <w:rPr>
          <w:lang w:val="pt-BR"/>
        </w:rPr>
      </w:pPr>
      <w:r>
        <w:rPr>
          <w:lang w:val="pt-BR"/>
        </w:rPr>
        <w:t>A grandeza ρ é a distância da ancoragem ao centro do tambor, e a tangente existe somente se ρ &gt; R, condição verificada em cada ponto calculado. A formulação original do autor para essa distância, obtida pela lei dos cossenos,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38386A7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36AC185E" w14:textId="038B6E13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orig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+2</m:t>
                    </m:r>
                    <m:r>
                      <w:rPr>
                        <w:rFonts w:ascii="Cambria Math" w:hAnsi="Cambria Math"/>
                        <w:lang w:val="pt-BR"/>
                      </w:rPr>
                      <m:t>C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cos</m:t>
                            </m:r>
                          </m:fName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p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sin</m:t>
                            </m:r>
                          </m:fName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p>
                          </m:e>
                        </m:func>
                      </m:e>
                    </m:d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032F956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(9)</w:t>
            </w:r>
          </w:p>
        </w:tc>
      </w:tr>
    </w:tbl>
    <w:p w14:paraId="77D1A6A2" w14:textId="77777777" w:rsidR="009C1161" w:rsidRDefault="003B1183">
      <w:pPr>
        <w:rPr>
          <w:lang w:val="pt-BR"/>
        </w:rPr>
      </w:pPr>
      <w:r>
        <w:rPr>
          <w:lang w:val="pt-BR"/>
        </w:rPr>
        <w:t>foi preservada no código como referência. Ela difere da Equação (7) pelo sinal do termo 2C(·) e equivale a ρ avaliado em θ* + 180°, com diferença numérica de 5,7 × 10</w:t>
      </w:r>
      <w:r>
        <w:rPr>
          <w:vertAlign w:val="superscript"/>
          <w:lang w:val="pt-BR"/>
        </w:rPr>
        <w:t>−14</w:t>
      </w:r>
      <w:r>
        <w:rPr>
          <w:lang w:val="pt-BR"/>
        </w:rPr>
        <w:t xml:space="preserve"> mm; por esse motivo, a cadeia de cálculo usa a Equação (7), deduzida diretamente do fechamento.</w:t>
      </w:r>
    </w:p>
    <w:p w14:paraId="40F29042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Figura 1 — Circuito vetorial do gerador de torque na pose de referência (θ* = 115,017°, h = 22,701 mm)</w:t>
      </w:r>
    </w:p>
    <w:p w14:paraId="3495141C" w14:textId="77777777" w:rsidR="009C1161" w:rsidRDefault="003B1183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F93DD42" wp14:editId="469C1C79">
            <wp:extent cx="5943600" cy="2318004"/>
            <wp:effectExtent l="0" t="0" r="0" b="0"/>
            <wp:docPr id="901" name="Figura 1" descr="Circuito vetorial na pose de referência: pivô O, ancoragem A, centro do tambor D, ponto de tangência T, vão livre s, braço perpendicular m e distância b; à direita, ampliação da região do pivô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Figura 1" descr="Circuito vetorial na pose de referência: pivô O, ancoragem A, centro do tambor D, ponto de tangência T, vão livre s, braço perpendicular m e distância b; à direita, ampliação da região do pivô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51B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D1971CA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O é o pivô, A a ancoragem do cabo, D o centro do tambor e T o ponto de tangência. O painel da direita amplia a região do pivô, onde se distinguem o vetor B e o braço m.</w:t>
      </w:r>
    </w:p>
    <w:p w14:paraId="142F19B8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3.5 Ponto de tangência, distância b, ângulo β e braço de momento</w:t>
      </w:r>
    </w:p>
    <w:p w14:paraId="6DFA5852" w14:textId="77777777" w:rsidR="009C1161" w:rsidRDefault="003B1183">
      <w:pPr>
        <w:rPr>
          <w:lang w:val="pt-BR"/>
        </w:rPr>
      </w:pPr>
      <w:r>
        <w:rPr>
          <w:lang w:val="pt-BR"/>
        </w:rPr>
        <w:t>O ponto em que o cabo deixa o tambor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C184BD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381B2FA2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r>
                  <w:rPr>
                    <w:rFonts w:ascii="Cambria Math" w:hAnsi="Cambria Math"/>
                    <w:lang w:val="pt-BR"/>
                  </w:rPr>
                  <m:t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05FF3EC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(10)</w:t>
            </w:r>
          </w:p>
        </w:tc>
      </w:tr>
    </w:tbl>
    <w:p w14:paraId="3B2207AA" w14:textId="77777777" w:rsidR="009C1161" w:rsidRDefault="003B1183">
      <w:pPr>
        <w:rPr>
          <w:lang w:val="pt-BR"/>
        </w:rPr>
      </w:pPr>
      <w:r>
        <w:rPr>
          <w:lang w:val="pt-BR"/>
        </w:rPr>
        <w:t>Na formulação original do autor, o mesmo ponto é obtido a partir da distância b = |OT| e do ângulo β entre a linha do elo (de O a D) e o segmento OT, calculados pela lei dos cossenos nos triângulos pivô–ancoragem–tangência e pivô–tambor–tangência: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3017A0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38CE412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pt-BR"/>
                          </w:rPr>
                          <m:t>B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+2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B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6F163BCF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(11)</w:t>
            </w:r>
          </w:p>
        </w:tc>
      </w:tr>
      <w:tr w:rsidR="009C1161" w14:paraId="60F24C99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AB2FB8B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β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  <m:r>
                      <w:rPr>
                        <w:rFonts w:ascii="Cambria Math" w:hAnsi="Cambria Math"/>
                        <w:lang w:val="pt-BR"/>
                      </w:rPr>
                      <m:t>bC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F68C24A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(12)</w:t>
            </w:r>
          </w:p>
        </w:tc>
      </w:tr>
      <w:tr w:rsidR="009C1161" w14:paraId="12EEE7B4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A7180DE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b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q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sen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q</m:t>
                            </m:r>
                          </m:e>
                        </m:d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7F69A514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(13)</w:t>
            </w:r>
          </w:p>
        </w:tc>
      </w:tr>
    </w:tbl>
    <w:p w14:paraId="723BAC8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φ</w:t>
      </w:r>
      <w:r>
        <w:rPr>
          <w:vertAlign w:val="subscript"/>
          <w:lang w:val="pt-BR"/>
        </w:rPr>
        <w:t>B</w:t>
      </w:r>
      <w:r>
        <w:rPr>
          <w:lang w:val="pt-BR"/>
        </w:rPr>
        <w:t xml:space="preserve"> = atan2(B</w:t>
      </w:r>
      <w:r>
        <w:rPr>
          <w:vertAlign w:val="subscript"/>
          <w:lang w:val="pt-BR"/>
        </w:rPr>
        <w:t>y</w:t>
      </w:r>
      <w:r>
        <w:rPr>
          <w:lang w:val="pt-BR"/>
        </w:rPr>
        <w:t xml:space="preserve">, B</w:t>
      </w:r>
      <w:r>
        <w:rPr>
          <w:vertAlign w:val="subscript"/>
          <w:lang w:val="pt-BR"/>
        </w:rPr>
        <w:t>x</w:t>
      </w:r>
      <w:r>
        <w:rPr>
          <w:lang w:val="pt-BR"/>
        </w:rPr>
        <w:t>) é a direção do vetor B. As duas vias são comparadas numericamente (seção 3.11), e a Equação (10) é a usada na cadeia por não depender do sinal de β. A distância b, entretanto, não é o braço de momento do cabo: como T pertence a uma circunferência de raio R centrada a C do pivô, b fica necessariamente entre C − R e C + R. O braço de momento é a distância perpendicular do pivô à linha de ação do cabo, que passa por A com direção u(φ):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242DAB7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76574DA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y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≤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0E49DA28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(14)</w:t>
            </w:r>
          </w:p>
        </w:tc>
      </w:tr>
    </w:tbl>
    <w:p w14:paraId="19CD8270" w14:textId="77777777" w:rsidR="009C1161" w:rsidRDefault="003B1183">
      <w:pPr>
        <w:rPr>
          <w:lang w:val="pt-BR"/>
        </w:rPr>
      </w:pPr>
      <w:r>
        <w:rPr>
          <w:lang w:val="pt-BR"/>
        </w:rPr>
        <w:t>O braço m tem sinal, anula-se quando a linha do cabo passa pelo pivô (ponto morto, seção 3.7) e é limitado pelo comprimento |B| = |OA|, teto que decorre do traçado do cabo, e não do ajuste.</w:t>
      </w:r>
    </w:p>
    <w:p w14:paraId="7C11C20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3.6 Caminho do cabo, lei da mola e torque</w:t>
      </w:r>
    </w:p>
    <w:p w14:paraId="504C667F" w14:textId="3B3015CD" w:rsidR="009C1161" w:rsidRDefault="003B1183">
      <w:pPr>
        <w:rPr>
          <w:lang w:val="pt-BR"/>
        </w:rPr>
      </w:pPr>
      <w:r>
        <w:rPr>
          <w:lang w:val="pt-BR"/>
        </w:rPr>
        <w:t>A mola é tracionada pelo cabo, que vai da ancoragem até o tambor, onde se enrola. Admitido cabo inextensível, a extensão da mola acompanha a variação do caminho total do cabo, composto pelo vão livre s e pelo arco enrolado no tambor, cujo comprimento varia com o ângulo porque o vão livre gira em relação ao elo distal. Sendo ψ o ângulo entre a direção do cabo e a direção do elo, reduzido ao intervalo (−π, π),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C99D949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1E04F094" w14:textId="49E9FF5E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π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∈(-π, π)</m:t>
                </m:r>
              </m:oMath>
            </m:oMathPara>
          </w:p>
        </w:tc>
        <w:tc>
          <w:tcPr>
            <w:tcW w:w="900" w:type="dxa"/>
            <w:vAlign w:val="center"/>
          </w:tcPr>
          <w:p w14:paraId="3E8E1A75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(15)</w:t>
            </w:r>
          </w:p>
        </w:tc>
      </w:tr>
    </w:tbl>
    <w:p w14:paraId="591EE6D9" w14:textId="204AADD7" w:rsidR="00BE2F11" w:rsidRDefault="003B1183">
      <w:pPr>
        <w:rPr>
          <w:lang w:val="pt-BR"/>
        </w:rPr>
      </w:pPr>
      <w:r>
        <w:rPr>
          <w:lang w:val="pt-BR"/>
        </w:rPr>
        <w:t>o caminho variável do cabo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AD198E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0308AC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</m:rPr>
                  <w:rPr>
                    <w:rFonts w:ascii="Cambria Math" w:hAnsi="Cambria Math"/>
                    <w:lang w:val="pt-BR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r>
                  <w:rPr>
                    <w:rFonts w:ascii="Cambria Math" w:hAnsi="Cambria Math"/>
                    <w:lang w:val="pt-BR"/>
                  </w:rPr>
                  <m:t>Rψ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2147CEB4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(16)</w:t>
            </w:r>
          </w:p>
        </w:tc>
      </w:tr>
    </w:tbl>
    <w:p w14:paraId="35E36A4D" w14:textId="6B2FC61D" w:rsidR="009C1161" w:rsidRDefault="003B1183">
      <w:pPr>
        <w:rPr>
          <w:lang w:val="pt-BR"/>
        </w:rPr>
      </w:pPr>
      <w:r>
        <w:rPr>
          <w:lang w:val="pt-BR"/>
        </w:rPr>
        <w:t xml:space="preserve">Entra no modelo apenas a parcela variável do enrolamento, um arco constante cancela-se na extensão da mola, porque o caminho e o comprimento de referência são calculados pela mesma expressão. O sinal do termo do arco foi fixado pelo princípio dos trabalhos virtuais. Em um mecanismo conservativo, sem atrito no tambor, o trabalho da tração no cabo iguala o do torque no elo, o que exige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87ECE93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7071CF08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d</m:t>
                    </m:r>
                    <m:r>
                      <m:rPr>
                        <m:scr m:val="script"/>
                      </m:rPr>
                      <w:rPr>
                        <w:rFonts w:ascii="Cambria Math" w:hAnsi="Cambria Math"/>
                        <w:lang w:val="pt-BR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m</m:t>
                </m:r>
              </m:oMath>
            </m:oMathPara>
          </w:p>
        </w:tc>
        <w:tc>
          <w:tcPr>
            <w:tcW w:w="900" w:type="dxa"/>
            <w:vAlign w:val="center"/>
          </w:tcPr>
          <w:p w14:paraId="5920558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(17)</w:t>
            </w:r>
          </w:p>
        </w:tc>
      </w:tr>
    </w:tbl>
    <w:p w14:paraId="43C7BAC3" w14:textId="77777777" w:rsidR="009C1161" w:rsidRDefault="003B1183">
      <w:pPr>
        <w:rPr>
          <w:lang w:val="pt-BR"/>
        </w:rPr>
      </w:pPr>
      <w:r>
        <w:rPr>
          <w:lang w:val="pt-BR"/>
        </w:rPr>
        <w:t>com θ* em radianos. A Equação (17) é verificada numericamente por diferenças finitas centradas (seção 3.11) e permite discriminar entre formulações do caminho do cabo: com o caminho igual apenas ao vão livre, ela não é satisfeita (seção 4.3).</w:t>
      </w:r>
    </w:p>
    <w:p w14:paraId="6054B11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extensão da mola é referida a um comprimento, e não a um ângulo. Sendo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a extensão elástica da mola na pose de referência θ*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115,017°, o valor do caminho em que a mola atinge o comprimento livre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F6264A8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C1BA36B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cr m:val="script"/>
                  </m:rPr>
                  <w:rPr>
                    <w:rFonts w:ascii="Cambria Math" w:hAnsi="Cambria Math"/>
                    <w:lang w:val="pt-BR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pose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pose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3B58F957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(18)</w:t>
            </w:r>
          </w:p>
        </w:tc>
      </w:tr>
      <w:tr w:rsidR="009C1161" w14:paraId="5FBF16E0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CBC6A01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δ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max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lang w:val="pt-BR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 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0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Kδ</m:t>
                </m:r>
              </m:oMath>
            </m:oMathPara>
          </w:p>
        </w:tc>
        <w:tc>
          <w:tcPr>
            <w:tcW w:w="900" w:type="dxa"/>
            <w:vAlign w:val="center"/>
          </w:tcPr>
          <w:p w14:paraId="433B948F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(19)</w:t>
            </w:r>
          </w:p>
        </w:tc>
      </w:tr>
    </w:tbl>
    <w:p w14:paraId="40DD82E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δ é a extensão elástica, F a tração no cabo e K a rigidez da mola. A extensão é limitada a valores não negativos porque o cabo traciona, mas não empurra. O comprimento livre L</w:t>
      </w:r>
      <w:r>
        <w:rPr>
          <w:vertAlign w:val="subscript"/>
          <w:lang w:val="pt-BR"/>
        </w:rPr>
        <w:t>livre</w:t>
      </w:r>
      <w:r>
        <w:rPr>
          <w:lang w:val="pt-BR"/>
        </w:rPr>
        <w:t xml:space="preserve"> e o comprimento na </w:t>
        <w:lastRenderedPageBreak/>
        <w:t xml:space="preserve">pose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entram no modelo somente pela diferença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>livre</w:t>
      </w:r>
      <w:r>
        <w:rPr>
          <w:lang w:val="pt-BR"/>
        </w:rPr>
        <w:t>: qualquer par com a mesma diferença produz a mesma curva de torque.</w:t>
      </w:r>
    </w:p>
    <w:p w14:paraId="0CF4284C" w14:textId="77777777" w:rsidR="009C1161" w:rsidRDefault="003B1183">
      <w:pPr>
        <w:rPr>
          <w:lang w:val="pt-BR"/>
        </w:rPr>
      </w:pPr>
      <w:r>
        <w:rPr>
          <w:lang w:val="pt-BR"/>
        </w:rPr>
        <w:t>A força do cabo atua sobre o tambor no ponto T, com direção oposta a u(φ), e o torque em relação ao pivô é o produto vetorial plano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64CE52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DBAA48F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r>
                  <w:rPr>
                    <w:rFonts w:ascii="Cambria Math" w:hAnsi="Cambria Math"/>
                    <w:lang w:val="pt-BR"/>
                  </w:rPr>
                  <m:t>F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τ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x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y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Fm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4C47B73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(20)</w:t>
            </w:r>
          </w:p>
        </w:tc>
      </w:tr>
    </w:tbl>
    <w:p w14:paraId="7F0065D4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identidade τ = −F m/1000 decorre de T e A estarem sobre a mesma linha de ação e é verificada numericamente (seção 3.11). O fator 1/1000 vem da formulação original, em que os comprimentos estão em milímetros. Como K é identificado contra a curva publicada (seção 3.9), cuja ordenada não tem unidade declarada, o torque do cabo é expresso na unidade da própria curva, denotada u.p. (unidade da patente). A unidade de K é, portanto, aquela que faz K δ m/1000 resultar em u.p.; ela só seria N/mm se u.p. correspondesse a N·m, o que não pode ser afirmado com os dados disponíveis (seção 4.6).</w:t>
      </w:r>
    </w:p>
    <w:p w14:paraId="4D4F73AB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3.7 Ponto morto</w:t>
      </w:r>
    </w:p>
    <w:p w14:paraId="7C15587C" w14:textId="77777777" w:rsidR="009C1161" w:rsidRDefault="003B1183">
      <w:pPr>
        <w:rPr>
          <w:lang w:val="pt-BR"/>
        </w:rPr>
      </w:pPr>
      <w:r>
        <w:rPr>
          <w:lang w:val="pt-BR"/>
        </w:rPr>
        <w:t>O torque do cabo se anula quando a linha de ação passa pelo pivô (m = 0). Da geometria do circuito, esse ponto morto tem forma fechada em função de h, formulação original do autor aqui escrita com a notação desta seção: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BB41012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9F0866E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=180°+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arcsen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C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7B620DB0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(21)</w:t>
            </w:r>
          </w:p>
        </w:tc>
      </w:tr>
    </w:tbl>
    <w:p w14:paraId="45D97B8C" w14:textId="77777777" w:rsidR="009C1161" w:rsidRDefault="003B1183">
      <w:pPr>
        <w:rPr>
          <w:lang w:val="pt-BR"/>
        </w:rPr>
      </w:pPr>
      <w:r>
        <w:rPr>
          <w:lang w:val="pt-BR"/>
        </w:rPr>
        <w:t>Como θ*</w:t>
      </w:r>
      <w:r>
        <w:rPr>
          <w:vertAlign w:val="subscript"/>
          <w:lang w:val="pt-BR"/>
        </w:rPr>
        <w:t>pm</w:t>
      </w:r>
      <w:r>
        <w:rPr>
          <w:lang w:val="pt-BR"/>
        </w:rPr>
        <w:t xml:space="preserve"> é monótono em h, a Equação (21) admite inversão analítica: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DD38FB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365913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tan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pm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-180°-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arcsen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>R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>C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A7FA46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(22)</w:t>
            </w:r>
          </w:p>
        </w:tc>
      </w:tr>
    </w:tbl>
    <w:p w14:paraId="383E0A98" w14:textId="77777777" w:rsidR="009C1161" w:rsidRDefault="003B1183">
      <w:pPr>
        <w:rPr>
          <w:lang w:val="pt-BR"/>
        </w:rPr>
      </w:pPr>
      <w:r>
        <w:rPr>
          <w:lang w:val="pt-BR"/>
        </w:rPr>
        <w:t>Para h &gt; 0, o termo atan2(p, h) fica entre 0° e 90°, de modo que a inversão só é válida quando o argumento da tangente pertence a esse intervalo; fora dele, a Equação (22) devolve um ramo espúrio, identificado pela substituição do resultado na Equação (21). A forma fechada é conferida contra a raiz de m(θ*) = 0 obtida por bissecção. Depois do ponto morto, o torque do cabo troca de sinal; o modelo não representa a protuberância que, na patente, restringe o gerador de força além do ângulo de transição (seção 2.3).</w:t>
      </w:r>
    </w:p>
    <w:p w14:paraId="3F29474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3.8 Torque gravitacional</w:t>
      </w:r>
    </w:p>
    <w:p w14:paraId="2D9F60E1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torque estático do peso do conjunto braço–exoesqueleto em relação ao pivô é calculado de forma independente da cadeia do cabo: não usa K,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nem h. O centro de massa (x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, y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), dado na pose de referência no referencial do desenho (Tabela 3), gira com o elo, e o desenho gira ainda α + 90° −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= −22,589° para alinhar sua vertical com a da configuração calibrada: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0F8E339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6547087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γ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pose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+90°-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γ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γ</m:t>
                    </m:r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006DCE41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(23)</w:t>
            </w:r>
          </w:p>
        </w:tc>
      </w:tr>
      <w:tr w:rsidR="009C1161" w14:paraId="1FAB5E8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D5EB0A7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Mg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g</m:t>
                            </m:r>
                          </m:sub>
                        </m:sSub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14ABD8D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(24)</w:t>
            </w:r>
          </w:p>
        </w:tc>
      </w:tr>
    </w:tbl>
    <w:p w14:paraId="0C55CBB1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>em que M é a massa do conjunto, g = 9,80665 m/s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 e x</w:t>
      </w:r>
      <w:r>
        <w:rPr>
          <w:vertAlign w:val="subscript"/>
          <w:lang w:val="pt-BR"/>
        </w:rPr>
        <w:t>g</w:t>
      </w:r>
      <w:r>
        <w:rPr>
          <w:lang w:val="pt-BR"/>
        </w:rPr>
        <w:t xml:space="preserve">, em milímetros, é o braço horizontal do centro de massa. O torque gravitacional resulta em N·m, unidade física, ao contrário do torque do cabo. O módulo na Equação (24) desconsidera o sentido do torque, cuja troca ocorre apenas no início da faixa (seção 4.8).</w:t>
      </w:r>
    </w:p>
    <w:p w14:paraId="527401B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3.9 Dados da patente e identificação dos parâmetros</w:t>
      </w:r>
    </w:p>
    <w:p w14:paraId="4771CC93" w14:textId="15B11201" w:rsidR="009C1161" w:rsidRDefault="003B1183">
      <w:pPr>
        <w:rPr>
          <w:lang w:val="pt-BR"/>
        </w:rPr>
      </w:pPr>
      <w:r>
        <w:rPr>
          <w:lang w:val="pt-BR"/>
        </w:rPr>
        <w:t xml:space="preserve">A referência de comparação é a curva torque × ângulo, Figura 56 do gerador de torque publicada na US 9.889.554 B2, da qual foram extraídos 29 pontos, registrados em θ* e listados na Tabela 4 na ordem da extração.</w:t>
      </w:r>
    </w:p>
    <w:p w14:paraId="73C2051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patente não informa rigidez, pré-carga, comprimento livre nem posição exata da ancoragem. Os parâmetros não publicados do modelo são a calibração angular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, a posição da ancoragem h, a extensão da mola na pose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e a rigidez K. Eles foram identificados por mínimos quadrados contra os 29 pontos extraídos em etapa anterior do trabalho e estão congelados no modelo vigente, que não executa ajuste algum. O script dessa etapa e a restrição de projeto então considerada para h não estão registrados no repositório; por isso, a identificação foi reproduzida nesta revisão apenas na parte verificável, descrita a seguir (resultados na seção 4.4).</w:t>
      </w:r>
    </w:p>
    <w:p w14:paraId="754AD79D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rigidez tem forma fechada. Como a extensão δ não depende de K, o torque é exatamente linear em K, τ(θ*; h, K) = K τ(θ*; h, 1). Sendo y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os N = 29 valores extraídos e g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= −τ(θ*</w:t>
      </w:r>
      <w:r>
        <w:rPr>
          <w:vertAlign w:val="subscript"/>
          <w:lang w:val="pt-BR"/>
        </w:rPr>
        <w:t>i</w:t>
      </w:r>
      <w:r>
        <w:rPr>
          <w:lang w:val="pt-BR"/>
        </w:rPr>
        <w:t>; h, 1), o valor de K que minimiza a soma dos quadrados dos resíduos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B999FD2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33E9726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339630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(25)</w:t>
            </w:r>
          </w:p>
        </w:tc>
      </w:tr>
    </w:tbl>
    <w:p w14:paraId="7F951AA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h 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fixados,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foi reidentificado por varredura unidimensional, em passo de 0,001 mm, com K dado pela Equação (25) em cada valor. A qualidade do ajuste é avaliada pela raiz do erro quadrático médio (RMSE), pelo erro absoluto médio (MAE), pelo erro máximo e pelo coeficiente de determinação R</w:t>
      </w:r>
      <w:r>
        <w:rPr>
          <w:vertAlign w:val="superscript"/>
          <w:lang w:val="pt-BR"/>
        </w:rPr>
        <w:t>2</w:t>
      </w:r>
      <w:r>
        <w:rPr>
          <w:lang w:val="pt-BR"/>
        </w:rPr>
        <w:t>, com resíduo e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= ŷ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− y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, em que ŷ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é o torque calculado na convenção da patente, −τ: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523E603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162D1B2B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RMSE=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MAE=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>N</m:t>
                    </m:r>
                  </m:sup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=1-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-</m:t>
                                </m:r>
                                <m:bar>
                                  <m:barPr>
                                    <m:pos m:val="top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ar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</m:ba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5B77FCA3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(26)</w:t>
            </w:r>
          </w:p>
        </w:tc>
      </w:tr>
    </w:tbl>
    <w:p w14:paraId="6D3BD109" w14:textId="77777777" w:rsidR="009C1161" w:rsidRDefault="003B1183">
      <w:pPr>
        <w:rPr>
          <w:lang w:val="pt-BR"/>
        </w:rPr>
      </w:pPr>
      <w:r>
        <w:rPr>
          <w:lang w:val="pt-BR"/>
        </w:rPr>
        <w:t>O RMSE mede a aderência à curva extraída, e não a validade física. Duas formulações só são comparadas por ele depois de ambas satisfazerem as verificações físicas da seção 3.11; essa regra decide, no capítulo 4, a adoção do caminho completo do cabo, apesar de o caminho sem o arco produzir RMSE menor.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3.10 Varredura e otimização de h com K congelado</w:t>
      </w:r>
    </w:p>
    <w:p>
      <w:pPr>
        <w:rPr>
          <w:lang w:val="pt-BR"/>
        </w:rPr>
      </w:pPr>
      <w:r>
        <w:rPr>
          <w:lang w:val="pt-BR"/>
        </w:rPr>
        <w:t xml:space="preserve">Como h é a grandeza geométrica mais incerta e a mais fácil de alterar no projeto, ela foi varrida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mm, em passo de 0,005 mm, com o acréscimo dos valores exatos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, num total de 13.773 valores, para delimitar os valores fisicamente válidos; dentro deles, buscou-se o h que devolve o maior torque. K permanece congelado em 174,68 em todos os valores de h e não é reidentificado por h: cada h representa o mesmo conjunto de mola com a ancoragem deslocada, e nenhum parâmetro do modelo é substituído pelo resultado.</w:t>
      </w:r>
    </w:p>
    <w:p>
      <w:pPr>
        <w:rPr>
          <w:lang w:val="pt-BR"/>
        </w:rPr>
      </w:pPr>
      <w:r>
        <w:rPr>
          <w:lang w:val="pt-BR"/>
        </w:rPr>
        <w:t xml:space="preserve">Ao variar h, a referência s</w:t>
      </w:r>
      <w:r>
        <w:rPr>
          <w:vertAlign w:val="subscript"/>
          <w:lang w:val="pt-BR"/>
        </w:rPr>
        <w:t xml:space="preserve">0</w:t>
      </w:r>
      <w:r>
        <w:rPr>
          <w:lang w:val="pt-BR"/>
        </w:rPr>
        <w:t xml:space="preserve">(h) da Equação (18) é recalculada de modo que a extensão da mola na pose permaneça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preservando a pré-tensão de montagem. Essa ancoragem é uma escolha de modelagem, que isola o efeito de h do efeito da montagem.</w:t>
      </w:r>
    </w:p>
    <w:p>
      <w:pPr>
        <w:rPr>
          <w:lang w:val="pt-BR"/>
        </w:rPr>
      </w:pPr>
      <w:r>
        <w:rPr>
          <w:lang w:val="pt-BR"/>
        </w:rPr>
        <w:t xml:space="preserve">A validade física de cada h é verificada por três critérios: (i) tração, isto é, extensão da mola não negativa em toda a faixa de operação, calculada sem a limitação da Equação (19), para que o afrouxamento do cabo apareça como extensão negativa; (ii) fechamento, isto é, existência de tangente ao tambor (ρ &gt; R) em toda a faixa; e (iii) trabalho virtual, isto é, resíduo da Equação (17) inferior a 10</w:t>
      </w:r>
      <w:r>
        <w:rPr>
          <w:vertAlign w:val="superscript"/>
          <w:lang w:val="pt-BR"/>
        </w:rPr>
        <w:t xml:space="preserve">−6</w:t>
      </w:r>
      <w:r>
        <w:rPr>
          <w:lang w:val="pt-BR"/>
        </w:rPr>
        <w:t xml:space="preserve"> mm/rad. O ângulo de enrolamento ψ não é critério de validade: um valor nulo de ψ significa arco de enrolamento nulo, e não cabo fora do tambor, cuja permanência é garantida pela tangência, critério (ii).</w:t>
      </w:r>
    </w:p>
    <w:p>
      <w:pPr>
        <w:rPr>
          <w:lang w:val="pt-BR"/>
        </w:rPr>
      </w:pPr>
      <w:r>
        <w:rPr>
          <w:lang w:val="pt-BR"/>
        </w:rPr>
        <w:t xml:space="preserve">Entre os valores de h fisicamente válidos, procura-se o que devolve o maior torque ao braço com a mesma mola e a mesma montagem. O critério principal é o torque médio devolvido na faixa de trabalho acima da linha dos ombros, de 90° a 150° de elevação: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arg max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60°</m:t>
                    </m:r>
                  </m:den>
                </m:f>
                <m:nary>
                  <m:naryPr>
                    <m:chr m:val="∫"/>
                    <m:limLoc m:val="subSup"/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90°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150°</m:t>
                    </m:r>
                  </m:sup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el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(27)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min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</m:func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≥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marg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&gt;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f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ℓ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sSup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θ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∗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&lt;</m:t>
                </m:r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−6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(28)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é uma margem mínima de extensão da mola, nula na formulação estrita. Como critérios complementares, são calculados o pico do torque e o trabalho devolvido ao longo de toda a faixa de operação, integral de −τ em relação à elevação; pela Equação (17), esse trabalho equivale à energia que a mola restitui ao braço. A busca é feita por enumeração, em passo de 0,01 mm, de 8 mm até a fronteira de tração, obtida por bissecção, 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congelados. Acima da fronteira, até o limite geométrico do CAD, as mesmas grandezas são calculadas com o cabo frouxo onde a extensão seria negativa, como configurações complementares. Uma família de curvas para todo o intervalo de h e seus nós, ângulos em que as curvas quase coincidem, completam a análise.</w:t>
      </w:r>
    </w:p>
    <w:p w14:paraId="40BE510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3.11 Verificações numéricas e testes automatizados</w:t>
      </w:r>
    </w:p>
    <w:p w14:paraId="6037C99E" w14:textId="77777777" w:rsidR="009C1161" w:rsidRDefault="003B1183">
      <w:pPr>
        <w:rPr>
          <w:lang w:val="pt-BR"/>
        </w:rPr>
      </w:pPr>
      <w:r>
        <w:rPr>
          <w:lang w:val="pt-BR"/>
        </w:rPr>
        <w:t>A cadeia de cálculo é conferida a cada execução do modelo por seis verificações automáticas: os resíduos f</w:t>
      </w:r>
      <w:r>
        <w:rPr>
          <w:vertAlign w:val="subscript"/>
          <w:lang w:val="pt-BR"/>
        </w:rPr>
        <w:t>1</w:t>
      </w:r>
      <w:r>
        <w:rPr>
          <w:lang w:val="pt-BR"/>
        </w:rPr>
        <w:t xml:space="preserve"> e f</w:t>
      </w:r>
      <w:r>
        <w:rPr>
          <w:vertAlign w:val="subscript"/>
          <w:lang w:val="pt-BR"/>
        </w:rPr>
        <w:t>2</w:t>
      </w:r>
      <w:r>
        <w:rPr>
          <w:lang w:val="pt-BR"/>
        </w:rPr>
        <w:t xml:space="preserve"> da Equação (6); a identidade τ = −F m/1000 da Equação (20); a coincidência das Equações (10) e (13) para o ponto de tangência; a coincidência da Equação (21) com a raiz de m(θ*) = 0 obtida por bissecção; o resíduo da Equação (17), calculado por diferenças finitas centradas com passo de 10</w:t>
      </w:r>
      <w:r>
        <w:rPr>
          <w:vertAlign w:val="superscript"/>
          <w:lang w:val="pt-BR"/>
        </w:rPr>
        <w:t>−4</w:t>
      </w:r>
      <w:r>
        <w:rPr>
          <w:lang w:val="pt-BR"/>
        </w:rPr>
        <w:t xml:space="preserve"> grau em 2.001 pontos da faixa; e a identidade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>livre</w:t>
      </w:r>
      <w:r>
        <w:rPr>
          <w:lang w:val="pt-BR"/>
        </w:rPr>
        <w:t>. Cada verificação tem tolerância declarada, e o modelo interrompe a execução se alguma delas for violada.</w:t>
      </w:r>
    </w:p>
    <w:p w14:paraId="573E9C3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projeto mantém, além disso, testes automatizados executados com o pytest. Eles verificam, entre outros pontos, que os 29 pontos são carregados na ordem da extração, que o torque é linear em K, que a posição da ancoragem é argumento obrigatório de toda a cadeia, que a formulação s − Rψ é a única das testadas que satisfaz o trabalho virtual, que o enrolamento não é usado como critério de validade e que a varredura não reidentifica K por h.</w:t>
      </w:r>
    </w:p>
    <w:p w14:paraId="17FB164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3.12 Etapas dinâmicas previstas</w:t>
      </w:r>
    </w:p>
    <w:p w14:paraId="1692CC7C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Os objetivos específicos f e g preveem a obtenção da equação de movimento pela formulação de Lagrange, sua integração numérica e o acoplamento do modelo ao MBDyn. Essas etapas não foram executadas nesta fase do trabalho, e o capítulo 4 não apresenta nenhum resultado dinâmico. O procedimento previsto é registrado a seguir.</w:t>
      </w:r>
    </w:p>
    <w:p w14:paraId="18BB5BFC" w14:textId="77777777" w:rsidR="009C1161" w:rsidRDefault="003B1183">
      <w:pPr>
        <w:rPr>
          <w:lang w:val="pt-BR"/>
        </w:rPr>
      </w:pPr>
      <w:r>
        <w:rPr>
          <w:lang w:val="pt-BR"/>
        </w:rPr>
        <w:t>O sistema seria tratado como mecanismo plano de um grau de liberdade, a rotação do conjunto membro–elo distal em torno do eixo da junta, com coordenada generalizada θ*. A energia cinética seria escrita com o momento de inércia I</w:t>
      </w:r>
      <w:r>
        <w:rPr>
          <w:vertAlign w:val="subscript"/>
          <w:lang w:val="pt-BR"/>
        </w:rPr>
        <w:t>O</w:t>
      </w:r>
      <w:r>
        <w:rPr>
          <w:lang w:val="pt-BR"/>
        </w:rPr>
        <w:t xml:space="preserve"> da Equação (1), e a energia potencial reuniria a parcela gravitacional e a parcela elástica V</w:t>
      </w:r>
      <w:r>
        <w:rPr>
          <w:vertAlign w:val="subscript"/>
          <w:lang w:val="pt-BR"/>
        </w:rPr>
        <w:t>e</w:t>
      </w:r>
      <w:r>
        <w:rPr>
          <w:lang w:val="pt-BR"/>
        </w:rPr>
        <w:t xml:space="preserve"> = K δ</w:t>
      </w:r>
      <w:r>
        <w:rPr>
          <w:vertAlign w:val="superscript"/>
          <w:lang w:val="pt-BR"/>
        </w:rPr>
        <w:t>2</w:t>
      </w:r>
      <w:r>
        <w:rPr>
          <w:lang w:val="pt-BR"/>
        </w:rPr>
        <w:t>/2. Pela Equação (17), ∂V</w:t>
      </w:r>
      <w:r>
        <w:rPr>
          <w:vertAlign w:val="subscript"/>
          <w:lang w:val="pt-BR"/>
        </w:rPr>
        <w:t>e</w:t>
      </w:r>
      <w:r>
        <w:rPr>
          <w:lang w:val="pt-BR"/>
        </w:rPr>
        <w:t xml:space="preserve">/∂θ* = K δ m, de modo que a força </w:t>
        <w:lastRenderedPageBreak/>
        <w:t>generalizada elástica coincide, a menos do fator 1/1000, com o torque do cabo da Equação (20). A equação de movimento teria a forma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2D52B1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66C48918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τ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g,s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nc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1CCC408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(29)</w:t>
            </w:r>
          </w:p>
        </w:tc>
      </w:tr>
    </w:tbl>
    <w:p w14:paraId="26E3620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τ</w:t>
      </w:r>
      <w:r>
        <w:rPr>
          <w:vertAlign w:val="subscript"/>
          <w:lang w:val="pt-BR"/>
        </w:rPr>
        <w:t>g,s</w:t>
      </w:r>
      <w:r>
        <w:rPr>
          <w:lang w:val="pt-BR"/>
        </w:rPr>
        <w:t xml:space="preserve"> é o torque gravitacional com sinal e Q</w:t>
      </w:r>
      <w:r>
        <w:rPr>
          <w:vertAlign w:val="subscript"/>
          <w:lang w:val="pt-BR"/>
        </w:rPr>
        <w:t>nc</w:t>
      </w:r>
      <w:r>
        <w:rPr>
          <w:lang w:val="pt-BR"/>
        </w:rPr>
        <w:t xml:space="preserve"> reúne os esforços não conservativos, como o atrito. A verificação prevista compreende a conservação da energia na ausência de dissipação, a recuperação do resultado estático quando as velocidades tendem a zero e a consistência entre o braço de momento e a derivada do caminho do cabo, esta última já cumprida no modelo estático (seção 4.3). No acoplamento ao MBDyn, que integra o sistema multicorpos pela formulação de Masarati, Morandini e Mantegazza (2014), o gerador de torque entraria como força externa, com troca de configuração e de torque por socket a cada passo de integração, e a comparação com a integração própria, sob as mesmas condições iniciais, serviria de validação cruzada.</w:t>
      </w:r>
    </w:p>
    <w:p w14:paraId="7C34A1B9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As duas etapas dependem de um pré-requisito ainda não satisfeito: a Equação (29) soma o torque do cabo ao torque gravitacional e exige ambos na mesma unidade física. Enquanto K estiver referido à ordenada sem unidade da patente, a integração da equação de movimento não tem significado físico.</w:t>
      </w:r>
    </w:p>
    <w:p w14:paraId="0A2D27B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3.13 Ferramentas e delimitação</w:t>
      </w:r>
    </w:p>
    <w:p w14:paraId="0159C53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Foram empregados o Autodesk Fusion, para a reconstrução geométrica e a extração das propriedades de massa; uma planilha eletrônica, para o transporte de eixos e a composição inercial; e a linguagem Python, com a biblioteca NumPy (HARRIS et al., 2020) para o cálculo vetorizado, a biblioteca Matplotlib (HUNTER, 2007) para as figuras e o pytest para os testes automatizados. A identificação não depende de biblioteca de otimização: K tem forma fechada, Equação (25), e as demais grandezas são obtidas por varredura direta e por bissecção. O MBDyn, previsto para a simulação multicorpos, não foi empregado nesta etapa.</w:t>
      </w:r>
    </w:p>
    <w:p w14:paraId="6BF0979D" w14:textId="77777777" w:rsidR="009C1161" w:rsidRDefault="003B1183">
      <w:pPr>
        <w:rPr>
          <w:lang w:val="pt-BR"/>
        </w:rPr>
      </w:pPr>
      <w:r>
        <w:rPr>
          <w:lang w:val="pt-BR"/>
        </w:rPr>
        <w:t>Não integram o escopo a avaliação experimental com participantes humanos, a eletromiografia, a análise de conforto e usabilidade, a fabricação e o ensaio de protótipo e o dimensionamento estrutural dos elos. O modelo é plano e admite cabo inextensível, tambor sem atrito e mola linear sem tração inicial, F = K δ. Os parâmetros antropométricos correspondem ao indivíduo de referência adotado, e o torque gravitacional é calculado para o membro superior estendido, sem ferramenta na mão. O modelo não representa a protuberância que, na patente, cria a zona neutra após o ângulo de transição.</w:t>
      </w:r>
    </w:p>
    <w:p w14:paraId="07F555CE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 RESULTADOS E DISCUSSÃO</w:t>
      </w:r>
    </w:p>
    <w:p w14:paraId="69E970E9" w14:textId="77777777" w:rsidR="009C1161" w:rsidRDefault="003B1183">
      <w:pPr>
        <w:rPr>
          <w:lang w:val="pt-BR"/>
        </w:rPr>
      </w:pPr>
      <w:r>
        <w:rPr>
          <w:lang w:val="pt-BR"/>
        </w:rPr>
        <w:t>Este capítulo apresenta os resultados das etapas descritas nas seções 3.1 a 3.11, aplicadas ao gerador de torque da US 9.889.554 B2. Salvo indicação em contrário, os números foram obtidos com o modelo vigente e os parâmetros congelados K = 174,68,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= 22,701 mm 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37,383 mm. As etapas dinâmicas da seção 3.12 e a aplicação do procedimento à US 9.737.374 B2 e à EP 3 504 033 B1 não foram executadas.</w:t>
      </w:r>
    </w:p>
    <w:p w14:paraId="3B9D99E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4.1 Geometria reconstruída e propriedades de massa</w:t>
      </w:r>
    </w:p>
    <w:p w14:paraId="2824EA30" w14:textId="1B8B654B" w:rsidR="009C1161" w:rsidRDefault="003B1183">
      <w:pPr>
        <w:rPr>
          <w:lang w:val="pt-BR"/>
        </w:rPr>
      </w:pPr>
      <w:r>
        <w:rPr>
          <w:lang w:val="pt-BR"/>
        </w:rPr>
        <w:t>A reconstrução da vista em corte do gerador de torque forneceu as grandezas da Tabela 2. O fator de escala único, fixado pela razão entre o comprimento do elo distal reconstruído e o comprimento de segmento do indivíduo de referência, resultou em 0,870.</w:t>
      </w:r>
    </w:p>
    <w:p w14:paraId="2B38F5A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2 — Grandezas medidas na reconstrução em CAD</w:t>
      </w:r>
    </w:p>
    <w:tbl>
      <w:tblPr>
        <w:tblStyle w:val="Tabelacomgrade"/>
        <w:tblW w:w="7060" w:type="dxa"/>
        <w:jc w:val="center"/>
        <w:tblLayout w:type="fixed"/>
        <w:tblLook w:val="0420" w:firstRow="1" w:lastRow="0" w:firstColumn="0" w:lastColumn="0" w:noHBand="0" w:noVBand="1"/>
      </w:tblPr>
      <w:tblGrid>
        <w:gridCol w:w="3260"/>
        <w:gridCol w:w="1300"/>
        <w:gridCol w:w="1200"/>
        <w:gridCol w:w="1300"/>
      </w:tblGrid>
      <w:tr w:rsidR="00F132A8" w14:paraId="34D2DD4A" w14:textId="77777777" w:rsidTr="00F132A8">
        <w:trPr>
          <w:cantSplit/>
          <w:tblHeader/>
          <w:jc w:val="center"/>
        </w:trPr>
        <w:tc>
          <w:tcPr>
            <w:tcW w:w="3260" w:type="dxa"/>
            <w:shd w:val="clear" w:color="auto" w:fill="F2F2F2"/>
            <w:vAlign w:val="center"/>
          </w:tcPr>
          <w:p w14:paraId="4335B734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7EC2190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1200" w:type="dxa"/>
            <w:shd w:val="clear" w:color="auto" w:fill="F2F2F2"/>
            <w:vAlign w:val="center"/>
          </w:tcPr>
          <w:p w14:paraId="7748461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AB6B581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Unidade</w:t>
            </w:r>
          </w:p>
        </w:tc>
      </w:tr>
      <w:tr w:rsidR="00F132A8" w14:paraId="64FB70B5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1880208C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Componente perpendicular do vetor pivô–ancoragem</w:t>
            </w:r>
          </w:p>
        </w:tc>
        <w:tc>
          <w:tcPr>
            <w:tcW w:w="1300" w:type="dxa"/>
            <w:vAlign w:val="center"/>
          </w:tcPr>
          <w:p w14:paraId="066D6B5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p</w:t>
            </w:r>
          </w:p>
        </w:tc>
        <w:tc>
          <w:tcPr>
            <w:tcW w:w="1200" w:type="dxa"/>
            <w:vAlign w:val="center"/>
          </w:tcPr>
          <w:p w14:paraId="2EBB78DE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3,155</w:t>
            </w:r>
          </w:p>
        </w:tc>
        <w:tc>
          <w:tcPr>
            <w:tcW w:w="1300" w:type="dxa"/>
            <w:vAlign w:val="center"/>
          </w:tcPr>
          <w:p w14:paraId="6918A015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150214E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1D1FC791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pivô ao centro do tambor</w:t>
            </w:r>
          </w:p>
        </w:tc>
        <w:tc>
          <w:tcPr>
            <w:tcW w:w="1300" w:type="dxa"/>
            <w:vAlign w:val="center"/>
          </w:tcPr>
          <w:p w14:paraId="6737CA2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C</w:t>
            </w:r>
          </w:p>
        </w:tc>
        <w:tc>
          <w:tcPr>
            <w:tcW w:w="1200" w:type="dxa"/>
            <w:vAlign w:val="center"/>
          </w:tcPr>
          <w:p w14:paraId="6253617B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283,438</w:t>
            </w:r>
          </w:p>
        </w:tc>
        <w:tc>
          <w:tcPr>
            <w:tcW w:w="1300" w:type="dxa"/>
            <w:vAlign w:val="center"/>
          </w:tcPr>
          <w:p w14:paraId="33CF9CA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834971F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A1A55DF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Raio do tambor</w:t>
            </w:r>
          </w:p>
        </w:tc>
        <w:tc>
          <w:tcPr>
            <w:tcW w:w="1300" w:type="dxa"/>
            <w:vAlign w:val="center"/>
          </w:tcPr>
          <w:p w14:paraId="6F5D301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R</w:t>
            </w:r>
          </w:p>
        </w:tc>
        <w:tc>
          <w:tcPr>
            <w:tcW w:w="1200" w:type="dxa"/>
            <w:vAlign w:val="center"/>
          </w:tcPr>
          <w:p w14:paraId="650BBC2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22,827</w:t>
            </w:r>
          </w:p>
        </w:tc>
        <w:tc>
          <w:tcPr>
            <w:tcW w:w="1300" w:type="dxa"/>
            <w:vAlign w:val="center"/>
          </w:tcPr>
          <w:p w14:paraId="0E3DE223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22E8E1F7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34963649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Defasagem angular do desenho</w:t>
            </w:r>
          </w:p>
        </w:tc>
        <w:tc>
          <w:tcPr>
            <w:tcW w:w="1300" w:type="dxa"/>
            <w:vAlign w:val="center"/>
          </w:tcPr>
          <w:p w14:paraId="01AD66F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α</w:t>
            </w:r>
          </w:p>
        </w:tc>
        <w:tc>
          <w:tcPr>
            <w:tcW w:w="1200" w:type="dxa"/>
            <w:vAlign w:val="center"/>
          </w:tcPr>
          <w:p w14:paraId="7452C58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20,428</w:t>
            </w:r>
          </w:p>
        </w:tc>
        <w:tc>
          <w:tcPr>
            <w:tcW w:w="1300" w:type="dxa"/>
            <w:vAlign w:val="center"/>
          </w:tcPr>
          <w:p w14:paraId="26718D31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graus</w:t>
            </w:r>
          </w:p>
        </w:tc>
      </w:tr>
      <w:tr w:rsidR="00F132A8" w14:paraId="477EDDC5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5B319147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do mecanismo na pose de referência</w:t>
            </w:r>
          </w:p>
        </w:tc>
        <w:tc>
          <w:tcPr>
            <w:tcW w:w="1300" w:type="dxa"/>
            <w:vAlign w:val="center"/>
          </w:tcPr>
          <w:p w14:paraId="179F34C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θ*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200" w:type="dxa"/>
            <w:vAlign w:val="center"/>
          </w:tcPr>
          <w:p w14:paraId="51B7691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115,017</w:t>
            </w:r>
          </w:p>
        </w:tc>
        <w:tc>
          <w:tcPr>
            <w:tcW w:w="1300" w:type="dxa"/>
            <w:vAlign w:val="center"/>
          </w:tcPr>
          <w:p w14:paraId="0446775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graus</w:t>
            </w:r>
          </w:p>
        </w:tc>
      </w:tr>
      <w:tr w:rsidR="00F132A8" w14:paraId="5AEDE700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690EAD59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Comprimento da mola na pose</w:t>
            </w:r>
          </w:p>
        </w:tc>
        <w:tc>
          <w:tcPr>
            <w:tcW w:w="1300" w:type="dxa"/>
            <w:vAlign w:val="center"/>
          </w:tcPr>
          <w:p w14:paraId="731D26EA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L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200" w:type="dxa"/>
            <w:vAlign w:val="center"/>
          </w:tcPr>
          <w:p w14:paraId="406ADB5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91,35</w:t>
            </w:r>
          </w:p>
        </w:tc>
        <w:tc>
          <w:tcPr>
            <w:tcW w:w="1300" w:type="dxa"/>
            <w:vAlign w:val="center"/>
          </w:tcPr>
          <w:p w14:paraId="5E6C731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23F2239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EF4E5D4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Posição da ancoragem conforme desenhada</w:t>
            </w:r>
          </w:p>
        </w:tc>
        <w:tc>
          <w:tcPr>
            <w:tcW w:w="1300" w:type="dxa"/>
            <w:vAlign w:val="center"/>
          </w:tcPr>
          <w:p w14:paraId="2421DC9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H</w:t>
            </w:r>
            <w:r>
              <w:rPr>
                <w:vertAlign w:val="subscript"/>
                <w:lang w:val="pt-BR"/>
              </w:rPr>
              <w:t>CAD</w:t>
            </w:r>
          </w:p>
        </w:tc>
        <w:tc>
          <w:tcPr>
            <w:tcW w:w="1200" w:type="dxa"/>
            <w:vAlign w:val="center"/>
          </w:tcPr>
          <w:p w14:paraId="4218803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34,785</w:t>
            </w:r>
          </w:p>
        </w:tc>
        <w:tc>
          <w:tcPr>
            <w:tcW w:w="1300" w:type="dxa"/>
            <w:vAlign w:val="center"/>
          </w:tcPr>
          <w:p w14:paraId="40FCC03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23F2239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EF4E5D4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Maior posição da ancoragem admitida pela geometria</w:t>
            </w:r>
          </w:p>
        </w:tc>
        <w:tc>
          <w:tcPr>
            <w:tcW w:w="1300" w:type="dxa"/>
            <w:vAlign w:val="center"/>
          </w:tcPr>
          <w:p w14:paraId="2421DC9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máx</w:t>
            </w:r>
          </w:p>
        </w:tc>
        <w:tc>
          <w:tcPr>
            <w:tcW w:w="1200" w:type="dxa"/>
            <w:vAlign w:val="center"/>
          </w:tcPr>
          <w:p w14:paraId="4218803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76,846</w:t>
            </w:r>
          </w:p>
        </w:tc>
        <w:tc>
          <w:tcPr>
            <w:tcW w:w="1300" w:type="dxa"/>
            <w:vAlign w:val="center"/>
          </w:tcPr>
          <w:p w14:paraId="40FCC03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</w:tbl>
    <w:p w14:paraId="1B10A4D9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6890DEE3" w14:textId="5625231D" w:rsidR="009C1161" w:rsidRDefault="003B1183">
      <w:pPr>
        <w:rPr>
          <w:lang w:val="pt-BR"/>
        </w:rPr>
      </w:pPr>
      <w:r>
        <w:rPr>
          <w:lang w:val="pt-BR"/>
        </w:rPr>
        <w:t xml:space="preserve">A composição inercial do conjunto braço–exoesqueleto, obtida pelo transporte dos momentos ao eixo da junta, consta da Tabela 3. Os segmentos do membro seguem de Leva (1996) para o indivíduo masculino de referência, de 73,0 kg e 1,741 m, com o cotovelo estendido; as peças do exoesqueleto provêm do modelo em CAD.</w:t>
      </w:r>
    </w:p>
    <w:p w14:paraId="18C3A44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3 — Propriedades de massa do conjunto braço–exoesqueleto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560"/>
        <w:gridCol w:w="2800"/>
        <w:gridCol w:w="2000"/>
      </w:tblGrid>
      <w:tr w:rsidR="009C1161" w14:paraId="1135EEF1" w14:textId="77777777">
        <w:trPr>
          <w:cantSplit/>
          <w:tblHeader/>
          <w:jc w:val="center"/>
        </w:trPr>
        <w:tc>
          <w:tcPr>
            <w:tcW w:w="4560" w:type="dxa"/>
            <w:shd w:val="clear" w:color="auto" w:fill="F2F2F2"/>
            <w:vAlign w:val="center"/>
          </w:tcPr>
          <w:p w14:paraId="2482DEC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2800" w:type="dxa"/>
            <w:shd w:val="clear" w:color="auto" w:fill="F2F2F2"/>
            <w:vAlign w:val="center"/>
          </w:tcPr>
          <w:p w14:paraId="4BA9A36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2000" w:type="dxa"/>
            <w:shd w:val="clear" w:color="auto" w:fill="F2F2F2"/>
            <w:vAlign w:val="center"/>
          </w:tcPr>
          <w:p w14:paraId="45EF87B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Unidade</w:t>
            </w:r>
          </w:p>
        </w:tc>
      </w:tr>
      <w:tr w:rsidR="009C1161" w14:paraId="0CB41528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5D1C52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Massa total do conjunto, M</w:t>
            </w:r>
          </w:p>
        </w:tc>
        <w:tc>
          <w:tcPr>
            <w:tcW w:w="2800" w:type="dxa"/>
            <w:vAlign w:val="center"/>
          </w:tcPr>
          <w:p w14:paraId="228CD5D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4,034309</w:t>
            </w:r>
          </w:p>
        </w:tc>
        <w:tc>
          <w:tcPr>
            <w:tcW w:w="2000" w:type="dxa"/>
            <w:vAlign w:val="center"/>
          </w:tcPr>
          <w:p w14:paraId="0FF387F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</w:t>
            </w:r>
          </w:p>
        </w:tc>
      </w:tr>
      <w:tr w:rsidR="009C1161" w14:paraId="54DC7C72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739C4DC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Centro de massa na pose de referência, (x</w:t>
            </w:r>
            <w:r>
              <w:rPr>
                <w:vertAlign w:val="subscript"/>
                <w:lang w:val="pt-BR"/>
              </w:rPr>
              <w:t>cm</w:t>
            </w:r>
            <w:r>
              <w:rPr>
                <w:lang w:val="pt-BR"/>
              </w:rPr>
              <w:t xml:space="preserve">; y</w:t>
            </w:r>
            <w:r>
              <w:rPr>
                <w:vertAlign w:val="subscript"/>
                <w:lang w:val="pt-BR"/>
              </w:rPr>
              <w:t>cm</w:t>
            </w:r>
            <w:r>
              <w:rPr>
                <w:lang w:val="pt-BR"/>
              </w:rPr>
              <w:t>)</w:t>
            </w:r>
          </w:p>
        </w:tc>
        <w:tc>
          <w:tcPr>
            <w:tcW w:w="2800" w:type="dxa"/>
            <w:vAlign w:val="center"/>
          </w:tcPr>
          <w:p w14:paraId="4E600E7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(−281,432; −19,812)</w:t>
            </w:r>
          </w:p>
        </w:tc>
        <w:tc>
          <w:tcPr>
            <w:tcW w:w="2000" w:type="dxa"/>
            <w:vAlign w:val="center"/>
          </w:tcPr>
          <w:p w14:paraId="56173F1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9C1161" w14:paraId="601751F3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299EFD8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centro de massa ao eixo, d</w:t>
            </w:r>
          </w:p>
        </w:tc>
        <w:tc>
          <w:tcPr>
            <w:tcW w:w="2800" w:type="dxa"/>
            <w:vAlign w:val="center"/>
          </w:tcPr>
          <w:p w14:paraId="536FFA6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282,128</w:t>
            </w:r>
          </w:p>
        </w:tc>
        <w:tc>
          <w:tcPr>
            <w:tcW w:w="2000" w:type="dxa"/>
            <w:vAlign w:val="center"/>
          </w:tcPr>
          <w:p w14:paraId="09E638A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9C1161" w14:paraId="28DA1C6F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79AFD2D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Momento de inércia no eixo da junta, I</w:t>
            </w:r>
            <w:r>
              <w:rPr>
                <w:vertAlign w:val="subscript"/>
                <w:lang w:val="pt-BR"/>
              </w:rPr>
              <w:t>O</w:t>
            </w:r>
          </w:p>
        </w:tc>
        <w:tc>
          <w:tcPr>
            <w:tcW w:w="2800" w:type="dxa"/>
            <w:vAlign w:val="center"/>
          </w:tcPr>
          <w:p w14:paraId="6938235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0,448227</w:t>
            </w:r>
          </w:p>
        </w:tc>
        <w:tc>
          <w:tcPr>
            <w:tcW w:w="2000" w:type="dxa"/>
            <w:vAlign w:val="center"/>
          </w:tcPr>
          <w:p w14:paraId="29B1E63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kg·m</w:t>
            </w:r>
            <w:r>
              <w:rPr>
                <w:vertAlign w:val="superscript"/>
                <w:lang w:val="pt-BR"/>
              </w:rPr>
              <w:t>2</w:t>
            </w:r>
          </w:p>
        </w:tc>
      </w:tr>
      <w:tr w:rsidR="009C1161" w14:paraId="5B8FEE43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52818E3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Momento de inércia no centro de massa, I</w:t>
            </w:r>
            <w:r>
              <w:rPr>
                <w:vertAlign w:val="subscript"/>
                <w:lang w:val="pt-BR"/>
              </w:rPr>
              <w:t>cm</w:t>
            </w:r>
          </w:p>
        </w:tc>
        <w:tc>
          <w:tcPr>
            <w:tcW w:w="2800" w:type="dxa"/>
            <w:vAlign w:val="center"/>
          </w:tcPr>
          <w:p w14:paraId="4F3A91A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0,127111</w:t>
            </w:r>
          </w:p>
        </w:tc>
        <w:tc>
          <w:tcPr>
            <w:tcW w:w="2000" w:type="dxa"/>
            <w:vAlign w:val="center"/>
          </w:tcPr>
          <w:p w14:paraId="14F379A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kg·m</w:t>
            </w:r>
            <w:r>
              <w:rPr>
                <w:vertAlign w:val="superscript"/>
                <w:lang w:val="pt-BR"/>
              </w:rPr>
              <w:t>2</w:t>
            </w:r>
          </w:p>
        </w:tc>
      </w:tr>
      <w:tr w:rsidR="009C1161" w14:paraId="7D483774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3BB4695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Amplitude do momento gravitacional, M g d</w:t>
            </w:r>
          </w:p>
        </w:tc>
        <w:tc>
          <w:tcPr>
            <w:tcW w:w="2800" w:type="dxa"/>
            <w:vAlign w:val="center"/>
          </w:tcPr>
          <w:p w14:paraId="13390E4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11,1619</w:t>
            </w:r>
          </w:p>
        </w:tc>
        <w:tc>
          <w:tcPr>
            <w:tcW w:w="2000" w:type="dxa"/>
            <w:vAlign w:val="center"/>
          </w:tcPr>
          <w:p w14:paraId="0EE4DEE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N·m</w:t>
            </w:r>
          </w:p>
        </w:tc>
      </w:tr>
    </w:tbl>
    <w:p w14:paraId="568460CA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F8204C5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consistência interna da Tabela 3 foi conferida: I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 + M d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 = 0,127111 + 0,321116 = 0,448227 kg·m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, igual ao momento de inércia no eixo da junta, conforme a Equação (1); e M g d = 11,1619 N·m coincide com o pico do torque gravitacional calculado pela Equação (24) (seção 4.8). O momento de inércia destina-se à etapa dinâmica, não executada, e não participa do cálculo do torque estático.</w:t>
      </w:r>
    </w:p>
    <w:p w14:paraId="29FDB5CF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4.2 Dados extraídos da patente</w:t>
      </w:r>
    </w:p>
    <w:p w14:paraId="0534A18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Tabela 4 reúne os 29 pontos extraídos da curva da patente, na ordem da extração, com os ângulos correspondentes nas convenções da seção 3.3, o torque calculado pelo modelo com os parâmetros congelados e o resíduo. Os pontos cobrem θ* de 42,909° a 193,017°, isto é, elevação de 180,1° a 30,0°, com espaçamento irregular, de 2,87° a 8,03° em θ*. O maior valor extraído, 147,310 u.p., ocorre em θ* = 123,196° (elevação de 99,8°), e a média dos 29 valores é 81,840 u.p. Os valores são expressos em u.p. porque a figura de origem não declara unidade (seção 2.10).</w:t>
      </w:r>
    </w:p>
    <w:p w14:paraId="4F25EEB8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4 — Pontos extraídos da curva da patente e torque calculado pelo modelo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700"/>
        <w:gridCol w:w="1300"/>
        <w:gridCol w:w="1300"/>
        <w:gridCol w:w="1300"/>
        <w:gridCol w:w="1600"/>
        <w:gridCol w:w="1580"/>
        <w:gridCol w:w="1580"/>
      </w:tblGrid>
      <w:tr w:rsidR="009C1161" w14:paraId="66F06311" w14:textId="77777777">
        <w:trPr>
          <w:cantSplit/>
          <w:tblHeader/>
          <w:jc w:val="center"/>
        </w:trPr>
        <w:tc>
          <w:tcPr>
            <w:tcW w:w="700" w:type="dxa"/>
            <w:shd w:val="clear" w:color="auto" w:fill="F2F2F2"/>
            <w:vAlign w:val="center"/>
          </w:tcPr>
          <w:p w14:paraId="7D43DC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Nº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F706FD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θ*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077FD0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φ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>pat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4D64B06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θ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>el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2ACFCC5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Extraído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 w14:paraId="00DDE6B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Modelo, −τ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 w14:paraId="5BE7CEA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Resíduo (u.p.)</w:t>
            </w:r>
          </w:p>
        </w:tc>
      </w:tr>
      <w:tr w:rsidR="009C1161" w14:paraId="029EB1C0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F156C8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</w:t>
            </w:r>
          </w:p>
        </w:tc>
        <w:tc>
          <w:tcPr>
            <w:tcW w:w="1300" w:type="dxa"/>
            <w:vAlign w:val="center"/>
          </w:tcPr>
          <w:p w14:paraId="63F1395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193,017</w:t>
            </w:r>
          </w:p>
        </w:tc>
        <w:tc>
          <w:tcPr>
            <w:tcW w:w="1300" w:type="dxa"/>
            <w:vAlign w:val="center"/>
          </w:tcPr>
          <w:p w14:paraId="383228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−60,000</w:t>
            </w:r>
          </w:p>
        </w:tc>
        <w:tc>
          <w:tcPr>
            <w:tcW w:w="1300" w:type="dxa"/>
            <w:vAlign w:val="center"/>
          </w:tcPr>
          <w:p w14:paraId="774406A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30,000</w:t>
            </w:r>
          </w:p>
        </w:tc>
        <w:tc>
          <w:tcPr>
            <w:tcW w:w="1600" w:type="dxa"/>
            <w:vAlign w:val="center"/>
          </w:tcPr>
          <w:p w14:paraId="07C0005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0,443</w:t>
            </w:r>
          </w:p>
        </w:tc>
        <w:tc>
          <w:tcPr>
            <w:tcW w:w="1580" w:type="dxa"/>
            <w:vAlign w:val="center"/>
          </w:tcPr>
          <w:p w14:paraId="6BDA1B7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−1,709</w:t>
            </w:r>
          </w:p>
        </w:tc>
        <w:tc>
          <w:tcPr>
            <w:tcW w:w="1580" w:type="dxa"/>
            <w:vAlign w:val="center"/>
          </w:tcPr>
          <w:p w14:paraId="295D7D5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−2,152</w:t>
            </w:r>
          </w:p>
        </w:tc>
      </w:tr>
      <w:tr w:rsidR="009C1161" w14:paraId="71414CF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D15D43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</w:t>
            </w:r>
          </w:p>
        </w:tc>
        <w:tc>
          <w:tcPr>
            <w:tcW w:w="1300" w:type="dxa"/>
            <w:vAlign w:val="center"/>
          </w:tcPr>
          <w:p w14:paraId="697BF8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189,146</w:t>
            </w:r>
          </w:p>
        </w:tc>
        <w:tc>
          <w:tcPr>
            <w:tcW w:w="1300" w:type="dxa"/>
            <w:vAlign w:val="center"/>
          </w:tcPr>
          <w:p w14:paraId="53FB72F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−56,129</w:t>
            </w:r>
          </w:p>
        </w:tc>
        <w:tc>
          <w:tcPr>
            <w:tcW w:w="1300" w:type="dxa"/>
            <w:vAlign w:val="center"/>
          </w:tcPr>
          <w:p w14:paraId="707678F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33,871</w:t>
            </w:r>
          </w:p>
        </w:tc>
        <w:tc>
          <w:tcPr>
            <w:tcW w:w="1600" w:type="dxa"/>
            <w:vAlign w:val="center"/>
          </w:tcPr>
          <w:p w14:paraId="0C0AC87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11,519</w:t>
            </w:r>
          </w:p>
        </w:tc>
        <w:tc>
          <w:tcPr>
            <w:tcW w:w="1580" w:type="dxa"/>
            <w:vAlign w:val="center"/>
          </w:tcPr>
          <w:p w14:paraId="14BA1E8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+11,908</w:t>
            </w:r>
          </w:p>
        </w:tc>
        <w:tc>
          <w:tcPr>
            <w:tcW w:w="1580" w:type="dxa"/>
            <w:vAlign w:val="center"/>
          </w:tcPr>
          <w:p w14:paraId="433206F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+0,389</w:t>
            </w:r>
          </w:p>
        </w:tc>
      </w:tr>
      <w:tr w:rsidR="009C1161" w14:paraId="397D60C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131FAB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</w:t>
            </w:r>
          </w:p>
        </w:tc>
        <w:tc>
          <w:tcPr>
            <w:tcW w:w="1300" w:type="dxa"/>
            <w:vAlign w:val="center"/>
          </w:tcPr>
          <w:p w14:paraId="256C22D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185,849</w:t>
            </w:r>
          </w:p>
        </w:tc>
        <w:tc>
          <w:tcPr>
            <w:tcW w:w="1300" w:type="dxa"/>
            <w:vAlign w:val="center"/>
          </w:tcPr>
          <w:p w14:paraId="408041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−52,832</w:t>
            </w:r>
          </w:p>
        </w:tc>
        <w:tc>
          <w:tcPr>
            <w:tcW w:w="1300" w:type="dxa"/>
            <w:vAlign w:val="center"/>
          </w:tcPr>
          <w:p w14:paraId="135AF7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37,168</w:t>
            </w:r>
          </w:p>
        </w:tc>
        <w:tc>
          <w:tcPr>
            <w:tcW w:w="1600" w:type="dxa"/>
            <w:vAlign w:val="center"/>
          </w:tcPr>
          <w:p w14:paraId="23E20B7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23,703</w:t>
            </w:r>
          </w:p>
        </w:tc>
        <w:tc>
          <w:tcPr>
            <w:tcW w:w="1580" w:type="dxa"/>
            <w:vAlign w:val="center"/>
          </w:tcPr>
          <w:p w14:paraId="31DF3F8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+23,428</w:t>
            </w:r>
          </w:p>
        </w:tc>
        <w:tc>
          <w:tcPr>
            <w:tcW w:w="1580" w:type="dxa"/>
            <w:vAlign w:val="center"/>
          </w:tcPr>
          <w:p w14:paraId="5C941F3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−0,274</w:t>
            </w:r>
          </w:p>
        </w:tc>
      </w:tr>
      <w:tr w:rsidR="009C1161" w14:paraId="0F7C090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9F6CB8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</w:t>
            </w:r>
          </w:p>
        </w:tc>
        <w:tc>
          <w:tcPr>
            <w:tcW w:w="1300" w:type="dxa"/>
            <w:vAlign w:val="center"/>
          </w:tcPr>
          <w:p w14:paraId="2BEA989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181,691</w:t>
            </w:r>
          </w:p>
        </w:tc>
        <w:tc>
          <w:tcPr>
            <w:tcW w:w="1300" w:type="dxa"/>
            <w:vAlign w:val="center"/>
          </w:tcPr>
          <w:p w14:paraId="61ED9D1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−48,674</w:t>
            </w:r>
          </w:p>
        </w:tc>
        <w:tc>
          <w:tcPr>
            <w:tcW w:w="1300" w:type="dxa"/>
            <w:vAlign w:val="center"/>
          </w:tcPr>
          <w:p w14:paraId="73AF93C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41,326</w:t>
            </w:r>
          </w:p>
        </w:tc>
        <w:tc>
          <w:tcPr>
            <w:tcW w:w="1600" w:type="dxa"/>
            <w:vAlign w:val="center"/>
          </w:tcPr>
          <w:p w14:paraId="31C61EA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38,101</w:t>
            </w:r>
          </w:p>
        </w:tc>
        <w:tc>
          <w:tcPr>
            <w:tcW w:w="1580" w:type="dxa"/>
            <w:vAlign w:val="center"/>
          </w:tcPr>
          <w:p w14:paraId="1891C36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+37,729</w:t>
            </w:r>
          </w:p>
        </w:tc>
        <w:tc>
          <w:tcPr>
            <w:tcW w:w="1580" w:type="dxa"/>
            <w:vAlign w:val="center"/>
          </w:tcPr>
          <w:p w14:paraId="2B023A1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−0,372</w:t>
            </w:r>
          </w:p>
        </w:tc>
      </w:tr>
      <w:tr w:rsidR="009C1161" w14:paraId="6768A8B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4734EF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</w:t>
            </w:r>
          </w:p>
        </w:tc>
        <w:tc>
          <w:tcPr>
            <w:tcW w:w="1300" w:type="dxa"/>
            <w:vAlign w:val="center"/>
          </w:tcPr>
          <w:p w14:paraId="76A982D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177,677</w:t>
            </w:r>
          </w:p>
        </w:tc>
        <w:tc>
          <w:tcPr>
            <w:tcW w:w="1300" w:type="dxa"/>
            <w:vAlign w:val="center"/>
          </w:tcPr>
          <w:p w14:paraId="600D70E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−44,660</w:t>
            </w:r>
          </w:p>
        </w:tc>
        <w:tc>
          <w:tcPr>
            <w:tcW w:w="1300" w:type="dxa"/>
            <w:vAlign w:val="center"/>
          </w:tcPr>
          <w:p w14:paraId="7EB074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45,340</w:t>
            </w:r>
          </w:p>
        </w:tc>
        <w:tc>
          <w:tcPr>
            <w:tcW w:w="1600" w:type="dxa"/>
            <w:vAlign w:val="center"/>
          </w:tcPr>
          <w:p w14:paraId="527EC3F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50,506</w:t>
            </w:r>
          </w:p>
        </w:tc>
        <w:tc>
          <w:tcPr>
            <w:tcW w:w="1580" w:type="dxa"/>
            <w:vAlign w:val="center"/>
          </w:tcPr>
          <w:p w14:paraId="64313B7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+51,171</w:t>
            </w:r>
          </w:p>
        </w:tc>
        <w:tc>
          <w:tcPr>
            <w:tcW w:w="1580" w:type="dxa"/>
            <w:vAlign w:val="center"/>
          </w:tcPr>
          <w:p w14:paraId="4FC22DE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+0,664</w:t>
            </w:r>
          </w:p>
        </w:tc>
      </w:tr>
      <w:tr w:rsidR="009C1161" w14:paraId="65BDC3C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51CBF6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</w:t>
            </w:r>
          </w:p>
        </w:tc>
        <w:tc>
          <w:tcPr>
            <w:tcW w:w="1300" w:type="dxa"/>
            <w:vAlign w:val="center"/>
          </w:tcPr>
          <w:p w14:paraId="2AE8C81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171,368</w:t>
            </w:r>
          </w:p>
        </w:tc>
        <w:tc>
          <w:tcPr>
            <w:tcW w:w="1300" w:type="dxa"/>
            <w:vAlign w:val="center"/>
          </w:tcPr>
          <w:p w14:paraId="3F50C7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−38,351</w:t>
            </w:r>
          </w:p>
        </w:tc>
        <w:tc>
          <w:tcPr>
            <w:tcW w:w="1300" w:type="dxa"/>
            <w:vAlign w:val="center"/>
          </w:tcPr>
          <w:p w14:paraId="190C608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51,649</w:t>
            </w:r>
          </w:p>
        </w:tc>
        <w:tc>
          <w:tcPr>
            <w:tcW w:w="1600" w:type="dxa"/>
            <w:vAlign w:val="center"/>
          </w:tcPr>
          <w:p w14:paraId="0ADFE8F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70,000</w:t>
            </w:r>
          </w:p>
        </w:tc>
        <w:tc>
          <w:tcPr>
            <w:tcW w:w="1580" w:type="dxa"/>
            <w:vAlign w:val="center"/>
          </w:tcPr>
          <w:p w14:paraId="4AF9485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+71,259</w:t>
            </w:r>
          </w:p>
        </w:tc>
        <w:tc>
          <w:tcPr>
            <w:tcW w:w="1580" w:type="dxa"/>
            <w:vAlign w:val="center"/>
          </w:tcPr>
          <w:p w14:paraId="5858E7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+1,259</w:t>
            </w:r>
          </w:p>
        </w:tc>
      </w:tr>
      <w:tr w:rsidR="009C1161" w14:paraId="553E9C9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C0C65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</w:t>
            </w:r>
          </w:p>
        </w:tc>
        <w:tc>
          <w:tcPr>
            <w:tcW w:w="1300" w:type="dxa"/>
            <w:vAlign w:val="center"/>
          </w:tcPr>
          <w:p w14:paraId="42A0141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167,354</w:t>
            </w:r>
          </w:p>
        </w:tc>
        <w:tc>
          <w:tcPr>
            <w:tcW w:w="1300" w:type="dxa"/>
            <w:vAlign w:val="center"/>
          </w:tcPr>
          <w:p w14:paraId="123039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−34,337</w:t>
            </w:r>
          </w:p>
        </w:tc>
        <w:tc>
          <w:tcPr>
            <w:tcW w:w="1300" w:type="dxa"/>
            <w:vAlign w:val="center"/>
          </w:tcPr>
          <w:p w14:paraId="5F249B2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55,663</w:t>
            </w:r>
          </w:p>
        </w:tc>
        <w:tc>
          <w:tcPr>
            <w:tcW w:w="1600" w:type="dxa"/>
            <w:vAlign w:val="center"/>
          </w:tcPr>
          <w:p w14:paraId="1A61BC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81,962</w:t>
            </w:r>
          </w:p>
        </w:tc>
        <w:tc>
          <w:tcPr>
            <w:tcW w:w="1580" w:type="dxa"/>
            <w:vAlign w:val="center"/>
          </w:tcPr>
          <w:p w14:paraId="3291177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+83,202</w:t>
            </w:r>
          </w:p>
        </w:tc>
        <w:tc>
          <w:tcPr>
            <w:tcW w:w="1580" w:type="dxa"/>
            <w:vAlign w:val="center"/>
          </w:tcPr>
          <w:p w14:paraId="033CF9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+1,240</w:t>
            </w:r>
          </w:p>
        </w:tc>
      </w:tr>
      <w:tr w:rsidR="009C1161" w14:paraId="41942E0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E095AA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</w:t>
            </w:r>
          </w:p>
        </w:tc>
        <w:tc>
          <w:tcPr>
            <w:tcW w:w="1300" w:type="dxa"/>
            <w:vAlign w:val="center"/>
          </w:tcPr>
          <w:p w14:paraId="27E8237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162,766</w:t>
            </w:r>
          </w:p>
        </w:tc>
        <w:tc>
          <w:tcPr>
            <w:tcW w:w="1300" w:type="dxa"/>
            <w:vAlign w:val="center"/>
          </w:tcPr>
          <w:p w14:paraId="0FA67CA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−29,749</w:t>
            </w:r>
          </w:p>
        </w:tc>
        <w:tc>
          <w:tcPr>
            <w:tcW w:w="1300" w:type="dxa"/>
            <w:vAlign w:val="center"/>
          </w:tcPr>
          <w:p w14:paraId="0108F1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60,251</w:t>
            </w:r>
          </w:p>
        </w:tc>
        <w:tc>
          <w:tcPr>
            <w:tcW w:w="1600" w:type="dxa"/>
            <w:vAlign w:val="center"/>
          </w:tcPr>
          <w:p w14:paraId="4F20E07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94,146</w:t>
            </w:r>
          </w:p>
        </w:tc>
        <w:tc>
          <w:tcPr>
            <w:tcW w:w="1580" w:type="dxa"/>
            <w:vAlign w:val="center"/>
          </w:tcPr>
          <w:p w14:paraId="3B511BD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+95,882</w:t>
            </w:r>
          </w:p>
        </w:tc>
        <w:tc>
          <w:tcPr>
            <w:tcW w:w="1580" w:type="dxa"/>
            <w:vAlign w:val="center"/>
          </w:tcPr>
          <w:p w14:paraId="31A5D2C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+1,736</w:t>
            </w:r>
          </w:p>
        </w:tc>
      </w:tr>
      <w:tr w:rsidR="009C1161" w14:paraId="7AB327F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CB6A78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</w:t>
            </w:r>
          </w:p>
        </w:tc>
        <w:tc>
          <w:tcPr>
            <w:tcW w:w="1300" w:type="dxa"/>
            <w:vAlign w:val="center"/>
          </w:tcPr>
          <w:p w14:paraId="36467A0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155,311</w:t>
            </w:r>
          </w:p>
        </w:tc>
        <w:tc>
          <w:tcPr>
            <w:tcW w:w="1300" w:type="dxa"/>
            <w:vAlign w:val="center"/>
          </w:tcPr>
          <w:p w14:paraId="48C3519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−22,294</w:t>
            </w:r>
          </w:p>
        </w:tc>
        <w:tc>
          <w:tcPr>
            <w:tcW w:w="1300" w:type="dxa"/>
            <w:vAlign w:val="center"/>
          </w:tcPr>
          <w:p w14:paraId="081E679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67,706</w:t>
            </w:r>
          </w:p>
        </w:tc>
        <w:tc>
          <w:tcPr>
            <w:tcW w:w="1600" w:type="dxa"/>
            <w:vAlign w:val="center"/>
          </w:tcPr>
          <w:p w14:paraId="11792C9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111,867</w:t>
            </w:r>
          </w:p>
        </w:tc>
        <w:tc>
          <w:tcPr>
            <w:tcW w:w="1580" w:type="dxa"/>
            <w:vAlign w:val="center"/>
          </w:tcPr>
          <w:p w14:paraId="70AFF4F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+113,925</w:t>
            </w:r>
          </w:p>
        </w:tc>
        <w:tc>
          <w:tcPr>
            <w:tcW w:w="1580" w:type="dxa"/>
            <w:vAlign w:val="center"/>
          </w:tcPr>
          <w:p w14:paraId="29569C3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+2,058</w:t>
            </w:r>
          </w:p>
        </w:tc>
      </w:tr>
      <w:tr w:rsidR="009C1161" w14:paraId="4BB28052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6112DF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</w:t>
            </w:r>
          </w:p>
        </w:tc>
        <w:tc>
          <w:tcPr>
            <w:tcW w:w="1300" w:type="dxa"/>
            <w:vAlign w:val="center"/>
          </w:tcPr>
          <w:p w14:paraId="1C1CFA5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148,429</w:t>
            </w:r>
          </w:p>
        </w:tc>
        <w:tc>
          <w:tcPr>
            <w:tcW w:w="1300" w:type="dxa"/>
            <w:vAlign w:val="center"/>
          </w:tcPr>
          <w:p w14:paraId="1EBC38B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−15,412</w:t>
            </w:r>
          </w:p>
        </w:tc>
        <w:tc>
          <w:tcPr>
            <w:tcW w:w="1300" w:type="dxa"/>
            <w:vAlign w:val="center"/>
          </w:tcPr>
          <w:p w14:paraId="35D79F6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74,588</w:t>
            </w:r>
          </w:p>
        </w:tc>
        <w:tc>
          <w:tcPr>
            <w:tcW w:w="1600" w:type="dxa"/>
            <w:vAlign w:val="center"/>
          </w:tcPr>
          <w:p w14:paraId="2C0B79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125,158</w:t>
            </w:r>
          </w:p>
        </w:tc>
        <w:tc>
          <w:tcPr>
            <w:tcW w:w="1580" w:type="dxa"/>
            <w:vAlign w:val="center"/>
          </w:tcPr>
          <w:p w14:paraId="4F3E353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+127,378</w:t>
            </w:r>
          </w:p>
        </w:tc>
        <w:tc>
          <w:tcPr>
            <w:tcW w:w="1580" w:type="dxa"/>
            <w:vAlign w:val="center"/>
          </w:tcPr>
          <w:p w14:paraId="208C916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+2,220</w:t>
            </w:r>
          </w:p>
        </w:tc>
      </w:tr>
      <w:tr w:rsidR="009C1161" w14:paraId="59246E2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9F19F3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</w:t>
            </w:r>
          </w:p>
        </w:tc>
        <w:tc>
          <w:tcPr>
            <w:tcW w:w="1300" w:type="dxa"/>
            <w:vAlign w:val="center"/>
          </w:tcPr>
          <w:p w14:paraId="657590C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143,268</w:t>
            </w:r>
          </w:p>
        </w:tc>
        <w:tc>
          <w:tcPr>
            <w:tcW w:w="1300" w:type="dxa"/>
            <w:vAlign w:val="center"/>
          </w:tcPr>
          <w:p w14:paraId="6A407BB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−10,251</w:t>
            </w:r>
          </w:p>
        </w:tc>
        <w:tc>
          <w:tcPr>
            <w:tcW w:w="1300" w:type="dxa"/>
            <w:vAlign w:val="center"/>
          </w:tcPr>
          <w:p w14:paraId="46D7B9C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79,749</w:t>
            </w:r>
          </w:p>
        </w:tc>
        <w:tc>
          <w:tcPr>
            <w:tcW w:w="1600" w:type="dxa"/>
            <w:vAlign w:val="center"/>
          </w:tcPr>
          <w:p w14:paraId="5CFF095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133,354</w:t>
            </w:r>
          </w:p>
        </w:tc>
        <w:tc>
          <w:tcPr>
            <w:tcW w:w="1580" w:type="dxa"/>
            <w:vAlign w:val="center"/>
          </w:tcPr>
          <w:p w14:paraId="3F1741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+135,260</w:t>
            </w:r>
          </w:p>
        </w:tc>
        <w:tc>
          <w:tcPr>
            <w:tcW w:w="1580" w:type="dxa"/>
            <w:vAlign w:val="center"/>
          </w:tcPr>
          <w:p w14:paraId="7A3B89D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+1,906</w:t>
            </w:r>
          </w:p>
        </w:tc>
      </w:tr>
      <w:tr w:rsidR="009C1161" w14:paraId="58E21FD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5A28EA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</w:t>
            </w:r>
          </w:p>
        </w:tc>
        <w:tc>
          <w:tcPr>
            <w:tcW w:w="1300" w:type="dxa"/>
            <w:vAlign w:val="center"/>
          </w:tcPr>
          <w:p w14:paraId="2848921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135,239</w:t>
            </w:r>
          </w:p>
        </w:tc>
        <w:tc>
          <w:tcPr>
            <w:tcW w:w="1300" w:type="dxa"/>
            <w:vAlign w:val="center"/>
          </w:tcPr>
          <w:p w14:paraId="031A216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−2,222</w:t>
            </w:r>
          </w:p>
        </w:tc>
        <w:tc>
          <w:tcPr>
            <w:tcW w:w="1300" w:type="dxa"/>
            <w:vAlign w:val="center"/>
          </w:tcPr>
          <w:p w14:paraId="1C802F1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87,778</w:t>
            </w:r>
          </w:p>
        </w:tc>
        <w:tc>
          <w:tcPr>
            <w:tcW w:w="1600" w:type="dxa"/>
            <w:vAlign w:val="center"/>
          </w:tcPr>
          <w:p w14:paraId="7C9BEB9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142,437</w:t>
            </w:r>
          </w:p>
        </w:tc>
        <w:tc>
          <w:tcPr>
            <w:tcW w:w="1580" w:type="dxa"/>
            <w:vAlign w:val="center"/>
          </w:tcPr>
          <w:p w14:paraId="04AAB77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+143,561</w:t>
            </w:r>
          </w:p>
        </w:tc>
        <w:tc>
          <w:tcPr>
            <w:tcW w:w="1580" w:type="dxa"/>
            <w:vAlign w:val="center"/>
          </w:tcPr>
          <w:p w14:paraId="244DD49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+1,124</w:t>
            </w:r>
          </w:p>
        </w:tc>
      </w:tr>
      <w:tr w:rsidR="009C1161" w14:paraId="5378E364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5ED4E2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</w:t>
            </w:r>
          </w:p>
        </w:tc>
        <w:tc>
          <w:tcPr>
            <w:tcW w:w="1300" w:type="dxa"/>
            <w:vAlign w:val="center"/>
          </w:tcPr>
          <w:p w14:paraId="2BDC2B7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128,931</w:t>
            </w:r>
          </w:p>
        </w:tc>
        <w:tc>
          <w:tcPr>
            <w:tcW w:w="1300" w:type="dxa"/>
            <w:vAlign w:val="center"/>
          </w:tcPr>
          <w:p w14:paraId="387BA9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+4,086</w:t>
            </w:r>
          </w:p>
        </w:tc>
        <w:tc>
          <w:tcPr>
            <w:tcW w:w="1300" w:type="dxa"/>
            <w:vAlign w:val="center"/>
          </w:tcPr>
          <w:p w14:paraId="7B17F6B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94,086</w:t>
            </w:r>
          </w:p>
        </w:tc>
        <w:tc>
          <w:tcPr>
            <w:tcW w:w="1600" w:type="dxa"/>
            <w:vAlign w:val="center"/>
          </w:tcPr>
          <w:p w14:paraId="6161238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146,202</w:t>
            </w:r>
          </w:p>
        </w:tc>
        <w:tc>
          <w:tcPr>
            <w:tcW w:w="1580" w:type="dxa"/>
            <w:vAlign w:val="center"/>
          </w:tcPr>
          <w:p w14:paraId="669D93F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+146,647</w:t>
            </w:r>
          </w:p>
        </w:tc>
        <w:tc>
          <w:tcPr>
            <w:tcW w:w="1580" w:type="dxa"/>
            <w:vAlign w:val="center"/>
          </w:tcPr>
          <w:p w14:paraId="4641557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+0,445</w:t>
            </w:r>
          </w:p>
        </w:tc>
      </w:tr>
      <w:tr w:rsidR="009C1161" w14:paraId="3E34BEEE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FB8446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</w:t>
            </w:r>
          </w:p>
        </w:tc>
        <w:tc>
          <w:tcPr>
            <w:tcW w:w="1300" w:type="dxa"/>
            <w:vAlign w:val="center"/>
          </w:tcPr>
          <w:p w14:paraId="3B24EB6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123,196</w:t>
            </w:r>
          </w:p>
        </w:tc>
        <w:tc>
          <w:tcPr>
            <w:tcW w:w="1300" w:type="dxa"/>
            <w:vAlign w:val="center"/>
          </w:tcPr>
          <w:p w14:paraId="12687D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+9,821</w:t>
            </w:r>
          </w:p>
        </w:tc>
        <w:tc>
          <w:tcPr>
            <w:tcW w:w="1300" w:type="dxa"/>
            <w:vAlign w:val="center"/>
          </w:tcPr>
          <w:p w14:paraId="4DA0ADB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99,821</w:t>
            </w:r>
          </w:p>
        </w:tc>
        <w:tc>
          <w:tcPr>
            <w:tcW w:w="1600" w:type="dxa"/>
            <w:vAlign w:val="center"/>
          </w:tcPr>
          <w:p w14:paraId="28352DA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147,310</w:t>
            </w:r>
          </w:p>
        </w:tc>
        <w:tc>
          <w:tcPr>
            <w:tcW w:w="1580" w:type="dxa"/>
            <w:vAlign w:val="center"/>
          </w:tcPr>
          <w:p w14:paraId="1B2465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+146,874</w:t>
            </w:r>
          </w:p>
        </w:tc>
        <w:tc>
          <w:tcPr>
            <w:tcW w:w="1580" w:type="dxa"/>
            <w:vAlign w:val="center"/>
          </w:tcPr>
          <w:p w14:paraId="5E60AF5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−0,436</w:t>
            </w:r>
          </w:p>
        </w:tc>
      </w:tr>
      <w:tr w:rsidR="009C1161" w14:paraId="2AD9BBC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88D8E2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</w:t>
            </w:r>
          </w:p>
        </w:tc>
        <w:tc>
          <w:tcPr>
            <w:tcW w:w="1300" w:type="dxa"/>
            <w:vAlign w:val="center"/>
          </w:tcPr>
          <w:p w14:paraId="3992170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115,168</w:t>
            </w:r>
          </w:p>
        </w:tc>
        <w:tc>
          <w:tcPr>
            <w:tcW w:w="1300" w:type="dxa"/>
            <w:vAlign w:val="center"/>
          </w:tcPr>
          <w:p w14:paraId="348B14C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+17,849</w:t>
            </w:r>
          </w:p>
        </w:tc>
        <w:tc>
          <w:tcPr>
            <w:tcW w:w="1300" w:type="dxa"/>
            <w:vAlign w:val="center"/>
          </w:tcPr>
          <w:p w14:paraId="56A8117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107,849</w:t>
            </w:r>
          </w:p>
        </w:tc>
        <w:tc>
          <w:tcPr>
            <w:tcW w:w="1600" w:type="dxa"/>
            <w:vAlign w:val="center"/>
          </w:tcPr>
          <w:p w14:paraId="08B21A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144,652</w:t>
            </w:r>
          </w:p>
        </w:tc>
        <w:tc>
          <w:tcPr>
            <w:tcW w:w="1580" w:type="dxa"/>
            <w:vAlign w:val="center"/>
          </w:tcPr>
          <w:p w14:paraId="33AADE8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+143,291</w:t>
            </w:r>
          </w:p>
        </w:tc>
        <w:tc>
          <w:tcPr>
            <w:tcW w:w="1580" w:type="dxa"/>
            <w:vAlign w:val="center"/>
          </w:tcPr>
          <w:p w14:paraId="3D2761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−1,361</w:t>
            </w:r>
          </w:p>
        </w:tc>
      </w:tr>
      <w:tr w:rsidR="009C1161" w14:paraId="19887D7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E067E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</w:t>
            </w:r>
          </w:p>
        </w:tc>
        <w:tc>
          <w:tcPr>
            <w:tcW w:w="1300" w:type="dxa"/>
            <w:vAlign w:val="center"/>
          </w:tcPr>
          <w:p w14:paraId="5A31508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108,286</w:t>
            </w:r>
          </w:p>
        </w:tc>
        <w:tc>
          <w:tcPr>
            <w:tcW w:w="1300" w:type="dxa"/>
            <w:vAlign w:val="center"/>
          </w:tcPr>
          <w:p w14:paraId="30EAD6C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+24,731</w:t>
            </w:r>
          </w:p>
        </w:tc>
        <w:tc>
          <w:tcPr>
            <w:tcW w:w="1300" w:type="dxa"/>
            <w:vAlign w:val="center"/>
          </w:tcPr>
          <w:p w14:paraId="3C3F8A8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114,731</w:t>
            </w:r>
          </w:p>
        </w:tc>
        <w:tc>
          <w:tcPr>
            <w:tcW w:w="1600" w:type="dxa"/>
            <w:vAlign w:val="center"/>
          </w:tcPr>
          <w:p w14:paraId="6CB25A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138,892</w:t>
            </w:r>
          </w:p>
        </w:tc>
        <w:tc>
          <w:tcPr>
            <w:tcW w:w="1580" w:type="dxa"/>
            <w:vAlign w:val="center"/>
          </w:tcPr>
          <w:p w14:paraId="113D10B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+136,943</w:t>
            </w:r>
          </w:p>
        </w:tc>
        <w:tc>
          <w:tcPr>
            <w:tcW w:w="1580" w:type="dxa"/>
            <w:vAlign w:val="center"/>
          </w:tcPr>
          <w:p w14:paraId="6EB7BAD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−1,950</w:t>
            </w:r>
          </w:p>
        </w:tc>
      </w:tr>
      <w:tr w:rsidR="009C1161" w14:paraId="1760489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441F54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</w:t>
            </w:r>
          </w:p>
        </w:tc>
        <w:tc>
          <w:tcPr>
            <w:tcW w:w="1300" w:type="dxa"/>
            <w:vAlign w:val="center"/>
          </w:tcPr>
          <w:p w14:paraId="116C783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100,831</w:t>
            </w:r>
          </w:p>
        </w:tc>
        <w:tc>
          <w:tcPr>
            <w:tcW w:w="1300" w:type="dxa"/>
            <w:vAlign w:val="center"/>
          </w:tcPr>
          <w:p w14:paraId="094CCFB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+32,186</w:t>
            </w:r>
          </w:p>
        </w:tc>
        <w:tc>
          <w:tcPr>
            <w:tcW w:w="1300" w:type="dxa"/>
            <w:vAlign w:val="center"/>
          </w:tcPr>
          <w:p w14:paraId="62CA65D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122,186</w:t>
            </w:r>
          </w:p>
        </w:tc>
        <w:tc>
          <w:tcPr>
            <w:tcW w:w="1600" w:type="dxa"/>
            <w:vAlign w:val="center"/>
          </w:tcPr>
          <w:p w14:paraId="09B2D82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130,032</w:t>
            </w:r>
          </w:p>
        </w:tc>
        <w:tc>
          <w:tcPr>
            <w:tcW w:w="1580" w:type="dxa"/>
            <w:vAlign w:val="center"/>
          </w:tcPr>
          <w:p w14:paraId="2D1C311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+127,175</w:t>
            </w:r>
          </w:p>
        </w:tc>
        <w:tc>
          <w:tcPr>
            <w:tcW w:w="1580" w:type="dxa"/>
            <w:vAlign w:val="center"/>
          </w:tcPr>
          <w:p w14:paraId="2D93BA5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−2,856</w:t>
            </w:r>
          </w:p>
        </w:tc>
      </w:tr>
      <w:tr w:rsidR="009C1161" w14:paraId="2611203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3CC958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</w:t>
            </w:r>
          </w:p>
        </w:tc>
        <w:tc>
          <w:tcPr>
            <w:tcW w:w="1300" w:type="dxa"/>
            <w:vAlign w:val="center"/>
          </w:tcPr>
          <w:p w14:paraId="3A9228E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94,809</w:t>
            </w:r>
          </w:p>
        </w:tc>
        <w:tc>
          <w:tcPr>
            <w:tcW w:w="1300" w:type="dxa"/>
            <w:vAlign w:val="center"/>
          </w:tcPr>
          <w:p w14:paraId="1436ED5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+38,208</w:t>
            </w:r>
          </w:p>
        </w:tc>
        <w:tc>
          <w:tcPr>
            <w:tcW w:w="1300" w:type="dxa"/>
            <w:vAlign w:val="center"/>
          </w:tcPr>
          <w:p w14:paraId="1A3D20B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128,208</w:t>
            </w:r>
          </w:p>
        </w:tc>
        <w:tc>
          <w:tcPr>
            <w:tcW w:w="1600" w:type="dxa"/>
            <w:vAlign w:val="center"/>
          </w:tcPr>
          <w:p w14:paraId="361DDA9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120,063</w:t>
            </w:r>
          </w:p>
        </w:tc>
        <w:tc>
          <w:tcPr>
            <w:tcW w:w="1580" w:type="dxa"/>
            <w:vAlign w:val="center"/>
          </w:tcPr>
          <w:p w14:paraId="325783D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+117,532</w:t>
            </w:r>
          </w:p>
        </w:tc>
        <w:tc>
          <w:tcPr>
            <w:tcW w:w="1580" w:type="dxa"/>
            <w:vAlign w:val="center"/>
          </w:tcPr>
          <w:p w14:paraId="626A60D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−2,532</w:t>
            </w:r>
          </w:p>
        </w:tc>
      </w:tr>
      <w:tr w:rsidR="009C1161" w14:paraId="14392D6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A0DEC9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19</w:t>
            </w:r>
          </w:p>
        </w:tc>
        <w:tc>
          <w:tcPr>
            <w:tcW w:w="1300" w:type="dxa"/>
            <w:vAlign w:val="center"/>
          </w:tcPr>
          <w:p w14:paraId="033969E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88,501</w:t>
            </w:r>
          </w:p>
        </w:tc>
        <w:tc>
          <w:tcPr>
            <w:tcW w:w="1300" w:type="dxa"/>
            <w:vAlign w:val="center"/>
          </w:tcPr>
          <w:p w14:paraId="4CA11DE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+44,516</w:t>
            </w:r>
          </w:p>
        </w:tc>
        <w:tc>
          <w:tcPr>
            <w:tcW w:w="1300" w:type="dxa"/>
            <w:vAlign w:val="center"/>
          </w:tcPr>
          <w:p w14:paraId="5C06313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134,516</w:t>
            </w:r>
          </w:p>
        </w:tc>
        <w:tc>
          <w:tcPr>
            <w:tcW w:w="1600" w:type="dxa"/>
            <w:vAlign w:val="center"/>
          </w:tcPr>
          <w:p w14:paraId="749A0DB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108,987</w:t>
            </w:r>
          </w:p>
        </w:tc>
        <w:tc>
          <w:tcPr>
            <w:tcW w:w="1580" w:type="dxa"/>
            <w:vAlign w:val="center"/>
          </w:tcPr>
          <w:p w14:paraId="550C714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+106,203</w:t>
            </w:r>
          </w:p>
        </w:tc>
        <w:tc>
          <w:tcPr>
            <w:tcW w:w="1580" w:type="dxa"/>
            <w:vAlign w:val="center"/>
          </w:tcPr>
          <w:p w14:paraId="5961B3B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−2,784</w:t>
            </w:r>
          </w:p>
        </w:tc>
      </w:tr>
      <w:tr w:rsidR="009C1161" w14:paraId="223449AC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090B1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20</w:t>
            </w:r>
          </w:p>
        </w:tc>
        <w:tc>
          <w:tcPr>
            <w:tcW w:w="1300" w:type="dxa"/>
            <w:vAlign w:val="center"/>
          </w:tcPr>
          <w:p w14:paraId="79FBFB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83,340</w:t>
            </w:r>
          </w:p>
        </w:tc>
        <w:tc>
          <w:tcPr>
            <w:tcW w:w="1300" w:type="dxa"/>
            <w:vAlign w:val="center"/>
          </w:tcPr>
          <w:p w14:paraId="52E1DCA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+49,677</w:t>
            </w:r>
          </w:p>
        </w:tc>
        <w:tc>
          <w:tcPr>
            <w:tcW w:w="1300" w:type="dxa"/>
            <w:vAlign w:val="center"/>
          </w:tcPr>
          <w:p w14:paraId="3DDBB5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139,677</w:t>
            </w:r>
          </w:p>
        </w:tc>
        <w:tc>
          <w:tcPr>
            <w:tcW w:w="1600" w:type="dxa"/>
            <w:vAlign w:val="center"/>
          </w:tcPr>
          <w:p w14:paraId="30CA56F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98,354</w:t>
            </w:r>
          </w:p>
        </w:tc>
        <w:tc>
          <w:tcPr>
            <w:tcW w:w="1580" w:type="dxa"/>
            <w:vAlign w:val="center"/>
          </w:tcPr>
          <w:p w14:paraId="5D76AD2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+96,324</w:t>
            </w:r>
          </w:p>
        </w:tc>
        <w:tc>
          <w:tcPr>
            <w:tcW w:w="1580" w:type="dxa"/>
            <w:vAlign w:val="center"/>
          </w:tcPr>
          <w:p w14:paraId="2CDC805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−2,030</w:t>
            </w:r>
          </w:p>
        </w:tc>
      </w:tr>
      <w:tr w:rsidR="009C1161" w14:paraId="48B2B4A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AFB0A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21</w:t>
            </w:r>
          </w:p>
        </w:tc>
        <w:tc>
          <w:tcPr>
            <w:tcW w:w="1300" w:type="dxa"/>
            <w:vAlign w:val="center"/>
          </w:tcPr>
          <w:p w14:paraId="1BD180F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78,035</w:t>
            </w:r>
          </w:p>
        </w:tc>
        <w:tc>
          <w:tcPr>
            <w:tcW w:w="1300" w:type="dxa"/>
            <w:vAlign w:val="center"/>
          </w:tcPr>
          <w:p w14:paraId="4F4E771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+54,982</w:t>
            </w:r>
          </w:p>
        </w:tc>
        <w:tc>
          <w:tcPr>
            <w:tcW w:w="1300" w:type="dxa"/>
            <w:vAlign w:val="center"/>
          </w:tcPr>
          <w:p w14:paraId="103AF5D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144,982</w:t>
            </w:r>
          </w:p>
        </w:tc>
        <w:tc>
          <w:tcPr>
            <w:tcW w:w="1600" w:type="dxa"/>
            <w:vAlign w:val="center"/>
          </w:tcPr>
          <w:p w14:paraId="40F5D5B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87,500</w:t>
            </w:r>
          </w:p>
        </w:tc>
        <w:tc>
          <w:tcPr>
            <w:tcW w:w="1580" w:type="dxa"/>
            <w:vAlign w:val="center"/>
          </w:tcPr>
          <w:p w14:paraId="321529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+85,889</w:t>
            </w:r>
          </w:p>
        </w:tc>
        <w:tc>
          <w:tcPr>
            <w:tcW w:w="1580" w:type="dxa"/>
            <w:vAlign w:val="center"/>
          </w:tcPr>
          <w:p w14:paraId="70DC263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−1,611</w:t>
            </w:r>
          </w:p>
        </w:tc>
      </w:tr>
      <w:tr w:rsidR="009C1161" w14:paraId="501C266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AC9CFE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22</w:t>
            </w:r>
          </w:p>
        </w:tc>
        <w:tc>
          <w:tcPr>
            <w:tcW w:w="1300" w:type="dxa"/>
            <w:vAlign w:val="center"/>
          </w:tcPr>
          <w:p w14:paraId="7B38905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72,587</w:t>
            </w:r>
          </w:p>
        </w:tc>
        <w:tc>
          <w:tcPr>
            <w:tcW w:w="1300" w:type="dxa"/>
            <w:vAlign w:val="center"/>
          </w:tcPr>
          <w:p w14:paraId="4406AD9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+60,430</w:t>
            </w:r>
          </w:p>
        </w:tc>
        <w:tc>
          <w:tcPr>
            <w:tcW w:w="1300" w:type="dxa"/>
            <w:vAlign w:val="center"/>
          </w:tcPr>
          <w:p w14:paraId="4F3DDB5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150,430</w:t>
            </w:r>
          </w:p>
        </w:tc>
        <w:tc>
          <w:tcPr>
            <w:tcW w:w="1600" w:type="dxa"/>
            <w:vAlign w:val="center"/>
          </w:tcPr>
          <w:p w14:paraId="1315350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75,981</w:t>
            </w:r>
          </w:p>
        </w:tc>
        <w:tc>
          <w:tcPr>
            <w:tcW w:w="1580" w:type="dxa"/>
            <w:vAlign w:val="center"/>
          </w:tcPr>
          <w:p w14:paraId="2FA061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+75,155</w:t>
            </w:r>
          </w:p>
        </w:tc>
        <w:tc>
          <w:tcPr>
            <w:tcW w:w="1580" w:type="dxa"/>
            <w:vAlign w:val="center"/>
          </w:tcPr>
          <w:p w14:paraId="36BEC86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−0,826</w:t>
            </w:r>
          </w:p>
        </w:tc>
      </w:tr>
      <w:tr w:rsidR="009C1161" w14:paraId="11C0C0A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2FA6D0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23</w:t>
            </w:r>
          </w:p>
        </w:tc>
        <w:tc>
          <w:tcPr>
            <w:tcW w:w="1300" w:type="dxa"/>
            <w:vAlign w:val="center"/>
          </w:tcPr>
          <w:p w14:paraId="3C365C9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68,142</w:t>
            </w:r>
          </w:p>
        </w:tc>
        <w:tc>
          <w:tcPr>
            <w:tcW w:w="1300" w:type="dxa"/>
            <w:vAlign w:val="center"/>
          </w:tcPr>
          <w:p w14:paraId="0C8A268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+64,875</w:t>
            </w:r>
          </w:p>
        </w:tc>
        <w:tc>
          <w:tcPr>
            <w:tcW w:w="1300" w:type="dxa"/>
            <w:vAlign w:val="center"/>
          </w:tcPr>
          <w:p w14:paraId="2AF3F80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154,875</w:t>
            </w:r>
          </w:p>
        </w:tc>
        <w:tc>
          <w:tcPr>
            <w:tcW w:w="1600" w:type="dxa"/>
            <w:vAlign w:val="center"/>
          </w:tcPr>
          <w:p w14:paraId="6C801F1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66,456</w:t>
            </w:r>
          </w:p>
        </w:tc>
        <w:tc>
          <w:tcPr>
            <w:tcW w:w="1580" w:type="dxa"/>
            <w:vAlign w:val="center"/>
          </w:tcPr>
          <w:p w14:paraId="0A3534F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+66,572</w:t>
            </w:r>
          </w:p>
        </w:tc>
        <w:tc>
          <w:tcPr>
            <w:tcW w:w="1580" w:type="dxa"/>
            <w:vAlign w:val="center"/>
          </w:tcPr>
          <w:p w14:paraId="363E5E9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+0,117</w:t>
            </w:r>
          </w:p>
        </w:tc>
      </w:tr>
      <w:tr w:rsidR="009C1161" w14:paraId="6D94AD6C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AAB4D5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24</w:t>
            </w:r>
          </w:p>
        </w:tc>
        <w:tc>
          <w:tcPr>
            <w:tcW w:w="1300" w:type="dxa"/>
            <w:vAlign w:val="center"/>
          </w:tcPr>
          <w:p w14:paraId="08C2BC7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62,408</w:t>
            </w:r>
          </w:p>
        </w:tc>
        <w:tc>
          <w:tcPr>
            <w:tcW w:w="1300" w:type="dxa"/>
            <w:vAlign w:val="center"/>
          </w:tcPr>
          <w:p w14:paraId="31C46A4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+70,609</w:t>
            </w:r>
          </w:p>
        </w:tc>
        <w:tc>
          <w:tcPr>
            <w:tcW w:w="1300" w:type="dxa"/>
            <w:vAlign w:val="center"/>
          </w:tcPr>
          <w:p w14:paraId="572F2D1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160,609</w:t>
            </w:r>
          </w:p>
        </w:tc>
        <w:tc>
          <w:tcPr>
            <w:tcW w:w="1600" w:type="dxa"/>
            <w:vAlign w:val="center"/>
          </w:tcPr>
          <w:p w14:paraId="47E0D3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55,158</w:t>
            </w:r>
          </w:p>
        </w:tc>
        <w:tc>
          <w:tcPr>
            <w:tcW w:w="1580" w:type="dxa"/>
            <w:vAlign w:val="center"/>
          </w:tcPr>
          <w:p w14:paraId="1714EB3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+55,955</w:t>
            </w:r>
          </w:p>
        </w:tc>
        <w:tc>
          <w:tcPr>
            <w:tcW w:w="1580" w:type="dxa"/>
            <w:vAlign w:val="center"/>
          </w:tcPr>
          <w:p w14:paraId="1890297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+0,797</w:t>
            </w:r>
          </w:p>
        </w:tc>
      </w:tr>
      <w:tr w:rsidR="009C1161" w14:paraId="2325C1B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BCE029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25</w:t>
            </w:r>
          </w:p>
        </w:tc>
        <w:tc>
          <w:tcPr>
            <w:tcW w:w="1300" w:type="dxa"/>
            <w:vAlign w:val="center"/>
          </w:tcPr>
          <w:p w14:paraId="29464C8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57,820</w:t>
            </w:r>
          </w:p>
        </w:tc>
        <w:tc>
          <w:tcPr>
            <w:tcW w:w="1300" w:type="dxa"/>
            <w:vAlign w:val="center"/>
          </w:tcPr>
          <w:p w14:paraId="08F2794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+75,197</w:t>
            </w:r>
          </w:p>
        </w:tc>
        <w:tc>
          <w:tcPr>
            <w:tcW w:w="1300" w:type="dxa"/>
            <w:vAlign w:val="center"/>
          </w:tcPr>
          <w:p w14:paraId="5923BFB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165,197</w:t>
            </w:r>
          </w:p>
        </w:tc>
        <w:tc>
          <w:tcPr>
            <w:tcW w:w="1600" w:type="dxa"/>
            <w:vAlign w:val="center"/>
          </w:tcPr>
          <w:p w14:paraId="4B7F5D7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46,519</w:t>
            </w:r>
          </w:p>
        </w:tc>
        <w:tc>
          <w:tcPr>
            <w:tcW w:w="1580" w:type="dxa"/>
            <w:vAlign w:val="center"/>
          </w:tcPr>
          <w:p w14:paraId="7030C9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+47,977</w:t>
            </w:r>
          </w:p>
        </w:tc>
        <w:tc>
          <w:tcPr>
            <w:tcW w:w="1580" w:type="dxa"/>
            <w:vAlign w:val="center"/>
          </w:tcPr>
          <w:p w14:paraId="1AB1696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+1,458</w:t>
            </w:r>
          </w:p>
        </w:tc>
      </w:tr>
      <w:tr w:rsidR="009C1161" w14:paraId="43D5E0F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A85DB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26</w:t>
            </w:r>
          </w:p>
        </w:tc>
        <w:tc>
          <w:tcPr>
            <w:tcW w:w="1300" w:type="dxa"/>
            <w:vAlign w:val="center"/>
          </w:tcPr>
          <w:p w14:paraId="7C45A2E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54,379</w:t>
            </w:r>
          </w:p>
        </w:tc>
        <w:tc>
          <w:tcPr>
            <w:tcW w:w="1300" w:type="dxa"/>
            <w:vAlign w:val="center"/>
          </w:tcPr>
          <w:p w14:paraId="1686F4D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+78,638</w:t>
            </w:r>
          </w:p>
        </w:tc>
        <w:tc>
          <w:tcPr>
            <w:tcW w:w="1300" w:type="dxa"/>
            <w:vAlign w:val="center"/>
          </w:tcPr>
          <w:p w14:paraId="526BF19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168,638</w:t>
            </w:r>
          </w:p>
        </w:tc>
        <w:tc>
          <w:tcPr>
            <w:tcW w:w="1600" w:type="dxa"/>
            <w:vAlign w:val="center"/>
          </w:tcPr>
          <w:p w14:paraId="121FEF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39,873</w:t>
            </w:r>
          </w:p>
        </w:tc>
        <w:tc>
          <w:tcPr>
            <w:tcW w:w="1580" w:type="dxa"/>
            <w:vAlign w:val="center"/>
          </w:tcPr>
          <w:p w14:paraId="6E3952D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+42,356</w:t>
            </w:r>
          </w:p>
        </w:tc>
        <w:tc>
          <w:tcPr>
            <w:tcW w:w="1580" w:type="dxa"/>
            <w:vAlign w:val="center"/>
          </w:tcPr>
          <w:p w14:paraId="282C3AB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+2,482</w:t>
            </w:r>
          </w:p>
        </w:tc>
      </w:tr>
      <w:tr w:rsidR="009C1161" w14:paraId="08D35BE8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F25279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27</w:t>
            </w:r>
          </w:p>
        </w:tc>
        <w:tc>
          <w:tcPr>
            <w:tcW w:w="1300" w:type="dxa"/>
            <w:vAlign w:val="center"/>
          </w:tcPr>
          <w:p w14:paraId="4F6BE7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50,938</w:t>
            </w:r>
          </w:p>
        </w:tc>
        <w:tc>
          <w:tcPr>
            <w:tcW w:w="1300" w:type="dxa"/>
            <w:vAlign w:val="center"/>
          </w:tcPr>
          <w:p w14:paraId="79A9771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+82,079</w:t>
            </w:r>
          </w:p>
        </w:tc>
        <w:tc>
          <w:tcPr>
            <w:tcW w:w="1300" w:type="dxa"/>
            <w:vAlign w:val="center"/>
          </w:tcPr>
          <w:p w14:paraId="754BC8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172,079</w:t>
            </w:r>
          </w:p>
        </w:tc>
        <w:tc>
          <w:tcPr>
            <w:tcW w:w="1600" w:type="dxa"/>
            <w:vAlign w:val="center"/>
          </w:tcPr>
          <w:p w14:paraId="775A102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34,335</w:t>
            </w:r>
          </w:p>
        </w:tc>
        <w:tc>
          <w:tcPr>
            <w:tcW w:w="1580" w:type="dxa"/>
            <w:vAlign w:val="center"/>
          </w:tcPr>
          <w:p w14:paraId="552AB24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+37,078</w:t>
            </w:r>
          </w:p>
        </w:tc>
        <w:tc>
          <w:tcPr>
            <w:tcW w:w="1580" w:type="dxa"/>
            <w:vAlign w:val="center"/>
          </w:tcPr>
          <w:p w14:paraId="6205853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+2,743</w:t>
            </w:r>
          </w:p>
        </w:tc>
      </w:tr>
      <w:tr w:rsidR="009C1161" w14:paraId="0B4AD87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F79821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28</w:t>
            </w:r>
          </w:p>
        </w:tc>
        <w:tc>
          <w:tcPr>
            <w:tcW w:w="1300" w:type="dxa"/>
            <w:vAlign w:val="center"/>
          </w:tcPr>
          <w:p w14:paraId="63815A2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45,777</w:t>
            </w:r>
          </w:p>
        </w:tc>
        <w:tc>
          <w:tcPr>
            <w:tcW w:w="1300" w:type="dxa"/>
            <w:vAlign w:val="center"/>
          </w:tcPr>
          <w:p w14:paraId="746CEFF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+87,240</w:t>
            </w:r>
          </w:p>
        </w:tc>
        <w:tc>
          <w:tcPr>
            <w:tcW w:w="1300" w:type="dxa"/>
            <w:vAlign w:val="center"/>
          </w:tcPr>
          <w:p w14:paraId="123F00D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177,240</w:t>
            </w:r>
          </w:p>
        </w:tc>
        <w:tc>
          <w:tcPr>
            <w:tcW w:w="1600" w:type="dxa"/>
            <w:vAlign w:val="center"/>
          </w:tcPr>
          <w:p w14:paraId="160F385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27,025</w:t>
            </w:r>
          </w:p>
        </w:tc>
        <w:tc>
          <w:tcPr>
            <w:tcW w:w="1580" w:type="dxa"/>
            <w:vAlign w:val="center"/>
          </w:tcPr>
          <w:p w14:paraId="60F1BA2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+29,845</w:t>
            </w:r>
          </w:p>
        </w:tc>
        <w:tc>
          <w:tcPr>
            <w:tcW w:w="1580" w:type="dxa"/>
            <w:vAlign w:val="center"/>
          </w:tcPr>
          <w:p w14:paraId="347F1B6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+2,819</w:t>
            </w:r>
          </w:p>
        </w:tc>
      </w:tr>
      <w:tr w:rsidR="009C1161" w14:paraId="5B7FA75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1603B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29</w:t>
            </w:r>
          </w:p>
        </w:tc>
        <w:tc>
          <w:tcPr>
            <w:tcW w:w="1300" w:type="dxa"/>
            <w:vAlign w:val="center"/>
          </w:tcPr>
          <w:p w14:paraId="73DF51B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42,909</w:t>
            </w:r>
          </w:p>
        </w:tc>
        <w:tc>
          <w:tcPr>
            <w:tcW w:w="1300" w:type="dxa"/>
            <w:vAlign w:val="center"/>
          </w:tcPr>
          <w:p w14:paraId="594FA85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+90,108</w:t>
            </w:r>
          </w:p>
        </w:tc>
        <w:tc>
          <w:tcPr>
            <w:tcW w:w="1300" w:type="dxa"/>
            <w:vAlign w:val="center"/>
          </w:tcPr>
          <w:p w14:paraId="5FF9BBA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180,108</w:t>
            </w:r>
          </w:p>
        </w:tc>
        <w:tc>
          <w:tcPr>
            <w:tcW w:w="1600" w:type="dxa"/>
            <w:vAlign w:val="center"/>
          </w:tcPr>
          <w:p w14:paraId="0AA0589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22,816</w:t>
            </w:r>
          </w:p>
        </w:tc>
        <w:tc>
          <w:tcPr>
            <w:tcW w:w="1580" w:type="dxa"/>
            <w:vAlign w:val="center"/>
          </w:tcPr>
          <w:p w14:paraId="4473AD2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+26,188</w:t>
            </w:r>
          </w:p>
        </w:tc>
        <w:tc>
          <w:tcPr>
            <w:tcW w:w="1580" w:type="dxa"/>
            <w:vAlign w:val="center"/>
          </w:tcPr>
          <w:p w14:paraId="24C6037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+3,371</w:t>
            </w:r>
          </w:p>
        </w:tc>
      </w:tr>
    </w:tbl>
    <w:p w14:paraId="4B43E73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autor, a partir da US 9.889.554 B2 (VAN ENGELHOVEN; KAZEROONI, 2018).</w:t>
      </w:r>
    </w:p>
    <w:p w14:paraId="070AC3D7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extraído; modelo com K = 174,68, h = 22,701 mm e X</w:t>
      </w:r>
      <w:r>
        <w:rPr>
          <w:sz w:val="20"/>
          <w:szCs w:val="20"/>
          <w:vertAlign w:val="subscript"/>
          <w:lang w:val="pt-BR"/>
        </w:rPr>
        <w:t>pose</w:t>
      </w:r>
      <w:r>
        <w:rPr>
          <w:sz w:val="20"/>
          <w:szCs w:val="20"/>
          <w:lang w:val="pt-BR"/>
        </w:rPr>
        <w:t xml:space="preserve"> = 37,383 mm.</w:t>
      </w:r>
    </w:p>
    <w:p w14:paraId="4307B6D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4.3 Verificação da cadeia de cálculo</w:t>
      </w:r>
    </w:p>
    <w:p w14:paraId="19FD541C" w14:textId="77777777" w:rsidR="009C1161" w:rsidRDefault="003B1183">
      <w:pPr>
        <w:rPr>
          <w:lang w:val="pt-BR"/>
        </w:rPr>
      </w:pPr>
      <w:r>
        <w:rPr>
          <w:lang w:val="pt-BR"/>
        </w:rPr>
        <w:t>As verificações automáticas da seção 3.11 resultaram nos resíduos da Tabela 5, todos da ordem do erro de arredondamento da aritmética de ponto flutuante, exceto o do trabalho virtual, limitado pelo truncamento da diferença finita.</w:t>
      </w:r>
    </w:p>
    <w:p w14:paraId="26906408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5 — Verificações da cadeia de cálculo (h = 22,701 mm)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6260"/>
        <w:gridCol w:w="3100"/>
      </w:tblGrid>
      <w:tr w:rsidR="009C1161" w14:paraId="4DFF7CA2" w14:textId="77777777">
        <w:trPr>
          <w:cantSplit/>
          <w:tblHeader/>
          <w:jc w:val="center"/>
        </w:trPr>
        <w:tc>
          <w:tcPr>
            <w:tcW w:w="6260" w:type="dxa"/>
            <w:shd w:val="clear" w:color="auto" w:fill="F2F2F2"/>
            <w:vAlign w:val="center"/>
          </w:tcPr>
          <w:p w14:paraId="0C5A40A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Verificação</w:t>
            </w:r>
          </w:p>
        </w:tc>
        <w:tc>
          <w:tcPr>
            <w:tcW w:w="3100" w:type="dxa"/>
            <w:shd w:val="clear" w:color="auto" w:fill="F2F2F2"/>
            <w:vAlign w:val="center"/>
          </w:tcPr>
          <w:p w14:paraId="7D70086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Resíduo máximo</w:t>
            </w:r>
          </w:p>
        </w:tc>
      </w:tr>
      <w:tr w:rsidR="009C1161" w14:paraId="503457C3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5D5D409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Equações de fechamento f</w:t>
            </w:r>
            <w:r>
              <w:rPr>
                <w:vertAlign w:val="subscript"/>
                <w:lang w:val="pt-BR"/>
              </w:rPr>
              <w:t>1</w:t>
            </w:r>
            <w:r>
              <w:rPr>
                <w:lang w:val="pt-BR"/>
              </w:rPr>
              <w:t xml:space="preserve"> e f</w:t>
            </w:r>
            <w:r>
              <w:rPr>
                <w:vertAlign w:val="subscript"/>
                <w:lang w:val="pt-BR"/>
              </w:rPr>
              <w:t>2</w:t>
            </w:r>
            <w:r>
              <w:rPr>
                <w:lang w:val="pt-BR"/>
              </w:rPr>
              <w:t>, Equação (6)</w:t>
            </w:r>
          </w:p>
        </w:tc>
        <w:tc>
          <w:tcPr>
            <w:tcW w:w="3100" w:type="dxa"/>
            <w:vAlign w:val="center"/>
          </w:tcPr>
          <w:p w14:paraId="5D84F19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1,4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44FFD5FC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0317B8F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Identidade τ = −F m/1000, Equação (20), com força unitária</w:t>
            </w:r>
          </w:p>
        </w:tc>
        <w:tc>
          <w:tcPr>
            <w:tcW w:w="3100" w:type="dxa"/>
            <w:vAlign w:val="center"/>
          </w:tcPr>
          <w:p w14:paraId="4020CA5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1,6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4AD9FA65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25C0F59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de tangência pelas Equações (10) e (13)</w:t>
            </w:r>
          </w:p>
        </w:tc>
        <w:tc>
          <w:tcPr>
            <w:tcW w:w="3100" w:type="dxa"/>
            <w:vAlign w:val="center"/>
          </w:tcPr>
          <w:p w14:paraId="769B9CC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8,0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7F65969A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2767E3D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morto, Equação (21) contra bissecção</w:t>
            </w:r>
          </w:p>
        </w:tc>
        <w:tc>
          <w:tcPr>
            <w:tcW w:w="3100" w:type="dxa"/>
            <w:vAlign w:val="center"/>
          </w:tcPr>
          <w:p w14:paraId="579B645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1,3 × 10</w:t>
            </w:r>
            <w:r>
              <w:rPr>
                <w:vertAlign w:val="superscript"/>
                <w:lang w:val="pt-BR"/>
              </w:rPr>
              <w:t>−11</w:t>
            </w:r>
            <w:r>
              <w:rPr>
                <w:lang w:val="pt-BR"/>
              </w:rPr>
              <w:t xml:space="preserve"> grau</w:t>
            </w:r>
          </w:p>
        </w:tc>
      </w:tr>
      <w:tr w:rsidR="009C1161" w14:paraId="4E04426A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774F7DD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Trabalho virtual, Equação (17)</w:t>
            </w:r>
          </w:p>
        </w:tc>
        <w:tc>
          <w:tcPr>
            <w:tcW w:w="3100" w:type="dxa"/>
            <w:vAlign w:val="center"/>
          </w:tcPr>
          <w:p w14:paraId="3F9B908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4,7 × 10</w:t>
            </w:r>
            <w:r>
              <w:rPr>
                <w:vertAlign w:val="superscript"/>
                <w:lang w:val="pt-BR"/>
              </w:rPr>
              <w:t>−8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1C39A6BF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1474BF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Par da mola, X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 xml:space="preserve"> = L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 xml:space="preserve"> − L</w:t>
            </w:r>
            <w:r>
              <w:rPr>
                <w:vertAlign w:val="subscript"/>
                <w:lang w:val="pt-BR"/>
              </w:rPr>
              <w:t>livre</w:t>
            </w:r>
          </w:p>
        </w:tc>
        <w:tc>
          <w:tcPr>
            <w:tcW w:w="3100" w:type="dxa"/>
            <w:vAlign w:val="center"/>
          </w:tcPr>
          <w:p w14:paraId="5DDA569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7,1 × 10</w:t>
            </w:r>
            <w:r>
              <w:rPr>
                <w:vertAlign w:val="superscript"/>
                <w:lang w:val="pt-BR"/>
              </w:rPr>
              <w:t>−15</w:t>
            </w:r>
            <w:r>
              <w:rPr>
                <w:lang w:val="pt-BR"/>
              </w:rPr>
              <w:t xml:space="preserve"> mm</w:t>
            </w:r>
          </w:p>
        </w:tc>
      </w:tr>
    </w:tbl>
    <w:p w14:paraId="6ABE9B77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D5F1945" w14:textId="2ABFA60A" w:rsidR="009C1161" w:rsidRDefault="003B1183">
      <w:pPr>
        <w:rPr>
          <w:lang w:val="pt-BR"/>
        </w:rPr>
      </w:pPr>
      <w:r>
        <w:rPr>
          <w:lang w:val="pt-BR"/>
        </w:rPr>
        <w:t xml:space="preserve">A verificação do trabalho virtual decidiu a formulação do caminho do cabo. Com a extensão da mola acompanhando apenas o vão livre s, como na formulação inicialmente pensada, o resíduo da Equação (17) é de 1,7129 mm; com o arco somado ao vão, s + Rψ, é de 3,4258 mm; somente com ℓ = s − Rψ, Equação (16), ele cai a 4,7 × 10</w:t>
      </w:r>
      <w:r>
        <w:rPr>
          <w:vertAlign w:val="superscript"/>
          <w:lang w:val="pt-BR"/>
        </w:rPr>
        <w:t>−8</w:t>
      </w:r>
      <w:r>
        <w:rPr>
          <w:lang w:val="pt-BR"/>
        </w:rPr>
        <w:t xml:space="preserve"> mm. Um resíduo da ordem do milímetro significa que o modelo entrega torque sem a correspondente variação da energia da mola, violando assim, a conservação de energia em um mecanismo sem atrito.</w:t>
      </w:r>
    </w:p>
    <w:p w14:paraId="34593B44" w14:textId="020B5709" w:rsidR="009C1161" w:rsidRDefault="00E2321D">
      <w:pPr>
        <w:rPr>
          <w:lang w:val="pt-BR"/>
        </w:rPr>
      </w:pPr>
      <w:r>
        <w:rPr>
          <w:lang w:val="pt-BR"/>
        </w:rPr>
        <w:t xml:space="preserve">Embora fora constatado que o efeito do arco é pequeno em valor absoluto. O arco varia 1,862 mm na faixa de operação, contra 42,435 mm de variação do caminho total (4,4%). Com a mesma ancoragem na pose, sua incorporação altera a extensão da mola em até 1,782 mm, em θ* = 193,017° (elevação de 30°), onde a extensão está próxima do máximo e o desvio relativo é de 3,3%. Em termos relativos, o efeito é maior no extremo oposto, em θ* = 42,917° (elevação de 180,1°), onde a extensão cai a 12,044 mm e o desvio chega a 6,3%.</w:t>
      </w:r>
    </w:p>
    <w:p w14:paraId="5E43795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4.4 Parâmetros do modelo e reprodução da identificação</w:t>
      </w:r>
    </w:p>
    <w:p w14:paraId="5D91FB8E" w14:textId="77777777" w:rsidR="009C1161" w:rsidRDefault="003B1183">
      <w:pPr>
        <w:rPr>
          <w:lang w:val="pt-BR"/>
        </w:rPr>
      </w:pPr>
      <w:r>
        <w:rPr>
          <w:lang w:val="pt-BR"/>
        </w:rPr>
        <w:t>A Tabela 6 reúne os parâmetros não publicados pela patente, com seus valores congelados e a situação de cada um nesta revisão.</w:t>
      </w:r>
    </w:p>
    <w:p w14:paraId="446C5C57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6 — Parâmetros não publicados, origem e verificação</w:t>
      </w:r>
    </w:p>
    <w:tbl>
      <w:tblPr>
        <w:tblStyle w:val="Tabelacomgrade"/>
        <w:tblW w:w="7060" w:type="dxa"/>
        <w:jc w:val="center"/>
        <w:tblLayout w:type="fixed"/>
        <w:tblLook w:val="0420" w:firstRow="1" w:lastRow="0" w:firstColumn="0" w:lastColumn="0" w:noHBand="0" w:noVBand="1"/>
      </w:tblPr>
      <w:tblGrid>
        <w:gridCol w:w="1900"/>
        <w:gridCol w:w="1300"/>
        <w:gridCol w:w="1600"/>
        <w:gridCol w:w="2260"/>
      </w:tblGrid>
      <w:tr w:rsidR="00BE1C36" w14:paraId="7243CB72" w14:textId="77777777" w:rsidTr="00BE1C36">
        <w:trPr>
          <w:cantSplit/>
          <w:tblHeader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0C1F42B6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Parâmetro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64EF013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3D5CC5F8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2260" w:type="dxa"/>
            <w:shd w:val="clear" w:color="auto" w:fill="F2F2F2"/>
            <w:vAlign w:val="center"/>
          </w:tcPr>
          <w:p w14:paraId="2B23965C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Origem</w:t>
            </w:r>
          </w:p>
        </w:tc>
      </w:tr>
      <w:tr w:rsidR="00BE1C36" w:rsidRPr="00BE1C36" w14:paraId="22B1FC43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DE0D01F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Calibração angular</w:t>
            </w:r>
          </w:p>
        </w:tc>
        <w:tc>
          <w:tcPr>
            <w:tcW w:w="1300" w:type="dxa"/>
            <w:vAlign w:val="center"/>
          </w:tcPr>
          <w:p w14:paraId="249D0AE8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off</w:t>
            </w:r>
          </w:p>
        </w:tc>
        <w:tc>
          <w:tcPr>
            <w:tcW w:w="1600" w:type="dxa"/>
            <w:vAlign w:val="center"/>
          </w:tcPr>
          <w:p w14:paraId="37B8315C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133,017°</w:t>
            </w:r>
          </w:p>
        </w:tc>
        <w:tc>
          <w:tcPr>
            <w:tcW w:w="2260" w:type="dxa"/>
            <w:vAlign w:val="center"/>
          </w:tcPr>
          <w:p w14:paraId="304A7069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 em etapa anterior</w:t>
            </w:r>
          </w:p>
        </w:tc>
      </w:tr>
      <w:tr w:rsidR="00BE1C36" w14:paraId="7098B227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1276551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Posição da ancoragem</w:t>
            </w:r>
          </w:p>
        </w:tc>
        <w:tc>
          <w:tcPr>
            <w:tcW w:w="1300" w:type="dxa"/>
            <w:vAlign w:val="center"/>
          </w:tcPr>
          <w:p w14:paraId="7F669922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H</w:t>
            </w:r>
            <w:r>
              <w:rPr>
                <w:vertAlign w:val="subscript"/>
                <w:lang w:val="pt-BR"/>
              </w:rPr>
              <w:t>CAL</w:t>
            </w:r>
          </w:p>
        </w:tc>
        <w:tc>
          <w:tcPr>
            <w:tcW w:w="1600" w:type="dxa"/>
            <w:vAlign w:val="center"/>
          </w:tcPr>
          <w:p w14:paraId="1E0D9CD9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22,701 mm</w:t>
            </w:r>
          </w:p>
        </w:tc>
        <w:tc>
          <w:tcPr>
            <w:tcW w:w="2260" w:type="dxa"/>
            <w:vAlign w:val="center"/>
          </w:tcPr>
          <w:p w14:paraId="0B46EF1A" w14:textId="69C0E09B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 em etapa anterior</w:t>
            </w:r>
          </w:p>
        </w:tc>
      </w:tr>
      <w:tr w:rsidR="00BE1C36" w14:paraId="7AFB44FE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CF78658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Extensão da mola na pose</w:t>
            </w:r>
          </w:p>
        </w:tc>
        <w:tc>
          <w:tcPr>
            <w:tcW w:w="1300" w:type="dxa"/>
            <w:vAlign w:val="center"/>
          </w:tcPr>
          <w:p w14:paraId="2EE9A155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X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600" w:type="dxa"/>
            <w:vAlign w:val="center"/>
          </w:tcPr>
          <w:p w14:paraId="53DEF8AB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37,383 mm</w:t>
            </w:r>
          </w:p>
        </w:tc>
        <w:tc>
          <w:tcPr>
            <w:tcW w:w="2260" w:type="dxa"/>
            <w:vAlign w:val="center"/>
          </w:tcPr>
          <w:p w14:paraId="2BF69A34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</w:t>
            </w:r>
          </w:p>
        </w:tc>
      </w:tr>
      <w:tr w:rsidR="00BE1C36" w14:paraId="2CF96C82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1492BBB6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Rigidez da mola</w:t>
            </w:r>
          </w:p>
        </w:tc>
        <w:tc>
          <w:tcPr>
            <w:tcW w:w="1300" w:type="dxa"/>
            <w:vAlign w:val="center"/>
          </w:tcPr>
          <w:p w14:paraId="5C37FD46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</w:t>
            </w:r>
          </w:p>
        </w:tc>
        <w:tc>
          <w:tcPr>
            <w:tcW w:w="1600" w:type="dxa"/>
            <w:vAlign w:val="center"/>
          </w:tcPr>
          <w:p w14:paraId="6AFC3D32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174,68</w:t>
            </w:r>
          </w:p>
        </w:tc>
        <w:tc>
          <w:tcPr>
            <w:tcW w:w="2260" w:type="dxa"/>
            <w:vAlign w:val="center"/>
          </w:tcPr>
          <w:p w14:paraId="69C48E0A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</w:t>
            </w:r>
          </w:p>
        </w:tc>
      </w:tr>
    </w:tbl>
    <w:p w14:paraId="097B594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5C1D627E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K tem a unidade que faz K δ m/1000 resultar em u.p. (seção 3.6).</w:t>
      </w:r>
    </w:p>
    <w:p w14:paraId="6E586A3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h = 22,701 mm 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congelados, a varredura de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com K dado pela Equação (25) reproduz o par identificado: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37,383 mm, K = 174,676 e RMSE de 1,8305 u.p., coincidentes com os valores congelados até a resolução da varredura. O valor 174,68 é, portanto, o arredondamento do K de mínimos quadrados no h adotado, e o par (K, h) é consistente.</w:t>
      </w:r>
    </w:p>
    <w:p w14:paraId="00050EA0" w14:textId="5D0EBD4E" w:rsidR="00E2321D" w:rsidRDefault="003B1183">
      <w:pPr>
        <w:rPr>
          <w:lang w:val="pt-BR"/>
        </w:rPr>
      </w:pPr>
      <w:r>
        <w:rPr>
          <w:lang w:val="pt-BR"/>
        </w:rPr>
        <w:t xml:space="preserve">A origem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ao contrário, não pôde ser reproduzida. Para auditar a identificação de h, foi executada uma análise complementar em que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K são reidentificados para cada h, de 8 a 60 mm em passo de 0,25 mm. Essa análise não é o procedimento principal deste trabalho, que mantém K congelado (seção 3.10), e serve apenas para essa auditoria. O RMSE resultante apresenta mínimo interior em h ≈ 24,0 mm, com RMSE de 1,682 u.p.,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38,83 mm e K = 160,46, e cresce para valores maiores de h.</w:t>
      </w:r>
    </w:p>
    <w:p w14:paraId="172B6E2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consequência,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tratado neste trabalho como parâmetro congelado de origem não reproduzida, e não como ótimo identificado. Ele é mantido porque o par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) foi identificado nesse valor e porque o ponto morto correspondente, na elevação de 30,485°, fica a 0,485° do início da zona neutra indicado na patente, ao passo que h = 24,0 mm o deslocaria para 30,909°. A escolha de h que maximiza o torque devolvido é examinada na seção 4.7.</w:t>
      </w:r>
    </w:p>
    <w:p w14:paraId="782D974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comparação entre formulações obedece à regra da seção 3.9. Com o caminho do cabo igual ao vão livre, a formulação anterior alcança RMSE de 1,152 u.p. no mesmo h, com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37,44 mm e K = 175,50 reidentificados; com o caminho completo, o RMSE é de 1,830 u.p. A formulação anterior ajusta melhor a curva publicada, mas viola a conservação de energia (seção 4.3) e, por isso, foi abandonada: o menor RMSE não é critério de validade física.</w:t>
      </w:r>
    </w:p>
    <w:p w14:paraId="0812233E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4.5 Qualidade do ajuste à curva da patente</w:t>
      </w:r>
    </w:p>
    <w:p w14:paraId="57A8ACB1" w14:textId="77777777" w:rsidR="00244E34" w:rsidRDefault="003B1183" w:rsidP="00E2321D">
      <w:pPr>
        <w:jc w:val="center"/>
        <w:rPr>
          <w:noProof/>
          <w:lang w:val="pt-BR"/>
        </w:rPr>
      </w:pPr>
      <w:r>
        <w:rPr>
          <w:lang w:val="pt-BR"/>
        </w:rPr>
        <w:t>A Figura 2 sobrepõe o torque calculado com os parâmetros congelados aos 29 pontos extraídos, e a Tabela 7 reúne os indicadores do ajuste.</w:t>
      </w:r>
      <w:r>
        <w:rPr>
          <w:noProof/>
          <w:lang w:val="pt-BR"/>
        </w:rPr>
        <w:t xml:space="preserve"> </w:t>
      </w:r>
    </w:p>
    <w:p w14:paraId="759E14EF" w14:textId="7CF5DD43" w:rsidR="009C1161" w:rsidRDefault="00244E34" w:rsidP="00E2321D">
      <w:pPr>
        <w:jc w:val="center"/>
        <w:rPr>
          <w:lang w:val="pt-BR"/>
        </w:rPr>
      </w:pPr>
      <w:r>
        <w:rPr>
          <w:b/>
          <w:lang w:val="pt-BR"/>
        </w:rPr>
        <w:t xml:space="preserve">Figura 2 — Torque do cabo calculado (−τ) e pontos extraídos da patente, com os resíduos no painel inferior (K = 174,68; h = 22,701 mm; X</w:t>
      </w:r>
      <w:r>
        <w:rPr>
          <w:b/>
          <w:vertAlign w:val="subscript"/>
          <w:lang w:val="pt-BR"/>
        </w:rPr>
        <w:t>pose</w:t>
      </w:r>
      <w:r>
        <w:rPr>
          <w:b/>
          <w:lang w:val="pt-BR"/>
        </w:rPr>
        <w:t xml:space="preserve"> = 37,383 mm)</w:t>
      </w:r>
      <w:r>
        <w:rPr>
          <w:noProof/>
          <w:lang w:val="pt-BR"/>
        </w:rPr>
        <w:drawing>
          <wp:inline distT="0" distB="0" distL="0" distR="0" wp14:anchorId="6DFD1A9B" wp14:editId="155CE4EA">
            <wp:extent cx="4165600" cy="2915920"/>
            <wp:effectExtent l="0" t="0" r="6350" b="0"/>
            <wp:docPr id="902" name="Figura 2" descr="Torque do cabo calculado e 29 pontos extraídos da patente em função de θ*, com os resíduos em painel inferi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Figura 2" descr="Torque do cabo calculado e 29 pontos extraídos da patente em função de θ*, com os resíduos em painel inferio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3761" cy="292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lang w:val="pt-BR"/>
        </w:rPr>
        <w:t xml:space="preserve"> </w:t>
      </w:r>
    </w:p>
    <w:p w14:paraId="4C95FEE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161855E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>Nota: resíduo = modelo − extraído.</w:t>
      </w:r>
    </w:p>
    <w:p w14:paraId="054634A1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7 — Indicadores de qualidade do ajuste à curva da patente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960"/>
        <w:gridCol w:w="4400"/>
      </w:tblGrid>
      <w:tr w:rsidR="009C1161" w14:paraId="1FA97716" w14:textId="77777777">
        <w:trPr>
          <w:cantSplit/>
          <w:tblHeader/>
          <w:jc w:val="center"/>
        </w:trPr>
        <w:tc>
          <w:tcPr>
            <w:tcW w:w="4960" w:type="dxa"/>
            <w:shd w:val="clear" w:color="auto" w:fill="F2F2F2"/>
            <w:vAlign w:val="center"/>
          </w:tcPr>
          <w:p w14:paraId="715DB0E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Indicador</w:t>
            </w:r>
          </w:p>
        </w:tc>
        <w:tc>
          <w:tcPr>
            <w:tcW w:w="4400" w:type="dxa"/>
            <w:shd w:val="clear" w:color="auto" w:fill="F2F2F2"/>
            <w:vAlign w:val="center"/>
          </w:tcPr>
          <w:p w14:paraId="32591C8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</w:tr>
      <w:tr w:rsidR="009C1161" w14:paraId="4F8E1777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434A585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Raiz do erro quadrático médio, RMSE</w:t>
            </w:r>
          </w:p>
        </w:tc>
        <w:tc>
          <w:tcPr>
            <w:tcW w:w="4400" w:type="dxa"/>
            <w:vAlign w:val="center"/>
          </w:tcPr>
          <w:p w14:paraId="162CCBA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1,8305 u.p.</w:t>
            </w:r>
          </w:p>
        </w:tc>
      </w:tr>
      <w:tr w:rsidR="009C1161" w14:paraId="38F67DC5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192720D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Erro absoluto médio, MAE</w:t>
            </w:r>
          </w:p>
        </w:tc>
        <w:tc>
          <w:tcPr>
            <w:tcW w:w="4400" w:type="dxa"/>
            <w:vAlign w:val="center"/>
          </w:tcPr>
          <w:p w14:paraId="0D23FEE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1,5866 u.p.</w:t>
            </w:r>
          </w:p>
        </w:tc>
      </w:tr>
      <w:tr w:rsidR="009C1161" w:rsidRPr="00F132A8" w14:paraId="3590F33A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6343BB9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Erro máximo</w:t>
            </w:r>
          </w:p>
        </w:tc>
        <w:tc>
          <w:tcPr>
            <w:tcW w:w="4400" w:type="dxa"/>
            <w:vAlign w:val="center"/>
          </w:tcPr>
          <w:p w14:paraId="3880859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3,3712 u.p., em θ* = 42,909° (elevação de 180,1°)</w:t>
            </w:r>
          </w:p>
        </w:tc>
      </w:tr>
      <w:tr w:rsidR="009C1161" w14:paraId="4CAA2C49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14CFD2F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Coeficiente de determinação, R</w:t>
            </w:r>
            <w:r>
              <w:rPr>
                <w:vertAlign w:val="superscript"/>
                <w:lang w:val="pt-BR"/>
              </w:rPr>
              <w:t>2</w:t>
            </w:r>
          </w:p>
        </w:tc>
        <w:tc>
          <w:tcPr>
            <w:tcW w:w="4400" w:type="dxa"/>
            <w:vAlign w:val="center"/>
          </w:tcPr>
          <w:p w14:paraId="03DCE783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0,99839</w:t>
            </w:r>
          </w:p>
        </w:tc>
      </w:tr>
      <w:tr w:rsidR="009C1161" w14:paraId="0ADE0E68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3771BFF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MAE relativo à média dos valores extraídos</w:t>
            </w:r>
          </w:p>
        </w:tc>
        <w:tc>
          <w:tcPr>
            <w:tcW w:w="4400" w:type="dxa"/>
            <w:vAlign w:val="center"/>
          </w:tcPr>
          <w:p w14:paraId="21DF341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1,94%</w:t>
            </w:r>
          </w:p>
        </w:tc>
      </w:tr>
      <w:tr w:rsidR="009C1161" w14:paraId="63EFF121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03DB5A2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RMSE relativo ao maior valor extraído</w:t>
            </w:r>
          </w:p>
        </w:tc>
        <w:tc>
          <w:tcPr>
            <w:tcW w:w="4400" w:type="dxa"/>
            <w:vAlign w:val="center"/>
          </w:tcPr>
          <w:p w14:paraId="111EC17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1,24%</w:t>
            </w:r>
          </w:p>
        </w:tc>
      </w:tr>
      <w:tr w:rsidR="009C1161" w14:paraId="4F19D778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07025A1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Resíduo médio</w:t>
            </w:r>
          </w:p>
        </w:tc>
        <w:tc>
          <w:tcPr>
            <w:tcW w:w="4400" w:type="dxa"/>
            <w:vAlign w:val="center"/>
          </w:tcPr>
          <w:p w14:paraId="00476C7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+0,264 u.p.</w:t>
            </w:r>
          </w:p>
        </w:tc>
      </w:tr>
      <w:tr w:rsidR="009C1161" w:rsidRPr="00F132A8" w14:paraId="18CE39DA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2D6BEB3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Pico calculado, curva contínua</w:t>
            </w:r>
          </w:p>
        </w:tc>
        <w:tc>
          <w:tcPr>
            <w:tcW w:w="4400" w:type="dxa"/>
            <w:vAlign w:val="center"/>
          </w:tcPr>
          <w:p w14:paraId="202A7B7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147,072 u.p., em θ* = 125,533° (elevação de 97,48°)</w:t>
            </w:r>
          </w:p>
        </w:tc>
      </w:tr>
      <w:tr w:rsidR="009C1161" w14:paraId="75F84B29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3A8E229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Pico calculado nos pontos extraídos</w:t>
            </w:r>
          </w:p>
        </w:tc>
        <w:tc>
          <w:tcPr>
            <w:tcW w:w="4400" w:type="dxa"/>
            <w:vAlign w:val="center"/>
          </w:tcPr>
          <w:p w14:paraId="79D1856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146,874 u.p., em θ* = 123,196°</w:t>
            </w:r>
          </w:p>
        </w:tc>
      </w:tr>
      <w:tr w:rsidR="009C1161" w14:paraId="3BBF5D7E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5168564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Maior valor extraído</w:t>
            </w:r>
          </w:p>
        </w:tc>
        <w:tc>
          <w:tcPr>
            <w:tcW w:w="4400" w:type="dxa"/>
            <w:vAlign w:val="center"/>
          </w:tcPr>
          <w:p w14:paraId="2AC3FCA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147,310 u.p., em θ* = 123,196°</w:t>
            </w:r>
          </w:p>
        </w:tc>
      </w:tr>
    </w:tbl>
    <w:p w14:paraId="37727CA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E259A6A" w14:textId="303B1F3D" w:rsidR="009C1161" w:rsidRDefault="003B1183">
      <w:pPr>
        <w:rPr>
          <w:lang w:val="pt-BR"/>
        </w:rPr>
      </w:pPr>
      <w:r>
        <w:rPr>
          <w:lang w:val="pt-BR"/>
        </w:rPr>
        <w:t xml:space="preserve">O coeficiente de determinação de 0,99839 e o erro absoluto médio de 1,94% da média indicam que a forma do perfil é reproduzida com fidelidade, apesar de os parâmetros construtivos não constarem da patente. O resultado deve ser lido com duas ressalvas. Primeiro, os quatro parâmetros não publicados foram identificados contra os mesmos 29 pontos usados na avaliação, de modo que a aderência não constitui validação independente do modelo. A outra é que a incerteza da extração não é conhecida, o que impede afirmar se os resíduos estão ou não dentro dela.</w:t>
      </w:r>
    </w:p>
    <w:p w14:paraId="43A1BCBC" w14:textId="77777777" w:rsidR="009C1161" w:rsidRDefault="003B1183">
      <w:pPr>
        <w:rPr>
          <w:lang w:val="pt-BR"/>
        </w:rPr>
      </w:pPr>
      <w:r>
        <w:rPr>
          <w:lang w:val="pt-BR"/>
        </w:rPr>
        <w:t>Os resíduos não se distribuem aleatoriamente (Tabela 8). Ordenados por θ*, eles formam três zonas extensas de sinal alternado, que reúnem 25 dos 29 pontos, seguidas de quatro pontos próximos ao ponto morto.</w:t>
      </w:r>
    </w:p>
    <w:p w14:paraId="2ED2452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8 — Zonas de sinal dos resíduos (modelo − extraído), em ordem de θ*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900"/>
        <w:gridCol w:w="2700"/>
        <w:gridCol w:w="2300"/>
        <w:gridCol w:w="1260"/>
        <w:gridCol w:w="2200"/>
      </w:tblGrid>
      <w:tr w:rsidR="009C1161" w14:paraId="0442A2F2" w14:textId="77777777">
        <w:trPr>
          <w:cantSplit/>
          <w:tblHeader/>
          <w:jc w:val="center"/>
        </w:trPr>
        <w:tc>
          <w:tcPr>
            <w:tcW w:w="900" w:type="dxa"/>
            <w:shd w:val="clear" w:color="auto" w:fill="F2F2F2"/>
            <w:vAlign w:val="center"/>
          </w:tcPr>
          <w:p w14:paraId="53B490C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Zona</w:t>
            </w:r>
          </w:p>
        </w:tc>
        <w:tc>
          <w:tcPr>
            <w:tcW w:w="2700" w:type="dxa"/>
            <w:shd w:val="clear" w:color="auto" w:fill="F2F2F2"/>
            <w:vAlign w:val="center"/>
          </w:tcPr>
          <w:p w14:paraId="5122524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Faixa de θ* (°)</w:t>
            </w:r>
          </w:p>
        </w:tc>
        <w:tc>
          <w:tcPr>
            <w:tcW w:w="2300" w:type="dxa"/>
            <w:shd w:val="clear" w:color="auto" w:fill="F2F2F2"/>
            <w:vAlign w:val="center"/>
          </w:tcPr>
          <w:p w14:paraId="2CBAFB3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Faixa de elevação (°)</w:t>
            </w:r>
          </w:p>
        </w:tc>
        <w:tc>
          <w:tcPr>
            <w:tcW w:w="1260" w:type="dxa"/>
            <w:shd w:val="clear" w:color="auto" w:fill="F2F2F2"/>
            <w:vAlign w:val="center"/>
          </w:tcPr>
          <w:p w14:paraId="1C43E77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Pontos</w:t>
            </w:r>
          </w:p>
        </w:tc>
        <w:tc>
          <w:tcPr>
            <w:tcW w:w="2200" w:type="dxa"/>
            <w:shd w:val="clear" w:color="auto" w:fill="F2F2F2"/>
            <w:vAlign w:val="center"/>
          </w:tcPr>
          <w:p w14:paraId="74127C9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Resíduo médio (u.p.)</w:t>
            </w:r>
          </w:p>
        </w:tc>
      </w:tr>
      <w:tr w:rsidR="009C1161" w14:paraId="37CBC9DC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B71DB9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700" w:type="dxa"/>
            <w:vAlign w:val="center"/>
          </w:tcPr>
          <w:p w14:paraId="2A01A96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42,909 a 68,142</w:t>
            </w:r>
          </w:p>
        </w:tc>
        <w:tc>
          <w:tcPr>
            <w:tcW w:w="2300" w:type="dxa"/>
            <w:vAlign w:val="center"/>
          </w:tcPr>
          <w:p w14:paraId="1CCD098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180,1 a 154,9</w:t>
            </w:r>
          </w:p>
        </w:tc>
        <w:tc>
          <w:tcPr>
            <w:tcW w:w="1260" w:type="dxa"/>
            <w:vAlign w:val="center"/>
          </w:tcPr>
          <w:p w14:paraId="00F30E2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2200" w:type="dxa"/>
            <w:vAlign w:val="center"/>
          </w:tcPr>
          <w:p w14:paraId="0771E78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+1,970</w:t>
            </w:r>
          </w:p>
        </w:tc>
      </w:tr>
      <w:tr w:rsidR="009C1161" w14:paraId="31B37813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200BDB8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  <w:tc>
          <w:tcPr>
            <w:tcW w:w="2700" w:type="dxa"/>
            <w:vAlign w:val="center"/>
          </w:tcPr>
          <w:p w14:paraId="01F1505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72,587 a 123,196</w:t>
            </w:r>
          </w:p>
        </w:tc>
        <w:tc>
          <w:tcPr>
            <w:tcW w:w="2300" w:type="dxa"/>
            <w:vAlign w:val="center"/>
          </w:tcPr>
          <w:p w14:paraId="21A3D6F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150,4 a 99,8</w:t>
            </w:r>
          </w:p>
        </w:tc>
        <w:tc>
          <w:tcPr>
            <w:tcW w:w="1260" w:type="dxa"/>
            <w:vAlign w:val="center"/>
          </w:tcPr>
          <w:p w14:paraId="257ADF3C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2200" w:type="dxa"/>
            <w:vAlign w:val="center"/>
          </w:tcPr>
          <w:p w14:paraId="75D2C3E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−1,821</w:t>
            </w:r>
          </w:p>
        </w:tc>
      </w:tr>
      <w:tr w:rsidR="009C1161" w14:paraId="730D00FB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4D12390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3</w:t>
            </w:r>
          </w:p>
        </w:tc>
        <w:tc>
          <w:tcPr>
            <w:tcW w:w="2700" w:type="dxa"/>
            <w:vAlign w:val="center"/>
          </w:tcPr>
          <w:p w14:paraId="4F23CB3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128,931 a 177,677</w:t>
            </w:r>
          </w:p>
        </w:tc>
        <w:tc>
          <w:tcPr>
            <w:tcW w:w="2300" w:type="dxa"/>
            <w:vAlign w:val="center"/>
          </w:tcPr>
          <w:p w14:paraId="2B37E3DC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94,1 a 45,3</w:t>
            </w:r>
          </w:p>
        </w:tc>
        <w:tc>
          <w:tcPr>
            <w:tcW w:w="1260" w:type="dxa"/>
            <w:vAlign w:val="center"/>
          </w:tcPr>
          <w:p w14:paraId="1A2D317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2200" w:type="dxa"/>
            <w:vAlign w:val="center"/>
          </w:tcPr>
          <w:p w14:paraId="52CF3AB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+1,406</w:t>
            </w:r>
          </w:p>
        </w:tc>
      </w:tr>
      <w:tr w:rsidR="009C1161" w14:paraId="707ABB4D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54EB905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</w:t>
            </w:r>
          </w:p>
        </w:tc>
        <w:tc>
          <w:tcPr>
            <w:tcW w:w="2700" w:type="dxa"/>
            <w:vAlign w:val="center"/>
          </w:tcPr>
          <w:p w14:paraId="6C0D873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181,691 a 185,849</w:t>
            </w:r>
          </w:p>
        </w:tc>
        <w:tc>
          <w:tcPr>
            <w:tcW w:w="2300" w:type="dxa"/>
            <w:vAlign w:val="center"/>
          </w:tcPr>
          <w:p w14:paraId="5E091D8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41,3 a 37,2</w:t>
            </w:r>
          </w:p>
        </w:tc>
        <w:tc>
          <w:tcPr>
            <w:tcW w:w="1260" w:type="dxa"/>
            <w:vAlign w:val="center"/>
          </w:tcPr>
          <w:p w14:paraId="1EBD8D2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  <w:tc>
          <w:tcPr>
            <w:tcW w:w="2200" w:type="dxa"/>
            <w:vAlign w:val="center"/>
          </w:tcPr>
          <w:p w14:paraId="68DC8F8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−0,323</w:t>
            </w:r>
          </w:p>
        </w:tc>
      </w:tr>
      <w:tr w:rsidR="009C1161" w14:paraId="71D14F75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2F707EF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5</w:t>
            </w:r>
          </w:p>
        </w:tc>
        <w:tc>
          <w:tcPr>
            <w:tcW w:w="2700" w:type="dxa"/>
            <w:vAlign w:val="center"/>
          </w:tcPr>
          <w:p w14:paraId="09C2DB1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189,146</w:t>
            </w:r>
          </w:p>
        </w:tc>
        <w:tc>
          <w:tcPr>
            <w:tcW w:w="2300" w:type="dxa"/>
            <w:vAlign w:val="center"/>
          </w:tcPr>
          <w:p w14:paraId="135AC3C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33,9</w:t>
            </w:r>
          </w:p>
        </w:tc>
        <w:tc>
          <w:tcPr>
            <w:tcW w:w="1260" w:type="dxa"/>
            <w:vAlign w:val="center"/>
          </w:tcPr>
          <w:p w14:paraId="1C15E11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200" w:type="dxa"/>
            <w:vAlign w:val="center"/>
          </w:tcPr>
          <w:p w14:paraId="0E691ED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+0,389</w:t>
            </w:r>
          </w:p>
        </w:tc>
      </w:tr>
      <w:tr w:rsidR="009C1161" w14:paraId="57584205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5E2398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6</w:t>
            </w:r>
          </w:p>
        </w:tc>
        <w:tc>
          <w:tcPr>
            <w:tcW w:w="2700" w:type="dxa"/>
            <w:vAlign w:val="center"/>
          </w:tcPr>
          <w:p w14:paraId="52C6045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193,017</w:t>
            </w:r>
          </w:p>
        </w:tc>
        <w:tc>
          <w:tcPr>
            <w:tcW w:w="2300" w:type="dxa"/>
            <w:vAlign w:val="center"/>
          </w:tcPr>
          <w:p w14:paraId="11A0CFE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30,0</w:t>
            </w:r>
          </w:p>
        </w:tc>
        <w:tc>
          <w:tcPr>
            <w:tcW w:w="1260" w:type="dxa"/>
            <w:vAlign w:val="center"/>
          </w:tcPr>
          <w:p w14:paraId="61548C0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200" w:type="dxa"/>
            <w:vAlign w:val="center"/>
          </w:tcPr>
          <w:p w14:paraId="038D1B2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−2,152</w:t>
            </w:r>
          </w:p>
        </w:tc>
      </w:tr>
    </w:tbl>
    <w:p w14:paraId="6FE9AE41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72CED7CA" w14:textId="36826497" w:rsidR="009C1161" w:rsidRDefault="003B1183">
      <w:pPr>
        <w:rPr>
          <w:lang w:val="pt-BR"/>
        </w:rPr>
      </w:pPr>
      <w:r>
        <w:rPr>
          <w:lang w:val="pt-BR"/>
        </w:rPr>
        <w:t xml:space="preserve">O modelo superestima o torque com o braço alto, acima de 155° de elevação (zona 1), e entre 45° e 94° (zona 3), e o subestima entre 100° e 150° (zona 2). Resíduo estruturado dessa natureza indica diferença sistemática de forma entre o modelo e a curva, e não apenas dispersão de digitalização. As causas possíveis: imprecisão da geometria reconstruída, erro sistemático na extração ou diferença entre a formulação do modelo e a que gerou a figura da patente. O fato de a formulação sem o arco reproduzir a curva com RMSE menor é compatível com a última hipótese, mas não o suficiente para provar a hipótese.</w:t>
      </w:r>
    </w:p>
    <w:p w14:paraId="04395B0B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>O último ponto, em θ* = 193,017°, está além do ponto morto calculado (θ*</w:t>
      </w:r>
      <w:r>
        <w:rPr>
          <w:vertAlign w:val="subscript"/>
          <w:lang w:val="pt-BR"/>
        </w:rPr>
        <w:t>pm</w:t>
      </w:r>
      <w:r>
        <w:rPr>
          <w:lang w:val="pt-BR"/>
        </w:rPr>
        <w:t xml:space="preserve"> = 192,532°). Ali o modelo prevê torque de −1,709 u.p., com sinal invertido, ao passo que a curva extraída registra 0,443 u.p. A diferença, que responde pelo resíduo da zona 6, é coerente com a ausência, no modelo, da protuberância que mantém o torque residual aproximadamente nulo no dispositivo real (seção 4.9).</w:t>
      </w:r>
    </w:p>
    <w:p w14:paraId="276675D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4.6 Comportamento da mola e do mecanismo</w:t>
      </w:r>
    </w:p>
    <w:p w14:paraId="20C2649C" w14:textId="77777777" w:rsidR="009C1161" w:rsidRDefault="003B1183">
      <w:pPr>
        <w:rPr>
          <w:lang w:val="pt-BR"/>
        </w:rPr>
      </w:pPr>
      <w:r>
        <w:rPr>
          <w:lang w:val="pt-BR"/>
        </w:rPr>
        <w:t>A Tabela 9 caracteriza o funcionamento do mecanismo na faixa de operação, de θ* = 42,917° a 193,017°, que corresponde a 150,1° de elevação anatômica, de 30° a 180,1°. As grandezas foram calculadas em malha de 0,001° com os parâmetros congelados.</w:t>
      </w:r>
    </w:p>
    <w:p w14:paraId="5C9A896A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9 — Grandezas do mecanismo na faixa de operação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5160"/>
        <w:gridCol w:w="4200"/>
      </w:tblGrid>
      <w:tr w:rsidR="009C1161" w14:paraId="1E3C0E5F" w14:textId="77777777">
        <w:trPr>
          <w:cantSplit/>
          <w:tblHeader/>
          <w:jc w:val="center"/>
        </w:trPr>
        <w:tc>
          <w:tcPr>
            <w:tcW w:w="5160" w:type="dxa"/>
            <w:shd w:val="clear" w:color="auto" w:fill="F2F2F2"/>
            <w:vAlign w:val="center"/>
          </w:tcPr>
          <w:p w14:paraId="2F96920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3E6E082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</w:tr>
      <w:tr w:rsidR="009C1161" w14:paraId="0741588A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100278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Caminho do cabo na pose de referência, ℓ(θ*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>)</w:t>
            </w:r>
          </w:p>
        </w:tc>
        <w:tc>
          <w:tcPr>
            <w:tcW w:w="4200" w:type="dxa"/>
            <w:vAlign w:val="center"/>
          </w:tcPr>
          <w:p w14:paraId="7DFA52A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290,180 mm</w:t>
            </w:r>
          </w:p>
        </w:tc>
      </w:tr>
      <w:tr w:rsidR="009C1161" w14:paraId="15547F85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70EE67F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Referência da extensão, s</w:t>
            </w:r>
            <w:r>
              <w:rPr>
                <w:vertAlign w:val="subscript"/>
                <w:lang w:val="pt-BR"/>
              </w:rPr>
              <w:t>0</w:t>
            </w:r>
          </w:p>
        </w:tc>
        <w:tc>
          <w:tcPr>
            <w:tcW w:w="4200" w:type="dxa"/>
            <w:vAlign w:val="center"/>
          </w:tcPr>
          <w:p w14:paraId="05186E8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252,797 mm</w:t>
            </w:r>
          </w:p>
        </w:tc>
      </w:tr>
      <w:tr w:rsidR="009C1161" w14:paraId="4B2648DE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65ACC25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Comprimento livre da mola, L</w:t>
            </w:r>
            <w:r>
              <w:rPr>
                <w:vertAlign w:val="subscript"/>
                <w:lang w:val="pt-BR"/>
              </w:rPr>
              <w:t>livre</w:t>
            </w:r>
          </w:p>
        </w:tc>
        <w:tc>
          <w:tcPr>
            <w:tcW w:w="4200" w:type="dxa"/>
            <w:vAlign w:val="center"/>
          </w:tcPr>
          <w:p w14:paraId="2FA795B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53,967 mm</w:t>
            </w:r>
          </w:p>
        </w:tc>
      </w:tr>
      <w:tr w:rsidR="009C1161" w14:paraId="569E9906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6C654E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Extensão da mola, δ</w:t>
            </w:r>
          </w:p>
        </w:tc>
        <w:tc>
          <w:tcPr>
            <w:tcW w:w="4200" w:type="dxa"/>
            <w:vAlign w:val="center"/>
          </w:tcPr>
          <w:p w14:paraId="51B2E24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12,044 mm (θ* = 42,917°) a 54,479 mm (θ* = 192,532°)</w:t>
            </w:r>
          </w:p>
        </w:tc>
      </w:tr>
      <w:tr w:rsidR="009C1161" w14:paraId="015730C5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D616AF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Curso da mola na faixa</w:t>
            </w:r>
          </w:p>
        </w:tc>
        <w:tc>
          <w:tcPr>
            <w:tcW w:w="4200" w:type="dxa"/>
            <w:vAlign w:val="center"/>
          </w:tcPr>
          <w:p w14:paraId="3D51AC9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42,435 mm</w:t>
            </w:r>
          </w:p>
        </w:tc>
      </w:tr>
      <w:tr w:rsidR="009C1161" w14:paraId="7657F5B8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8F6981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Comprimento da mola, L</w:t>
            </w:r>
            <w:r>
              <w:rPr>
                <w:vertAlign w:val="subscript"/>
                <w:lang w:val="pt-BR"/>
              </w:rPr>
              <w:t>livre</w:t>
            </w:r>
            <w:r>
              <w:rPr>
                <w:lang w:val="pt-BR"/>
              </w:rPr>
              <w:t xml:space="preserve"> + δ</w:t>
            </w:r>
          </w:p>
        </w:tc>
        <w:tc>
          <w:tcPr>
            <w:tcW w:w="4200" w:type="dxa"/>
            <w:vAlign w:val="center"/>
          </w:tcPr>
          <w:p w14:paraId="773639E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66,011 a 108,446 mm</w:t>
            </w:r>
          </w:p>
        </w:tc>
      </w:tr>
      <w:tr w:rsidR="009C1161" w14:paraId="07CAD158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051DCC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Força máxima no cabo, K δ</w:t>
            </w:r>
            <w:r>
              <w:rPr>
                <w:vertAlign w:val="subscript"/>
                <w:lang w:val="pt-BR"/>
              </w:rPr>
              <w:t>máx</w:t>
            </w:r>
          </w:p>
        </w:tc>
        <w:tc>
          <w:tcPr>
            <w:tcW w:w="4200" w:type="dxa"/>
            <w:vAlign w:val="center"/>
          </w:tcPr>
          <w:p w14:paraId="2F8E792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9.516,5 (unidade de K × mm)</w:t>
            </w:r>
          </w:p>
        </w:tc>
      </w:tr>
      <w:tr w:rsidR="009C1161" w14:paraId="55AF1134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ACDE05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Braço de momento, m</w:t>
            </w:r>
          </w:p>
        </w:tc>
        <w:tc>
          <w:tcPr>
            <w:tcW w:w="4200" w:type="dxa"/>
            <w:vAlign w:val="center"/>
          </w:tcPr>
          <w:p w14:paraId="1723DBA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−0,180 a 22,919 mm</w:t>
            </w:r>
          </w:p>
        </w:tc>
      </w:tr>
      <w:tr w:rsidR="009C1161" w14:paraId="17250EB6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3833C8D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Teto geométrico do braço, |OA| = √(h</w:t>
            </w:r>
            <w:r>
              <w:rPr>
                <w:vertAlign w:val="superscript"/>
                <w:lang w:val="pt-BR"/>
              </w:rPr>
              <w:t>2</w:t>
            </w:r>
            <w:r>
              <w:rPr>
                <w:lang w:val="pt-BR"/>
              </w:rPr>
              <w:t xml:space="preserve"> + p</w:t>
            </w:r>
            <w:r>
              <w:rPr>
                <w:vertAlign w:val="superscript"/>
                <w:lang w:val="pt-BR"/>
              </w:rPr>
              <w:t>2</w:t>
            </w:r>
            <w:r>
              <w:rPr>
                <w:lang w:val="pt-BR"/>
              </w:rPr>
              <w:t>)</w:t>
            </w:r>
          </w:p>
        </w:tc>
        <w:tc>
          <w:tcPr>
            <w:tcW w:w="4200" w:type="dxa"/>
            <w:vAlign w:val="center"/>
          </w:tcPr>
          <w:p w14:paraId="35ABB3F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22,919 mm</w:t>
            </w:r>
          </w:p>
        </w:tc>
      </w:tr>
      <w:tr w:rsidR="009C1161" w14:paraId="53EB5942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3B2242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pivô ao ponto de tangência, b</w:t>
            </w:r>
          </w:p>
        </w:tc>
        <w:tc>
          <w:tcPr>
            <w:tcW w:w="4200" w:type="dxa"/>
            <w:vAlign w:val="center"/>
          </w:tcPr>
          <w:p w14:paraId="6420A87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282,503 a 284,363 mm</w:t>
            </w:r>
          </w:p>
        </w:tc>
      </w:tr>
      <w:tr w:rsidR="009C1161" w14:paraId="3B6BA117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6CC212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β</w:t>
            </w:r>
          </w:p>
        </w:tc>
        <w:tc>
          <w:tcPr>
            <w:tcW w:w="4200" w:type="dxa"/>
            <w:vAlign w:val="center"/>
          </w:tcPr>
          <w:p w14:paraId="601FB4E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4,604° a 4,619°</w:t>
            </w:r>
          </w:p>
        </w:tc>
      </w:tr>
      <w:tr w:rsidR="009C1161" w14:paraId="6574C79F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2B0FB86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entre o cabo e o elo, ψ</w:t>
            </w:r>
          </w:p>
        </w:tc>
        <w:tc>
          <w:tcPr>
            <w:tcW w:w="4200" w:type="dxa"/>
            <w:vAlign w:val="center"/>
          </w:tcPr>
          <w:p w14:paraId="152271C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−4,656° a +0,019°</w:t>
            </w:r>
          </w:p>
        </w:tc>
      </w:tr>
      <w:tr w:rsidR="009C1161" w14:paraId="6B3B6540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4C1B0C2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morto, θ*</w:t>
            </w:r>
            <w:r>
              <w:rPr>
                <w:vertAlign w:val="subscript"/>
                <w:lang w:val="pt-BR"/>
              </w:rPr>
              <w:t>pm</w:t>
            </w:r>
          </w:p>
        </w:tc>
        <w:tc>
          <w:tcPr>
            <w:tcW w:w="4200" w:type="dxa"/>
            <w:vAlign w:val="center"/>
          </w:tcPr>
          <w:p w14:paraId="44AE3BD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192,532° (elevação de 30,485°)</w:t>
            </w:r>
          </w:p>
        </w:tc>
      </w:tr>
    </w:tbl>
    <w:p w14:paraId="60A82B87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E9ACDCF" w14:textId="650EEDBF" w:rsidR="009C1161" w:rsidRDefault="003B1183">
      <w:pPr>
        <w:rPr>
          <w:lang w:val="pt-BR"/>
        </w:rPr>
      </w:pPr>
      <w:r>
        <w:rPr>
          <w:lang w:val="pt-BR"/>
        </w:rPr>
        <w:t xml:space="preserve">A extensão da mola permanece positiva em toda a faixa, o que assegura a condição é que o cabo continua tracionado em todos os pontos avaliados. O máximo da extensão ocorre no ponto morto, como exige a Equação (17): onde m se anula, dℓ/dθ* também se anula, e o caminho do cabo passa por um extremo.</w:t>
      </w:r>
    </w:p>
    <w:p w14:paraId="03D64A08" w14:textId="2AEB04D4" w:rsidR="009C1161" w:rsidRDefault="003B1183">
      <w:pPr>
        <w:rPr>
          <w:lang w:val="pt-BR"/>
        </w:rPr>
      </w:pPr>
      <w:r>
        <w:rPr>
          <w:lang w:val="pt-BR"/>
        </w:rPr>
        <w:t xml:space="preserve">O braço de momento confirma a distinção da seção 3.5. A linha de ação do cabo passa pela ancoragem A, de modo que m não pode exceder |OA| = 22,919 mm em configuração alguma. Ao longo da faixa, m cresce monotonicamente de 12,451 mm em θ* = 42,917° até tocar esse teto em θ* = 97,894°, posição em que o cabo fica perpendicular a OA, e decresce a partir daí, anulando-se no ponto morto; o valor de −0,180 mm no extremo da faixa corresponde ao trecho além desse ponto.</w:t>
      </w:r>
    </w:p>
    <w:p w14:paraId="4EE2C17D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 xml:space="preserve">A força máxima K δ</w:t>
      </w:r>
      <w:r>
        <w:rPr>
          <w:vertAlign w:val="subscript"/>
          <w:lang w:val="pt-BR"/>
        </w:rPr>
        <w:t>máx</w:t>
      </w:r>
      <w:r>
        <w:rPr>
          <w:lang w:val="pt-BR"/>
        </w:rPr>
        <w:t xml:space="preserve"> vale 9.516,5 na unidade de K multiplicada por milímetro. Se a ordenada da patente estivesse em N·m, K estaria em N/mm, a tração no cabo chegaria a 9,5 kN e o pico do torque do cabo, 147,07 N·m, seria 13,2 vezes o pico do torque gravitacional do conjunto, de 11,1619 N·m (seção 4.8). Para equilibrar esse pico gravitacional com o maior braço disponível, 22,919 mm, bastaria uma tração de cerca de 487 N. A leitura da ordenada em N·m conduz, portanto, a valores implausíveis para um dispositivo vestível de apoio ao braço, o que reforça o tratamento da curva publicada como qualitativa quanto à magnitude: o modelo reproduz a forma do torque, mas não sua escala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 Otimização de h para o máximo torque devolvido</w:t>
      </w:r>
    </w:p>
    <w:p>
      <w:pPr>
        <w:rPr>
          <w:lang w:val="pt-BR"/>
        </w:rPr>
      </w:pPr>
      <w:r>
        <w:rPr>
          <w:lang w:val="pt-BR"/>
        </w:rPr>
        <w:t xml:space="preserve">A posição da ancoragem h é a grandeza geométrica mais incerta do mecanismo e também a mais fácil de alterar no projeto, por definir apenas onde o cabo é fixado no elo proximal. O valor identificado,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é o único que reproduz a curva da patente, com RMSE de 1,830 u.p. (seção 4.5). Os demais valores examinados nesta seção não são ajustes à curva publicada, e sim configurações possíveis do mesmo exoesqueleto, com a mesma mola, K = 174,68, e a mesma montagem,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obtidas apenas pelo deslocamento da ancoragem. Para elas, interessa o torque que o mecanismo devolve.</w:t>
      </w:r>
    </w:p>
    <w:p>
      <w:pPr>
        <w:rPr>
          <w:lang w:val="pt-BR"/>
        </w:rPr>
      </w:pPr>
      <w:r>
        <w:rPr>
          <w:lang w:val="pt-BR"/>
        </w:rPr>
        <w:t xml:space="preserve">O intervalo examinado vai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 (Tabela 2). Os critérios de fechamento e de trabalho virtual são atendidos em todos os 13.773 valores varridos, com resíduo de trabalho virtual de no máximo 8,0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mm/rad. O critério que divide o intervalo é a tração.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aumento de h aumenta o curso do cabo — de 42,435 mm no h identificado para 134,626 mm no limite do CAD — e rebaixa a extensão mínima da mola, que ocorre sempre em θ* = 42,917°. Essa extensão se anula em h = 32,886 mm, a fronteira de tração, que separa as duas situações tratadas a seguir: até ela, o cabo permanece tracionado em toda a faixa (seção 4.7.1); acima dela, afrouxa em parte da faixa (seção 4.7.2). O valor lido no CAD, 34,785 mm, fica acima da fronteira.</w:t>
      </w:r>
    </w:p>
    <w:p>
      <w:pPr>
        <w:rPr>
          <w:lang w:val="pt-BR"/>
        </w:rPr>
      </w:pPr>
      <w:r>
        <w:rPr>
          <w:lang w:val="pt-BR"/>
        </w:rPr>
        <w:t xml:space="preserve">A Figura 3 mostra a família de curvas de torque em todo o intervalo, de 8 a 76,846 mm em passo de 4 mm, com o h identificado e a fronteira de tração destacados. Apenas a curva de h = 22,701 mm é confrontada com os pontos extraídos da patente, porque só ela resulta da identificação.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3 — Família de curvas de torque do cabo para h de 8 a 76,846 mm,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congelados; a curva de h = 22,701 mm é apresentada com os 29 pontos extraídos da patente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095625"/>
            <wp:effectExtent l="0" t="0" r="0" b="0"/>
            <wp:docPr id="903" name="Figura 3" descr="Curvas de torque do cabo em função de θ* para h entre 8 e 76,846 mm, coloridas por h, com a curva do h identificado destacada sobre os pontos extraídos e a fronteira de tração tracej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3" name="Figura 3" descr="Curvas de torque do cabo em função de θ* para h entre 8 e 76,846 mm, coloridas por h, com a curva do h identificado destacada sobre os pontos extraídos e a fronteira de tração tracejada."/>
                    <pic:cNvPicPr/>
                  </pic:nvPicPr>
                  <pic:blipFill>
                    <a:blip r:embed="rIdTccFi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eixo superior, elevação anatômica correspondente a θ*.</w:t>
      </w:r>
    </w:p>
    <w:p>
      <w:pPr>
        <w:rPr>
          <w:lang w:val="pt-BR"/>
        </w:rPr>
      </w:pPr>
      <w:r>
        <w:rPr>
          <w:lang w:val="pt-BR"/>
        </w:rPr>
        <w:t xml:space="preserve">O deslocamento da ancoragem atua como um ganho concentrado na faixa central. As curvas quase coincidem em dois nós, com espalhamento de 9,35 u.p. em θ* = 68,03° e de 0,18 u.p. em θ* = 185,71°, e se abrem ao máximo em torno de θ* = 130°. A Figura 4 resume, em função de h, os indicadores do torque devolvido. O pico, a média de 90° a 150° de elevação e o trabalho devolvido crescem monotonicamente em todo o intervalo, do menor h ao limite do CAD. O motivo é geométrico: o braço de momento é limitado por |OA| = √(h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+ p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), que cresce com h, e o curso do cabo, e com ele a força da mola, cresce junto. Não há ótimo interior; o que diferencia as configurações é a tração do cabo.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4 — Indicadores do torque devolvido em função de h,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congelados: pico e média de 90° a 150° de elevação, elevação do início da folga do cabo, extensão mínima da mola e elevação do ponto morto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803904"/>
            <wp:effectExtent l="0" t="0" r="0" b="0"/>
            <wp:docPr id="904" name="Figura 4" descr="Quatro painéis em função de h, de 8 a 76,846 mm: torque de pico e médio, elevação em que o cabo afrouxa, extensão mínima da mola e elevação do ponto morto, com a região de cabo frouxo sombre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4" name="Figura 4" descr="Quatro painéis em função de h, de 8 a 76,846 mm: torque de pico e médio, elevação em que o cabo afrouxa, extensão mínima da mola e elevação do ponto morto, com a região de cabo frouxo sombreada."/>
                    <pic:cNvPicPr/>
                  </pic:nvPicPr>
                  <pic:blipFill>
                    <a:blip r:embed="rIdTccFi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linha contínua, h identificado; linha tracejada, fronteira de tração; região sombreada, cabo frouxo em parte da faixa.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4.7.1 Cabo tracionado em toda a faixa</w:t>
      </w:r>
    </w:p>
    <w:p>
      <w:pPr>
        <w:rPr>
          <w:lang w:val="pt-BR"/>
        </w:rPr>
      </w:pPr>
      <w:r>
        <w:rPr>
          <w:lang w:val="pt-BR"/>
        </w:rPr>
        <w:t xml:space="preserve">A Tabela 10 reúne os valores de h da Figura 3 que mantêm o cabo tracionado em toda a faixa, de 8 mm à fronteira de tração, acrescidos do h identificado.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10 — Torque devolvido com o cabo tracionado em toda a faixa (K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congelados)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500"/>
        <w:gridCol w:w="1500"/>
        <w:gridCol w:w="1800"/>
        <w:gridCol w:w="1500"/>
        <w:gridCol w:w="1500"/>
        <w:gridCol w:w="1560"/>
      </w:tblGrid>
      <w:tr>
        <w:trPr>
          <w:cantSplit/>
          <w:tblHeader/>
        </w:trPr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  <w:tc>
          <w:tcPr>
            <w:tcW w:w="15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K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57,4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+29,20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16,87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8.001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81,4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+24,56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23,67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8.424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105,7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92,4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+19,90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27,24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8.839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130,3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+15,22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29,43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9.246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22,701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147,1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123,6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+12,04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30,49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9.516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155,2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129,2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+10,51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30,91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9.646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180,5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145,5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+5,79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31,97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10.039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32,000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206,2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160,5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+1,05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32,77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10.426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0,00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  <w:tc>
          <w:tcPr>
            <w:tcW w:w="15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10.511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22,701 mm é o h identificado; 32,886 mm, a fronteira de tração. K δ</w:t>
      </w:r>
      <w:r>
        <w:rPr>
          <w:sz w:val="20"/>
          <w:szCs w:val="20"/>
          <w:vertAlign w:val="subscript"/>
          <w:lang w:val="pt-BR"/>
        </w:rPr>
        <w:t xml:space="preserve">máx</w:t>
      </w:r>
      <w:r>
        <w:rPr>
          <w:sz w:val="20"/>
          <w:szCs w:val="20"/>
          <w:lang w:val="pt-BR"/>
        </w:rPr>
        <w:t xml:space="preserve"> na unidade de K multiplicada por milímetro.</w:t>
      </w:r>
    </w:p>
    <w:p>
      <w:pPr>
        <w:rPr>
          <w:lang w:val="pt-BR"/>
        </w:rPr>
      </w:pPr>
      <w:r>
        <w:rPr>
          <w:lang w:val="pt-BR"/>
        </w:rPr>
        <w:t xml:space="preserve">Nesse trecho, o maior torque devolvido ocorre na própria fronteira, h* = 32,886 mm, com pico de 211,9 u.p. e média de 163,6 u.p., 44% e 32% acima do h identificado. Nesse ótimo estrito, porém, a extensão mínima é nula: com o braço elevado a 180,1°, a mola chega ao comprimento livre e o cabo fica no limite do afrouxamento, sem pré-tensão, e qualquer tolerância de montagem ou relaxação da mola o levaria à folga. Por isso, o ótimo de projeto é o h que maximiza o torque mantendo uma margem mínima de extensão,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na Equação (28), conforme a Tabela 11.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11 — Ótimo de h para margens mínimas de extensão da mola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700"/>
        <w:gridCol w:w="1500"/>
        <w:gridCol w:w="1500"/>
        <w:gridCol w:w="1900"/>
        <w:gridCol w:w="1660"/>
        <w:gridCol w:w="1100"/>
      </w:tblGrid>
      <w:tr>
        <w:trPr>
          <w:cantSplit/>
          <w:tblHeader/>
        </w:trPr>
        <w:tc>
          <w:tcPr>
            <w:tcW w:w="1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Margem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marg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h*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6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Ganho sobre o h identificado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24,437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131,0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+6,0%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31,04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28,670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184,8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148,1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+19,9%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32,12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31,201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201,0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157,6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+27,5%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32,62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 (estrito)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+32,4%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Como a extensão mínima decresce linearmente com h, cada milímetro de margem custa cerca de 0,85 mm de ancoragem. Com margem de 5 mm, o ótimo fica em h* = 28,67 mm, com 20% mais torque médio que o h identificado; com margem de 10 mm, em h* = 24,44 mm, com 6%. O h identificado corresponde a uma margem de 12,04 mm. A escolha da margem é decisão de projeto, que depende da tolerância de montagem e da especificação da mola. O ganho tem duas contrapartidas: a tração máxima no cabo cresce 10,5% do h identificado à fronteira, e o ponto morto se desloca de 30,49° para 32,92° de elevação.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4.7.2 Cabo com folga em parte da faixa</w:t>
      </w:r>
    </w:p>
    <w:p>
      <w:pPr>
        <w:rPr>
          <w:lang w:val="pt-BR"/>
        </w:rPr>
      </w:pPr>
      <w:r>
        <w:rPr>
          <w:lang w:val="pt-BR"/>
        </w:rPr>
        <w:t xml:space="preserve">Acima da fronteira de tração, e até o limite geométrico de 76,846 mm, o mecanismo continua a funcionar com a mesma mola e a mesma montagem, mas o cabo afrouxa no início da faixa. Com o braço elevado, o caminho do cabo encurta mais do que a pré-extensão da pose comporta, a mola volta ao comprimento livre e, pela Equação (19), a força e o torque se anulam nesse trecho. A Tabela 12 reúne os valores de h da Figura 3 nessa situação.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12 — Torque devolvido com folga de cabo em parte da faixa (K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congelados)</w:t>
      </w:r>
    </w:p>
    <w:tbl>
      <w:tblPr>
        <w:tblStyle w:val="Tabelacomgrade"/>
        <w:tblW w:w="10360" w:type="dxa"/>
        <w:jc w:val="center"/>
        <w:tblLayout w:type="fixed"/>
        <w:tblLook w:val="0420" w:firstRow="1" w:lastRow="0" w:firstColumn="0" w:lastColumn="0" w:noHBand="0" w:noVBand="1"/>
      </w:tblPr>
      <w:tblGrid>
        <w:gridCol w:w="1050"/>
        <w:gridCol w:w="1050"/>
        <w:gridCol w:w="1300"/>
        <w:gridCol w:w="1150"/>
        <w:gridCol w:w="1650"/>
        <w:gridCol w:w="1400"/>
        <w:gridCol w:w="1250"/>
        <w:gridCol w:w="1510"/>
      </w:tblGrid>
      <w:tr>
        <w:trPr>
          <w:cantSplit/>
          <w:tblHeader/>
        </w:trPr>
        <w:tc>
          <w:tcPr>
            <w:tcW w:w="10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0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1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6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Cabo frouxo, elevação (°)</w:t>
            </w:r>
          </w:p>
        </w:tc>
        <w:tc>
          <w:tcPr>
            <w:tcW w:w="14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Inclinação no início da folga (u.p./°)</w:t>
            </w:r>
          </w:p>
        </w:tc>
        <w:tc>
          <w:tcPr>
            <w:tcW w:w="12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  <w:tc>
          <w:tcPr>
            <w:tcW w:w="151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K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232,2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174,1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−3,70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171,4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2,16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33,39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10.807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258,7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186,4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−8,47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163,7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3,45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33,89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11.180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44,000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285,5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197,4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−13,25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158,1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4,81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34,30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11.547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48,000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312,7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207,0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−18,04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153,8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6,24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34,64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11.907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52,000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340,3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215,3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−22,84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150,3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7,71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34,93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12.260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56,000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368,1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222,9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−27,65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147,3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9,25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35,17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12.606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396,2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230,5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−32,46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144,9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10,83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35,39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12.946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64,000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424,5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238,1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−37,27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142,7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12,45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35,58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13.280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68,000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453,0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245,6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−42,08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140,9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14,12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35,74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13.607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481,7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253,2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−46,89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139,3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15,83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35,89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13.927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76,000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510,6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260,7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−51,70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137,8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17,57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36,02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14.242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76,846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516,7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262,3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−52,72</w:t>
            </w:r>
          </w:p>
        </w:tc>
        <w:tc>
          <w:tcPr>
            <w:tcW w:w="16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137,6 a 180,1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17,94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36,05</w:t>
            </w:r>
          </w:p>
        </w:tc>
        <w:tc>
          <w:tcPr>
            <w:tcW w:w="151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14.308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76,846 mm é o limite geométrico do CAD. Inclinação do torque imediatamente antes do afrouxamento, por grau de elevação. K δ</w:t>
      </w:r>
      <w:r>
        <w:rPr>
          <w:sz w:val="20"/>
          <w:szCs w:val="20"/>
          <w:vertAlign w:val="subscript"/>
          <w:lang w:val="pt-BR"/>
        </w:rPr>
        <w:t xml:space="preserve">máx</w:t>
      </w:r>
      <w:r>
        <w:rPr>
          <w:sz w:val="20"/>
          <w:szCs w:val="20"/>
          <w:lang w:val="pt-BR"/>
        </w:rPr>
        <w:t xml:space="preserve"> na unidade de K multiplicada por milímetro.</w:t>
      </w:r>
    </w:p>
    <w:p>
      <w:pPr>
        <w:rPr>
          <w:lang w:val="pt-BR"/>
        </w:rPr>
      </w:pPr>
      <w:r>
        <w:rPr>
          <w:lang w:val="pt-BR"/>
        </w:rPr>
        <w:t xml:space="preserve">O trecho sem torque começa em 171,4° de elevação para h = 36 mm e se alarga à medida que h aumenta, até começar em 137,6° no limite do CAD. A perda de torque, contudo, não é um salto. O torque é proporcional à extensão da mola, τ = −K δ m/1000, e a extensão chega a zero de forma contínua; no ponto em que o cabo afrouxa, o torque calculado é inferior a 0,02 u.p. em todos os valores. O que muda bruscamente é a inclinação da curva: imediatamente antes do afrouxamento, o torque varia de 2,16 u.p. por grau de elevação, em h = 36 mm, a 17,94 u.p. por grau, no limite do CAD; imediatamente depois, a variação é nula. Trata-se, portanto, de uma descontinuidade da derivada do torque, uma quina na curva, e não do torque. Em todos os casos, o trecho frouxo é contíguo e se estende até o fim da faixa: uma vez afrouxado, o cabo não volta a tracionar, porque o caminho continua a encurtar com o aumento da elevação.</w:t>
      </w:r>
    </w:p>
    <w:p>
      <w:pPr>
        <w:rPr>
          <w:lang w:val="pt-BR"/>
        </w:rPr>
      </w:pPr>
      <w:r>
        <w:rPr>
          <w:lang w:val="pt-BR"/>
        </w:rPr>
        <w:t xml:space="preserve">Apesar do trecho sem torque, o torque total continua a crescer: no limite do CAD, o pico chega a 516,7 u.p., 3,5 vezes o do h identificado, e a média de 90° a 150° a 262,3 u.p. Em contrapartida, a tração máxima no cabo chega a 50% acima da do h identificado, e o ponto morto sobe a 36,05°.</w:t>
      </w:r>
    </w:p>
    <w:p>
      <w:pPr>
        <w:rPr>
          <w:lang w:val="pt-BR"/>
        </w:rPr>
      </w:pPr>
      <w:r>
        <w:rPr>
          <w:lang w:val="pt-BR"/>
        </w:rPr>
        <w:t xml:space="preserve">Em síntese, apenas h = 22,701 mm descreve o dispositivo da patente; os demais valores indicam o que o mesmo conjunto de mola e montagem devolveria com a ancoragem deslocada. Com o cabo tracionado em toda a faixa, a ancoragem pode ser afastada do pivô até cerca de 28 a 31 mm, conforme a margem exigida, com ganho de 20 a 28% no torque médio de 90° a 150°. Além da fronteira de tração, e até o limite geométrico do CAD, o torque total continua a crescer, à custa de um trecho sem torque no início da faixa, que começa com uma quina na curva e se alarga à medida que h aumenta.</w:t>
      </w:r>
    </w:p>
    <w:p w14:paraId="39EFC3D7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4.8 Confronto entre o torque do cabo e o torque gravitacional</w:t>
      </w:r>
    </w:p>
    <w:p w14:paraId="3E38D876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torque gravitacional do conjunto, calculado pela Equação (24) de forma independente da cadeia do cabo, atinge o máximo de 11,1619 N·m na elevação de 89,44°, o que corrobora a previsão da seção 2.1, de momento gravitacional máximo com o segmento perpendicular à gravidade. O desvio de 0,56° em relação a 90° indica que a linha que une o pivô ao centro de massa do conjunto forma esse ângulo com a direção do braço adotada na convenção da patente. O valor do pico coincide com M g d da Tabela 3. O módulo da Equação (24) oculta a troca de sentido do torque em θ* = 43,579° (elevação de 179,44°), que afeta apenas os 0,66° iniciais da faixa, com torque inferior a 0,13 N·m.</w:t>
      </w:r>
    </w:p>
    <w:p w14:paraId="25D4FA0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comparação entre as duas curvas exige cautela metodológica. Como a ordenada da curva publicada não tem unidade declarada e a seção 4.6 mostrou que sua leitura em N·m é implausível, as magnitudes não são comparáveis. O que se pode confrontar é a forma dos perfis, apresentados na Figura 5 normalizados pelos respectivos valores de pico, em função da elevação anatômica. Como a </w:t>
        <w:lastRenderedPageBreak/>
        <w:t>normalização elimina a escala, o confronto não informa que fração do torque gravitacional o mecanismo compensa.</w:t>
      </w:r>
    </w:p>
    <w:p w14:paraId="76891CEF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5 — Torque do cabo e torque gravitacional normalizados pelos respectivos picos, em função da elevação anatômica (K = 174,68; h = 22,701 mm; X</w:t>
      </w:r>
      <w:r>
        <w:rPr>
          <w:b/>
          <w:vertAlign w:val="subscript"/>
          <w:lang w:val="pt-BR"/>
        </w:rPr>
        <w:t>pose</w:t>
      </w:r>
      <w:r>
        <w:rPr>
          <w:b/>
          <w:lang w:val="pt-BR"/>
        </w:rPr>
        <w:t xml:space="preserve"> = 37,383 mm)</w:t>
      </w:r>
    </w:p>
    <w:p w14:paraId="0527EBB9" w14:textId="77777777" w:rsidR="009C1161" w:rsidRDefault="003B1183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2681281" wp14:editId="6FCA352D">
            <wp:extent cx="5914573" cy="3105150"/>
            <wp:effectExtent l="0" t="0" r="0" b="0"/>
            <wp:docPr id="905" name="Figura 5" descr="Curvas normalizadas do torque do cabo e do torque gravitacional em função da elevação, de 30° a 180°, com o cruzamento em 93,96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Figura 5" descr="Curvas normalizadas do torque do cabo e do torque gravitacional em função da elevação, de 30° a 180°, com o cruzamento em 93,96°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090" cy="31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C516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51B7D5A0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>Nota: a linha pontilhada marca o cruzamento das curvas normalizadas.</w:t>
      </w:r>
    </w:p>
    <w:p w14:paraId="148B45E7" w14:textId="77777777" w:rsidR="009C1161" w:rsidRDefault="003B1183">
      <w:pPr>
        <w:rPr>
          <w:lang w:val="pt-BR"/>
        </w:rPr>
      </w:pPr>
      <w:r>
        <w:rPr>
          <w:lang w:val="pt-BR"/>
        </w:rPr>
        <w:t>Três características emergem do confronto. O pico do torque do cabo ocorre na elevação de 97,48°, e o do torque gravitacional, em 89,44°, com defasagem de 8,05°. O mecanismo entrega sua assistência máxima acima da posição de maior demanda gravitacional, configuração compatível com dispositivo projetado para trabalho acima da cabeça.</w:t>
      </w:r>
    </w:p>
    <w:p w14:paraId="3E055C2D" w14:textId="77777777" w:rsidR="009C1161" w:rsidRDefault="003B1183">
      <w:pPr>
        <w:rPr>
          <w:lang w:val="pt-BR"/>
        </w:rPr>
      </w:pPr>
      <w:r>
        <w:rPr>
          <w:lang w:val="pt-BR"/>
        </w:rPr>
        <w:t>As curvas normalizadas cruzam-se na elevação de 93,96°. Entre 94° e 160°, as diferenças normalizadas (cabo menos peso) são positivas e pequenas, de 0,000 a +0,055; acima de 160°, crescem até +0,184 em 179,44°. Entre 105° e 150°, as duas curvas diferem em no máximo 0,027, o que indica que o perfil elástico reproduz a forma da demanda gravitacional na faixa de maior interesse para o trabalho acima da cabeça.</w:t>
      </w:r>
    </w:p>
    <w:p w14:paraId="6EADF91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Abaixo de 94°, as diferenças tornam-se negativas e crescentes em módulo, até −0,520 na elevação de 30°. No ponto morto, na elevação de 30,485°, o torque gravitacional ainda vale 5,757 N·m, 51,6% de seu pico, enquanto o torque do cabo se anula; em 30°, o torque gravitacional é de 5,675 N·m, 50,8% do pico. Trata-se de característica da arquitetura, e não de deficiência do ajuste: conforme a seção 2.3, a patente prevê que o dispositivo libere o braço nas posturas de não trabalho, em que o usuário precisa de mobilidade para alcançar ferramentas ou repousar o membro.</w:t>
      </w:r>
    </w:p>
    <w:p w14:paraId="233A0A4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confronto ilustra, em termos quantitativos, a limitação apontada por Nasr, Ferguson e McPhee (2022) e discutida na seção 2.4: um mecanismo passivo entrega torque determinado para cada ângulo, de modo que o ajuste favorável em uma faixa implica desvio em outra. No caso analisado, o compromisso </w:t>
        <w:lastRenderedPageBreak/>
        <w:t xml:space="preserve">privilegia a faixa acima da horizontal, onde a exposição postural concentra o risco documentado por van der Molen et al. (2017) e Seidler et al. (2020), à custa de subcompensação na faixa inferior. É também a limitação que motiva as soluções semipassivas de assistência regulável referidas na seção 2.4.</w:t>
      </w:r>
    </w:p>
    <w:p w14:paraId="04A80EE6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4.9 Limitações dos resultados</w:t>
      </w:r>
    </w:p>
    <w:p w14:paraId="3E503245" w14:textId="77777777" w:rsidR="009C1161" w:rsidRDefault="003B1183">
      <w:pPr>
        <w:rPr>
          <w:lang w:val="pt-BR"/>
        </w:rPr>
      </w:pPr>
      <w:r>
        <w:rPr>
          <w:lang w:val="pt-BR"/>
        </w:rPr>
        <w:t>Além das limitações de escopo da seção 3.13, os resultados comportam as ressalvas a seguir.</w:t>
      </w:r>
    </w:p>
    <w:p w14:paraId="25A55B0F" w14:textId="77777777" w:rsidR="009C1161" w:rsidRDefault="003B1183">
      <w:pPr>
        <w:rPr>
          <w:lang w:val="pt-BR"/>
        </w:rPr>
      </w:pPr>
      <w:r>
        <w:rPr>
          <w:lang w:val="pt-BR"/>
        </w:rPr>
        <w:t>O ponto morto do mecanismo situa-se em θ* = 192,5317°, equivalente à elevação de 30,485°, e a patente indica a zona neutra a partir de 30°, diferença de 0,485°. A protuberância que, no dispositivo real, restringe o gerador de força além desse ângulo não integra o modelo; em consequência, o modelo prevê inversão de sinal do torque após o ponto morto, ao passo que o dispositivo mantém torque residual aproximadamente nulo. A ressalva restringe-se aos 0,485° finais da faixa e ao último ponto extraído.</w:t>
      </w:r>
    </w:p>
    <w:p w14:paraId="53A307B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ausência de unidade declarada na ordenada da curva publicada impede a conversão do torque do cabo para N·m e, por conseguinte, o cálculo do torque resultante sobre a articulação e a integração da equação de movimento. Essa conversão exige dado independente, como a especificação de rigidez de uma mola comercial compatível com o mecanismo ou fonte documentada que estabeleça a escala da figura original.</w:t>
      </w:r>
    </w:p>
    <w:p w14:paraId="306B08D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identificação foi reproduzida apenas em parte. K 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foram reproduzidos no h adotado, mas a origem de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e de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não pôde ser reconstituída, e os quatro parâmetros foram identificados e avaliados contra os mesmos 29 pontos, cuja incerteza de extração não está documentada. O valor documental H</w:t>
      </w:r>
      <w:r>
        <w:rPr>
          <w:vertAlign w:val="subscript"/>
          <w:lang w:val="pt-BR"/>
        </w:rPr>
        <w:t>CAD</w:t>
      </w:r>
      <w:r>
        <w:rPr>
          <w:lang w:val="pt-BR"/>
        </w:rPr>
        <w:t xml:space="preserve"> é incompatível com os demais parâmetros congelados, pois viola o critério de tração.</w:t>
      </w:r>
    </w:p>
    <w:p w14:paraId="153DE28A" w14:textId="77777777" w:rsidR="009C1161" w:rsidRDefault="003B1183">
      <w:pPr>
        <w:rPr>
          <w:lang w:val="pt-BR"/>
        </w:rPr>
      </w:pPr>
      <w:r>
        <w:rPr>
          <w:lang w:val="pt-BR"/>
        </w:rPr>
        <w:t>O fator de escala de 0,870, fixado pela comparação entre o comprimento do elo distal e o comprimento de segmento do indivíduo de referência, propaga-se a todas as grandezas dimensionais e de massa, e duas cotas do modelo em CAD permanecem a confirmar. Alterações nessas grandezas exigem a reexecução integral da identificação.</w:t>
      </w:r>
    </w:p>
    <w:p>
      <w:pPr>
        <w:rPr>
          <w:lang w:val="pt-BR"/>
        </w:rPr>
      </w:pPr>
      <w:r>
        <w:rPr>
          <w:lang w:val="pt-BR"/>
        </w:rPr>
        <w:t xml:space="preserve">As grandezas da mola ligadas ao desenho — o comprimento útil do alojamento, 131,37 mm, e a deflexão relativa da mola, razão entre sua extensão máxima e seu comprimento livre, de 1,0095 no h adotado — dependem da escala e da precisão do desenho da patente, que não são conhecidas. Por isso, não foram usadas como restrição na seção 4.7. Se confirmadas, o comprimento máximo da mola atingiria o alojamento em h = 66,94 mm, e a deflexão relativa, que cresce com h até 1,115 na fronteira de tração, precisaria ser confrontada com a deflexão admissível da mola a especificar.</w:t>
      </w:r>
    </w:p>
    <w:p>
      <w:pPr>
        <w:rPr>
          <w:lang w:val="pt-BR"/>
        </w:rPr>
      </w:pPr>
      <w:r>
        <w:rPr>
          <w:lang w:val="pt-BR"/>
        </w:rPr>
        <w:t xml:space="preserve">O cenário com folga de cabo, para h acima da fronteira de tração, é tratado de forma estática: o modelo anula a força onde a extensão seria negativa, mas mantém o cabo alinhado ao tambor. Ele não representa a saída do cabo do tambor quando frouxo nem o impacto na retomada da tração ao abaixar o braço, que exigiriam análise dinâmica.</w:t>
      </w:r>
    </w:p>
    <w:p w14:paraId="02288CD9" w14:textId="77777777" w:rsidR="009C1161" w:rsidRDefault="003B1183">
      <w:pPr>
        <w:rPr>
          <w:lang w:val="pt-BR"/>
        </w:rPr>
      </w:pPr>
      <w:r>
        <w:rPr>
          <w:lang w:val="pt-BR"/>
        </w:rPr>
        <w:t>Por fim, os resultados referem-se a um único dispositivo, ao indivíduo de referência adotado e ao membro superior estendido sem ferramenta na mão, e limitam-se à análise estática. A generalização a outros percentis antropométricos, a outras configurações de cotovelo e à presença de carga na mão demanda a reexecução do procedimento com os parâmetros correspondentes.</w:t>
      </w:r>
    </w:p>
    <w:p w14:paraId="68B00399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5 CONCLUSÃO</w:t>
      </w:r>
    </w:p>
    <w:p w14:paraId="4386E937" w14:textId="77777777" w:rsidR="009C1161" w:rsidRDefault="003B1183">
      <w:pPr>
        <w:rPr>
          <w:lang w:val="pt-BR"/>
        </w:rPr>
      </w:pPr>
      <w:r>
        <w:rPr>
          <w:lang w:val="pt-BR"/>
        </w:rPr>
        <w:t>Este trabalho reconstruiu, a partir da documentação de patente, o gerador de torque de mola da US 9.889.554 B2 e formulou um modelo estático do torque que ele entrega em função do ângulo. A cinemática foi resolvida em forma fechada a partir da equação de fechamento do circuito vetorial, e cada etapa da cadeia de cálculo foi conferida por verificações independentes, com resíduos da ordem de 10</w:t>
      </w:r>
      <w:r>
        <w:rPr>
          <w:vertAlign w:val="superscript"/>
          <w:lang w:val="pt-BR"/>
        </w:rPr>
        <w:t>−13</w:t>
      </w:r>
      <w:r>
        <w:rPr>
          <w:lang w:val="pt-BR"/>
        </w:rPr>
        <w:t xml:space="preserve"> mm nas relações geométricas.</w:t>
      </w:r>
    </w:p>
    <w:p w14:paraId="29ADAB4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princípio dos trabalhos virtuais mostrou-se o critério decisivo na formulação. Ele revelou que a extensão da mola deve acompanhar o caminho completo do cabo, ℓ = s − Rψ, e não apenas o vão livre, que violava a conservação de energia com resíduo de 1,71 mm. A mesma verificação distinguiu o braço </w:t>
        <w:lastRenderedPageBreak/>
        <w:t>de momento perpendicular, limitado a 22,919 mm, da distância do pivô ao ponto de tangência, próxima de 283 mm, cuja confusão superestimaria o torque por um fator superior a 12.</w:t>
      </w:r>
    </w:p>
    <w:p w14:paraId="0690F43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os parâmetros congelados, o modelo reproduz a forma da curva publicada com coeficiente de determinação de 0,99839 e RMSE de 1,83 u.p., equivalente a 1,24% do maior valor extraído. Os resíduos, contudo, organizam-se em zonas de sinal alternado, o que indica diferença sistemática de forma, e a formulação anterior, fisicamente inconsistente, ajustava melhor a curva. A adoção da formulação consistente, apesar do RMSE maior, reflete o critério de que a escolha entre modelos se faz por validade física, e não pelo indicador de erro.</w:t>
      </w:r>
    </w:p>
    <w:p w14:paraId="01F60D5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otimização da ancoragem mostrou que, com a mesma mola, o torque devolvido cresce monotonicamente com h. O cabo permanece tracionado em toda a faixa somente para h ≤ 32,886 mm, o que exclui a cota de 34,785 mm lida no CAD. Nesse limite, o torque médio devolvido de 90° a 150° de elevação seria 32% maior que no h adotado, mas sem pré-tensão com o braço elevado; com margem de 5 mm de extensão, o ótimo de projeto fica em 28,7 mm, com ganho de 20%. Até os 76,846 mm admitidos pela geometria, o torque total continua a crescer, mas o cabo afrouxa nas posturas elevadas e a assistência cessa, de forma contínua mas com uma quina na curva de torque, acima de cerca de 138° a 174° de elevação, conforme h, o que contraria o uso previsto para o trabalho acima da cabeça. O valor adotado, 22,701 mm, mantém margem de 12 mm, e sua origem, ao contrário de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, não pôde ser reproduzida pela auditoria.</w:t>
      </w:r>
    </w:p>
    <w:p w14:paraId="576AAC41" w14:textId="77777777" w:rsidR="009C1161" w:rsidRDefault="003B1183">
      <w:pPr>
        <w:rPr>
          <w:lang w:val="pt-BR"/>
        </w:rPr>
      </w:pPr>
      <w:r>
        <w:rPr>
          <w:lang w:val="pt-BR"/>
        </w:rPr>
        <w:t xml:space="preserve">No confronto com o torque gravitacional do conjunto braço–exoesqueleto, cujo pico de 11,16 N·m ocorre a 89,4° de elevação, as curvas normalizadas diferem em no máximo 0,027 entre 105° e 150° de elevação. O pico do torque do cabo, a 97,5°, fica 8,05° acima do pico gravitacional, e o ponto morto, a 30,5°, libera o braço nas posturas de não trabalho, à custa de subcompensação abaixo de 94°. O resultado quantifica o compromisso de um mecanismo passivo de torque fixo por ângulo, que favorece o trabalho acima da cabeça.</w:t>
      </w:r>
    </w:p>
    <w:p w14:paraId="325F17CD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objetivo geral foi atingido em sua parte estática e para um dos três dispositivos previstos. Os objetivos específicos a, b, c e e foram cumpridos; o objetivo d, parcialmente, pois a rigidez e a extensão da mola na pose foram reproduzidas, mas a origem da posição da ancoragem e da calibração angular não. Os objetivos f e g, referentes à equação de movimento e ao acoplamento com o MBDyn, não foram executados. A principal restrição é a ausência de unidade na ordenada da curva da patente: o torque do cabo permanece em unidade da patente, e a leitura em N·m conduz a forças implausíveis, de modo que o modelo determina a forma do torque, mas não sua escala física.</w:t>
      </w:r>
    </w:p>
    <w:p w14:paraId="0520EA5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Como continuidade, recomenda-se obter um dado independente que fixe a escala do torque, como a especificação de uma mola comercial compatível; conferir no CAD a cota de ancoragem, o comprimento do alojamento e o comprimento da mola na pose, confrontando a deflexão relativa exigida com a admissível da mola especificada; documentar o procedimento de extração dos pontos e sua incerteza; representar a protuberância responsável pela zona neutra; e, com o torque em unidade física, executar as etapas dinâmicas pela formulação de Lagrange e no MBDyn e estender o procedimento à US 9.737.374 B2 e à EP 3 504 033 B1.</w:t>
      </w:r>
    </w:p>
    <w:p w14:paraId="5AC9ECE8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REFERÊNCIAS</w:t>
      </w:r>
    </w:p>
    <w:p w14:paraId="0F926510" w14:textId="77777777" w:rsidR="00FD1B34" w:rsidRDefault="003B1183">
      <w:r>
        <w:rPr>
          <w:lang w:val="pt-BR"/>
        </w:rPr>
        <w:t xml:space="preserve">AGÊNCIA BRASIL. </w:t>
      </w:r>
      <w:r>
        <w:rPr>
          <w:b/>
          <w:lang w:val="pt-BR"/>
        </w:rPr>
        <w:t>Doenças afastaram 4,1 milhões de trabalhadores de suas funções em 2025</w:t>
      </w:r>
      <w:r>
        <w:rPr>
          <w:lang w:val="pt-BR"/>
        </w:rPr>
        <w:t xml:space="preserve">. Brasília, 2026. Disponível em: </w:t>
      </w:r>
      <w:hyperlink r:id="rId10" w:history="1">
        <w:r>
          <w:rPr>
            <w:rStyle w:val="Hyperlink"/>
            <w:lang w:val="pt-BR"/>
          </w:rPr>
          <w:t>https://agenciabrasil.ebc.com.br/saude/noticia/2026-01/doencas-afastaram-41-milhoes-de-trabalhadores-de-suas-funcoes-em-2025</w:t>
        </w:r>
      </w:hyperlink>
      <w:r>
        <w:rPr>
          <w:lang w:val="pt-BR"/>
        </w:rPr>
        <w:t xml:space="preserve">. </w:t>
      </w:r>
      <w:r>
        <w:t xml:space="preserve">Acesso em: 26 set. 2026.</w:t>
      </w:r>
    </w:p>
    <w:p w14:paraId="7E3BD60C" w14:textId="77777777" w:rsidR="00FD1B34" w:rsidRDefault="003B1183">
      <w:r>
        <w:t xml:space="preserve">ARAKELIAN, V. Gravity compensation in robotics. </w:t>
      </w:r>
      <w:r>
        <w:rPr>
          <w:b/>
        </w:rPr>
        <w:t>Advanced Robotics</w:t>
      </w:r>
      <w:r>
        <w:t xml:space="preserve">, [S.l.], v. 30, n. 2, p. 79-96, 2016. DOI: </w:t>
      </w:r>
      <w:hyperlink r:id="rId11" w:history="1">
        <w:r>
          <w:rPr>
            <w:rStyle w:val="Hyperlink"/>
          </w:rPr>
          <w:t>10.1080/01691864.2015.1090334</w:t>
        </w:r>
      </w:hyperlink>
      <w:r>
        <w:t>.</w:t>
      </w:r>
    </w:p>
    <w:p w14:paraId="588F9640" w14:textId="77777777" w:rsidR="00FD1B34" w:rsidRDefault="003B1183">
      <w:r>
        <w:rPr>
          <w:lang w:val="pt-BR"/>
        </w:rPr>
        <w:lastRenderedPageBreak/>
        <w:t xml:space="preserve">ATIA, M. G. B. et al. </w:t>
      </w:r>
      <w:r>
        <w:t xml:space="preserve">Design and analysis of low cost upper limb exoskeleton. In: INTERNATIONAL CONFERENCE ON COMPUTER ENGINEERING AND SYSTEMS (ICCES), 12., 2017, Cairo. </w:t>
      </w:r>
      <w:r>
        <w:rPr>
          <w:b/>
        </w:rPr>
        <w:t>Proceedings</w:t>
      </w:r>
      <w:r>
        <w:t xml:space="preserve"> [...]. [S.l.]: IEEE, 2018. DOI: </w:t>
      </w:r>
      <w:hyperlink r:id="rId12" w:history="1">
        <w:r>
          <w:rPr>
            <w:rStyle w:val="Hyperlink"/>
          </w:rPr>
          <w:t>10.1109/ICCES.2017.8275281</w:t>
        </w:r>
      </w:hyperlink>
      <w:r>
        <w:t>.</w:t>
      </w:r>
    </w:p>
    <w:p w14:paraId="1783F3E3" w14:textId="77777777" w:rsidR="00FD1B34" w:rsidRDefault="003B1183">
      <w:r>
        <w:t xml:space="preserve">BÄR, M. et al. The influence of using exoskeletons during occupational tasks on acute physical stress and strain compared to no exoskeleton: a systematic review and meta-analysis. </w:t>
      </w:r>
      <w:r>
        <w:rPr>
          <w:b/>
        </w:rPr>
        <w:t>Applied Ergonomics</w:t>
      </w:r>
      <w:r>
        <w:t xml:space="preserve">, [S.l.], v. 94, art. 103385, jul. 2021. DOI: </w:t>
      </w:r>
      <w:hyperlink r:id="rId13" w:history="1">
        <w:r>
          <w:rPr>
            <w:rStyle w:val="Hyperlink"/>
          </w:rPr>
          <w:t>10.1016/j.apergo.2021.103385</w:t>
        </w:r>
      </w:hyperlink>
      <w:r>
        <w:t>.</w:t>
      </w:r>
    </w:p>
    <w:p w14:paraId="3C300EC0" w14:textId="77777777" w:rsidR="00FD1B34" w:rsidRDefault="003B1183">
      <w:r>
        <w:t xml:space="preserve">BARSOTTI, M. et al. A full upper limb robotic exoskeleton for reaching and grasping rehabilitation triggered by MI-BCI. In: INTERNATIONAL CONFERENCE ON REHABILITATION ROBOTICS (ICORR), 2015, Singapura. </w:t>
      </w:r>
      <w:r>
        <w:rPr>
          <w:b/>
        </w:rPr>
        <w:t>Proceedings</w:t>
      </w:r>
      <w:r>
        <w:t xml:space="preserve"> [...]. [S.l.]: IEEE, 2015. p. 49-54. DOI: </w:t>
      </w:r>
      <w:hyperlink r:id="rId14" w:history="1">
        <w:r>
          <w:rPr>
            <w:rStyle w:val="Hyperlink"/>
          </w:rPr>
          <w:t>10.1109/ICORR.2015.7281174</w:t>
        </w:r>
      </w:hyperlink>
      <w:r>
        <w:t>.</w:t>
      </w:r>
    </w:p>
    <w:p w14:paraId="1AB2B9F0" w14:textId="77777777" w:rsidR="00FD1B34" w:rsidRDefault="003B1183">
      <w:r>
        <w:t xml:space="preserve">BOUTERAA, Y.; BEN ABDALLAH, I. Exoskeleton robots for upper-limb rehabilitation. In: INTERNATIONAL MULTI-CONFERENCE ON SYSTEMS, SIGNALS &amp; DEVICES (SSD), 13., 2016, Leipzig. </w:t>
      </w:r>
      <w:r>
        <w:rPr>
          <w:b/>
        </w:rPr>
        <w:t>Proceedings</w:t>
      </w:r>
      <w:r>
        <w:t xml:space="preserve"> [...]. [S.l.]: IEEE, 2016. DOI: </w:t>
      </w:r>
      <w:hyperlink r:id="rId15" w:history="1">
        <w:r>
          <w:rPr>
            <w:rStyle w:val="Hyperlink"/>
          </w:rPr>
          <w:t>10.1109/SSD.2016.7473769</w:t>
        </w:r>
      </w:hyperlink>
      <w:r>
        <w:t>.</w:t>
      </w:r>
    </w:p>
    <w:p w14:paraId="5593EC07" w14:textId="77777777" w:rsidR="00FD1B34" w:rsidRDefault="003B1183">
      <w:r>
        <w:t xml:space="preserve">DE LEVA, P. Adjustments to Zatsiorsky-Seluyanov's segment inertia parameters. </w:t>
      </w:r>
      <w:r>
        <w:rPr>
          <w:b/>
        </w:rPr>
        <w:t>Journal of Biomechanics</w:t>
      </w:r>
      <w:r>
        <w:t xml:space="preserve">, [S.l.], v. 29, n. 9, p. 1223-1230, 1996. DOI: </w:t>
      </w:r>
      <w:hyperlink r:id="rId16" w:history="1">
        <w:r>
          <w:rPr>
            <w:rStyle w:val="Hyperlink"/>
          </w:rPr>
          <w:t>10.1016/0021-9290(95)00178-6</w:t>
        </w:r>
      </w:hyperlink>
      <w:r>
        <w:t>.</w:t>
      </w:r>
    </w:p>
    <w:p w14:paraId="26D29918" w14:textId="77777777" w:rsidR="00FD1B34" w:rsidRDefault="003B1183">
      <w:r>
        <w:rPr>
          <w:lang w:val="pt-BR"/>
        </w:rPr>
        <w:t xml:space="preserve">DE LOOZE, M. P. et al. </w:t>
      </w:r>
      <w:r>
        <w:t xml:space="preserve">Exoskeletons for industrial application and their potential effects on physical work load. </w:t>
      </w:r>
      <w:r>
        <w:rPr>
          <w:b/>
        </w:rPr>
        <w:t>Ergonomics</w:t>
      </w:r>
      <w:r>
        <w:t xml:space="preserve">, [S.l.], v. 59, n. 5, p. 671-681, 2016. DOI: </w:t>
      </w:r>
      <w:hyperlink r:id="rId17" w:history="1">
        <w:r>
          <w:rPr>
            <w:rStyle w:val="Hyperlink"/>
          </w:rPr>
          <w:t>10.1080/00140139.2015.1081988</w:t>
        </w:r>
      </w:hyperlink>
      <w:r>
        <w:t>.</w:t>
      </w:r>
    </w:p>
    <w:p w14:paraId="7847EB4F" w14:textId="77777777" w:rsidR="00FD1B34" w:rsidRPr="00BE1C36" w:rsidRDefault="003B1183">
      <w:pPr>
        <w:rPr>
          <w:lang w:val="pt-BR"/>
        </w:rPr>
      </w:pPr>
      <w:r>
        <w:t xml:space="preserve">DOYLE, M. C. </w:t>
      </w:r>
      <w:r>
        <w:rPr>
          <w:b/>
        </w:rPr>
        <w:t>Adaptive arm support systems and methods for use</w:t>
      </w:r>
      <w:r>
        <w:t xml:space="preserve">. </w:t>
      </w:r>
      <w:r>
        <w:rPr>
          <w:lang w:val="pt-BR"/>
        </w:rPr>
        <w:t xml:space="preserve">Depositante e titular: Levitate Technologies, Inc. US 9,737,374 B2. Depósito: 10 dez. 2013. Prioridade: 11 dez. 2012. Concessão: 22 ago. 2017.</w:t>
      </w:r>
    </w:p>
    <w:p w14:paraId="7A1B1B60" w14:textId="77777777" w:rsidR="00FD1B34" w:rsidRDefault="003B1183">
      <w:r>
        <w:rPr>
          <w:lang w:val="pt-BR"/>
        </w:rPr>
        <w:t xml:space="preserve">FOROUTANNIA, A.; MOHAMMADIAN, M. A comprehensive survey of lower limb assistive exoskeleton robots: models, dynamics, mechanics, and control. </w:t>
      </w:r>
      <w:r>
        <w:rPr>
          <w:b/>
        </w:rPr>
        <w:t>Robotics and Autonomous Systems</w:t>
      </w:r>
      <w:r>
        <w:t xml:space="preserve">, [S.l.], v. 195, art. 105232, 2026. DOI: </w:t>
      </w:r>
      <w:hyperlink r:id="rId18" w:history="1">
        <w:r>
          <w:rPr>
            <w:rStyle w:val="Hyperlink"/>
          </w:rPr>
          <w:t>10.1016/j.robot.2025.105232</w:t>
        </w:r>
      </w:hyperlink>
      <w:r>
        <w:t>.</w:t>
      </w:r>
    </w:p>
    <w:p w14:paraId="7CF61E71" w14:textId="77777777" w:rsidR="00FD1B34" w:rsidRDefault="003B1183">
      <w:r>
        <w:t xml:space="preserve">GOPURA, R. A. R. C.; KIGUCHI, K. Mechanical designs of active upper-limb exoskeleton robots: state-of-the-art and design difficulties. In: INTERNATIONAL CONFERENCE ON REHABILITATION ROBOTICS (ICORR), 2009, Kyoto. </w:t>
      </w:r>
      <w:r>
        <w:rPr>
          <w:b/>
        </w:rPr>
        <w:t>Proceedings</w:t>
      </w:r>
      <w:r>
        <w:t xml:space="preserve"> [...]. [S.l.]: IEEE, 2009. p. 178-187. DOI: </w:t>
      </w:r>
      <w:hyperlink r:id="rId19" w:history="1">
        <w:r>
          <w:rPr>
            <w:rStyle w:val="Hyperlink"/>
          </w:rPr>
          <w:t>10.1109/ICORR.2009.5209630</w:t>
        </w:r>
      </w:hyperlink>
      <w:r>
        <w:t>.</w:t>
      </w:r>
    </w:p>
    <w:p w14:paraId="08FADCE6" w14:textId="77777777" w:rsidR="00FD1B34" w:rsidRDefault="003B1183">
      <w:r>
        <w:t xml:space="preserve">GRAZI, L. et al. Design and experimental evaluation of a semi-passive upper-limb exoskeleton for workers with motorized tuning of assistance. </w:t>
      </w:r>
      <w:r>
        <w:rPr>
          <w:b/>
        </w:rPr>
        <w:t>IEEE Transactions on Neural Systems and Rehabilitation Engineering</w:t>
      </w:r>
      <w:r>
        <w:t xml:space="preserve">, [S.l.], v. 28, n. 10, p. 2276-2285, 2020. DOI: </w:t>
      </w:r>
      <w:hyperlink r:id="rId20" w:history="1">
        <w:r>
          <w:rPr>
            <w:rStyle w:val="Hyperlink"/>
          </w:rPr>
          <w:t>10.1109/TNSRE.2020.3014408</w:t>
        </w:r>
      </w:hyperlink>
      <w:r>
        <w:t>.</w:t>
      </w:r>
    </w:p>
    <w:p w14:paraId="1AF9232C" w14:textId="77777777" w:rsidR="00FD1B34" w:rsidRDefault="003B1183">
      <w:r>
        <w:t xml:space="preserve">GRAZI, L. et al. Kinematics-based adaptive assistance of a semi-passive upper-limb exoskeleton for workers in static and dynamic tasks. </w:t>
      </w:r>
      <w:r>
        <w:rPr>
          <w:b/>
        </w:rPr>
        <w:t>IEEE Robotics and Automation Letters</w:t>
      </w:r>
      <w:r>
        <w:t xml:space="preserve">, [S.l.], v. 7, n. 4, p. 8675-8682, out. 2022. DOI: </w:t>
      </w:r>
      <w:hyperlink r:id="rId21" w:history="1">
        <w:r>
          <w:rPr>
            <w:rStyle w:val="Hyperlink"/>
          </w:rPr>
          <w:t>10.1109/LRA.2022.3188402</w:t>
        </w:r>
      </w:hyperlink>
      <w:r>
        <w:t>.</w:t>
      </w:r>
    </w:p>
    <w:p w14:paraId="62C70AA0" w14:textId="77777777" w:rsidR="00FD1B34" w:rsidRDefault="003B1183">
      <w:r>
        <w:t xml:space="preserve">GULL, M. A.; BAI, S.; BAK, T. A review on design of upper limb exoskeletons. </w:t>
      </w:r>
      <w:r>
        <w:rPr>
          <w:b/>
        </w:rPr>
        <w:t>Robotics</w:t>
      </w:r>
      <w:r>
        <w:t xml:space="preserve">, [S.l.], v. 9, n. 1, art. 16, 2020. DOI: </w:t>
      </w:r>
      <w:hyperlink r:id="rId22" w:history="1">
        <w:r>
          <w:rPr>
            <w:rStyle w:val="Hyperlink"/>
          </w:rPr>
          <w:t>10.3390/robotics9010016</w:t>
        </w:r>
      </w:hyperlink>
      <w:r>
        <w:t>.</w:t>
      </w:r>
    </w:p>
    <w:p w14:paraId="08EF8C72" w14:textId="77777777" w:rsidR="009C1161" w:rsidRDefault="003B1183">
      <w:r>
        <w:t xml:space="preserve">HARRIS, C. R. et al. Array programming with NumPy. </w:t>
      </w:r>
      <w:r>
        <w:rPr>
          <w:b/>
        </w:rPr>
        <w:t>Nature</w:t>
      </w:r>
      <w:r>
        <w:t xml:space="preserve">, [S.l.], v. 585, n. 7825, p. 357-362, 2020. DOI: </w:t>
      </w:r>
      <w:hyperlink r:id="rId23" w:history="1">
        <w:r>
          <w:rPr>
            <w:rStyle w:val="Hyperlink"/>
          </w:rPr>
          <w:t>10.1038/s41586-020-2649-2</w:t>
        </w:r>
      </w:hyperlink>
      <w:r>
        <w:t>.</w:t>
      </w:r>
    </w:p>
    <w:p w14:paraId="68EBAF9A" w14:textId="77777777" w:rsidR="00FD1B34" w:rsidRDefault="003B1183">
      <w:r>
        <w:t xml:space="preserve">HERDER, J. L. </w:t>
      </w:r>
      <w:r>
        <w:rPr>
          <w:b/>
        </w:rPr>
        <w:t>Energy-free systems</w:t>
      </w:r>
      <w:r>
        <w:t xml:space="preserve">: theory, conception and design of statically balanced spring mechanisms. 2001. Tese (Doutorado) — Delft University of Technology, Delft, 2001.</w:t>
      </w:r>
    </w:p>
    <w:p w14:paraId="34BC9E02" w14:textId="77777777" w:rsidR="009C1161" w:rsidRDefault="003B1183">
      <w:r>
        <w:lastRenderedPageBreak/>
        <w:t xml:space="preserve">HUNTER, J. D. Matplotlib: a 2D graphics environment. </w:t>
      </w:r>
      <w:r>
        <w:rPr>
          <w:b/>
        </w:rPr>
        <w:t>Computing in Science &amp; Engineering</w:t>
      </w:r>
      <w:r>
        <w:t xml:space="preserve">, [S.l.], v. 9, n. 3, p. 90-95, 2007. DOI: </w:t>
      </w:r>
      <w:hyperlink r:id="rId24" w:history="1">
        <w:r>
          <w:rPr>
            <w:rStyle w:val="Hyperlink"/>
          </w:rPr>
          <w:t>10.1109/MCSE.2007.55</w:t>
        </w:r>
      </w:hyperlink>
      <w:r>
        <w:t>.</w:t>
      </w:r>
    </w:p>
    <w:p w14:paraId="43067E41" w14:textId="77777777" w:rsidR="00FD1B34" w:rsidRPr="00BE1C36" w:rsidRDefault="003B1183">
      <w:pPr>
        <w:rPr>
          <w:lang w:val="en-ZA"/>
        </w:rPr>
      </w:pPr>
      <w:r>
        <w:t xml:space="preserve">KIM, H. et al. Redundancy resolution of the human arm and an upper limb exoskeleton. </w:t>
      </w:r>
      <w:r>
        <w:rPr>
          <w:b/>
        </w:rPr>
        <w:t>IEEE Transactions on Biomedical Engineering</w:t>
      </w:r>
      <w:r>
        <w:t xml:space="preserve">, [S.l.], v. 59, n. 6, p. 1770-1779, 2012. </w:t>
      </w:r>
      <w:r>
        <w:rPr>
          <w:lang w:val="en-ZA"/>
        </w:rPr>
        <w:t xml:space="preserve">DOI: </w:t>
      </w:r>
      <w:hyperlink r:id="rId25" w:history="1">
        <w:r>
          <w:rPr>
            <w:rStyle w:val="Hyperlink"/>
            <w:lang w:val="en-ZA"/>
          </w:rPr>
          <w:t>10.1109/TBME.2012.2194489</w:t>
        </w:r>
      </w:hyperlink>
      <w:r>
        <w:rPr>
          <w:lang w:val="en-ZA"/>
        </w:rPr>
        <w:t>.</w:t>
      </w:r>
    </w:p>
    <w:p w14:paraId="6B26610C" w14:textId="77777777" w:rsidR="00FD1B34" w:rsidRDefault="003B1183">
      <w:r>
        <w:t xml:space="preserve">KIM, S. et al. Assessing the influence of a passive, upper extremity exoskeletal vest for tasks requiring arm elevation: part I — "expected" effects on discomfort, shoulder muscle activity, and work task performance. </w:t>
      </w:r>
      <w:r>
        <w:rPr>
          <w:b/>
        </w:rPr>
        <w:t>Applied Ergonomics</w:t>
      </w:r>
      <w:r>
        <w:t xml:space="preserve">, [S.l.], v. 70, p. 315-322, 2018a. DOI: </w:t>
      </w:r>
      <w:hyperlink r:id="rId26" w:history="1">
        <w:r>
          <w:rPr>
            <w:rStyle w:val="Hyperlink"/>
          </w:rPr>
          <w:t>10.1016/j.apergo.2018.02.025</w:t>
        </w:r>
      </w:hyperlink>
      <w:r>
        <w:t>.</w:t>
      </w:r>
    </w:p>
    <w:p w14:paraId="3A65F69B" w14:textId="77777777" w:rsidR="00FD1B34" w:rsidRDefault="003B1183">
      <w:r>
        <w:t xml:space="preserve">KIM, S. et al. Assessing the influence of a passive, upper extremity exoskeletal vest for tasks requiring arm elevation: part II — "unexpected" effects on shoulder motion, balance, and spine loading. </w:t>
      </w:r>
      <w:r>
        <w:rPr>
          <w:b/>
        </w:rPr>
        <w:t>Applied Ergonomics</w:t>
      </w:r>
      <w:r>
        <w:t xml:space="preserve">, [S.l.], v. 70, p. 323-330, 2018b. DOI: </w:t>
      </w:r>
      <w:hyperlink r:id="rId27" w:history="1">
        <w:r>
          <w:rPr>
            <w:rStyle w:val="Hyperlink"/>
          </w:rPr>
          <w:t>10.1016/j.apergo.2018.02.024</w:t>
        </w:r>
      </w:hyperlink>
      <w:r>
        <w:t>.</w:t>
      </w:r>
    </w:p>
    <w:p w14:paraId="74B26BD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MANOEL, A. V.; CAVALCANTE, D. F. B. Benefícios concedidos e gastos previdenciários por distúrbios osteomusculares relacionados ao trabalho, Brasil, 2008-2018. </w:t>
      </w:r>
      <w:r>
        <w:rPr>
          <w:b/>
          <w:lang w:val="pt-BR"/>
        </w:rPr>
        <w:t>Cadernos Saúde Coletiva</w:t>
      </w:r>
      <w:r>
        <w:rPr>
          <w:lang w:val="pt-BR"/>
        </w:rPr>
        <w:t xml:space="preserve">, Rio de Janeiro, v. 33, n. 4, 2025. DOI: </w:t>
      </w:r>
      <w:hyperlink r:id="rId28" w:history="1">
        <w:r>
          <w:rPr>
            <w:rStyle w:val="Hyperlink"/>
            <w:lang w:val="pt-BR"/>
          </w:rPr>
          <w:t>10.1590/1414-462x202533040384</w:t>
        </w:r>
      </w:hyperlink>
      <w:r>
        <w:rPr>
          <w:lang w:val="pt-BR"/>
        </w:rPr>
        <w:t>.</w:t>
      </w:r>
    </w:p>
    <w:p w14:paraId="7BE07856" w14:textId="77777777" w:rsidR="00FD1B34" w:rsidRDefault="003B1183">
      <w:r>
        <w:t xml:space="preserve">MASARATI, P.; MORANDINI, M.; MANTEGAZZA, P. An efficient formulation for general-purpose multibody/multiphysics analysis. </w:t>
      </w:r>
      <w:r>
        <w:rPr>
          <w:b/>
        </w:rPr>
        <w:t>Journal of Computational and Nonlinear Dynamics</w:t>
      </w:r>
      <w:r>
        <w:t xml:space="preserve">, [S.l.], v. 9, n. 4, art. 041001, 2014. DOI: </w:t>
      </w:r>
      <w:hyperlink r:id="rId29" w:history="1">
        <w:r>
          <w:rPr>
            <w:rStyle w:val="Hyperlink"/>
          </w:rPr>
          <w:t>10.1115/1.4025628</w:t>
        </w:r>
      </w:hyperlink>
      <w:r>
        <w:t>.</w:t>
      </w:r>
    </w:p>
    <w:p w14:paraId="6D757C0B" w14:textId="77777777" w:rsidR="00FD1B34" w:rsidRDefault="003B1183">
      <w:r>
        <w:t xml:space="preserve">MOELLER, T. et al. Effects of upper-limb exoskeletons designed for use in the working environment: a literature review. </w:t>
      </w:r>
      <w:r>
        <w:rPr>
          <w:b/>
        </w:rPr>
        <w:t>Frontiers in Robotics and AI</w:t>
      </w:r>
      <w:r>
        <w:t xml:space="preserve">, [S.l.], v. 9, art. 858893, 2022. DOI: </w:t>
      </w:r>
      <w:hyperlink r:id="rId30" w:history="1">
        <w:r>
          <w:rPr>
            <w:rStyle w:val="Hyperlink"/>
          </w:rPr>
          <w:t>10.3389/frobt.2022.858893</w:t>
        </w:r>
      </w:hyperlink>
      <w:r>
        <w:t>.</w:t>
      </w:r>
    </w:p>
    <w:p w14:paraId="4F249520" w14:textId="77777777" w:rsidR="00FD1B34" w:rsidRDefault="003B1183">
      <w:r>
        <w:t xml:space="preserve">MUSSO, M.; OLIVEIRA, A. S.; BAI, S. Modeling of a non-rigid passive exoskeleton: mathematical description and musculoskeletal simulations. </w:t>
      </w:r>
      <w:r>
        <w:rPr>
          <w:b/>
        </w:rPr>
        <w:t>Robotics</w:t>
      </w:r>
      <w:r>
        <w:t xml:space="preserve">, [S.l.], v. 11, n. 6, art. 147, 2022. DOI: </w:t>
      </w:r>
      <w:hyperlink r:id="rId31" w:history="1">
        <w:r>
          <w:rPr>
            <w:rStyle w:val="Hyperlink"/>
          </w:rPr>
          <w:t>10.3390/robotics11060147</w:t>
        </w:r>
      </w:hyperlink>
      <w:r>
        <w:t>.</w:t>
      </w:r>
    </w:p>
    <w:p w14:paraId="4979D274" w14:textId="77777777" w:rsidR="00FD1B34" w:rsidRDefault="003B1183">
      <w:r>
        <w:t xml:space="preserve">NÄF, M. B. et al. Misalignment compensation for full human-exoskeleton kinematic compatibility: state of the art and evaluation. </w:t>
      </w:r>
      <w:r>
        <w:rPr>
          <w:b/>
        </w:rPr>
        <w:t>Applied Mechanics Reviews</w:t>
      </w:r>
      <w:r>
        <w:t xml:space="preserve">, [S.l.], v. 70, n. 5, art. 050802, 2018. DOI: </w:t>
      </w:r>
      <w:hyperlink r:id="rId32" w:history="1">
        <w:r>
          <w:rPr>
            <w:rStyle w:val="Hyperlink"/>
          </w:rPr>
          <w:t>10.1115/1.4042523</w:t>
        </w:r>
      </w:hyperlink>
      <w:r>
        <w:t>.</w:t>
      </w:r>
    </w:p>
    <w:p w14:paraId="618B8035" w14:textId="77777777" w:rsidR="00FD1B34" w:rsidRDefault="003B1183">
      <w:r>
        <w:t xml:space="preserve">NASR, A.; BELL, S.; McPHEE, J. Optimal design of active-passive shoulder exoskeletons: a computational modeling of human-robot interaction. </w:t>
      </w:r>
      <w:r>
        <w:rPr>
          <w:b/>
        </w:rPr>
        <w:t>Multibody System Dynamics</w:t>
      </w:r>
      <w:r>
        <w:t xml:space="preserve">, [S.l.], v. 57, p. 73-106, 2023. DOI: </w:t>
      </w:r>
      <w:hyperlink r:id="rId33" w:history="1">
        <w:r>
          <w:rPr>
            <w:rStyle w:val="Hyperlink"/>
          </w:rPr>
          <w:t>10.1007/s11044-022-09855-8</w:t>
        </w:r>
      </w:hyperlink>
      <w:r>
        <w:t>.</w:t>
      </w:r>
    </w:p>
    <w:p w14:paraId="3FC269D0" w14:textId="77777777" w:rsidR="00FD1B34" w:rsidRDefault="003B1183">
      <w:r>
        <w:t xml:space="preserve">NASR, A.; FERGUSON, S.; McPHEE, J. Model-based design and optimization of passive shoulder exoskeletons. </w:t>
      </w:r>
      <w:r>
        <w:rPr>
          <w:b/>
        </w:rPr>
        <w:t>Journal of Computational and Nonlinear Dynamics</w:t>
      </w:r>
      <w:r>
        <w:t xml:space="preserve">, [S.l.], v. 17, n. 5, art. 051004, 2022. DOI: </w:t>
      </w:r>
      <w:hyperlink r:id="rId34" w:history="1">
        <w:r>
          <w:rPr>
            <w:rStyle w:val="Hyperlink"/>
          </w:rPr>
          <w:t>10.1115/1.4053405</w:t>
        </w:r>
      </w:hyperlink>
      <w:r>
        <w:t>.</w:t>
      </w:r>
    </w:p>
    <w:p w14:paraId="2062345F" w14:textId="77777777" w:rsidR="00FD1B34" w:rsidRDefault="003B1183">
      <w:r>
        <w:t xml:space="preserve">NGUYEN, V. L. Passive gravity compensation in mechanisms and robots: methods, advances, and challenges. </w:t>
      </w:r>
      <w:r>
        <w:rPr>
          <w:b/>
        </w:rPr>
        <w:t>Mechanism and Machine Theory</w:t>
      </w:r>
      <w:r>
        <w:t xml:space="preserve">, [S.l.], v. 220, art. 106345, 2026. DOI: </w:t>
      </w:r>
      <w:hyperlink r:id="rId35" w:history="1">
        <w:r>
          <w:rPr>
            <w:rStyle w:val="Hyperlink"/>
          </w:rPr>
          <w:t>10.1016/j.mechmachtheory.2025.106345</w:t>
        </w:r>
      </w:hyperlink>
      <w:r>
        <w:t>.</w:t>
      </w:r>
    </w:p>
    <w:p w14:paraId="727FD1E3" w14:textId="77777777" w:rsidR="00FD1B34" w:rsidRDefault="003B1183">
      <w:r>
        <w:t xml:space="preserve">NING, Y. et al. Design and analysis of upper limb passive exoskeleton robot for lift assist. </w:t>
      </w:r>
      <w:r>
        <w:rPr>
          <w:b/>
        </w:rPr>
        <w:t>Journal of Physics: Conference Series</w:t>
      </w:r>
      <w:r>
        <w:t xml:space="preserve">, [S.l.], v. 2410, art. 012020, 2022. DOI: </w:t>
      </w:r>
      <w:hyperlink r:id="rId36" w:history="1">
        <w:r>
          <w:rPr>
            <w:rStyle w:val="Hyperlink"/>
          </w:rPr>
          <w:t>10.1088/1742-6596/2410/1/012020</w:t>
        </w:r>
      </w:hyperlink>
      <w:r>
        <w:t>.</w:t>
      </w:r>
    </w:p>
    <w:p w14:paraId="2CA3E634" w14:textId="77777777" w:rsidR="00FD1B34" w:rsidRDefault="003B1183">
      <w:r>
        <w:lastRenderedPageBreak/>
        <w:t xml:space="preserve">NING, Y. et al. Structure design and analysis of upper limb wearable passive power-assisted exoskeleton robot. </w:t>
      </w:r>
      <w:r>
        <w:rPr>
          <w:b/>
        </w:rPr>
        <w:t>Journal of Physics: Conference Series</w:t>
      </w:r>
      <w:r>
        <w:t xml:space="preserve">, [S.l.], v. 2489, art. 012008, 2023. DOI: </w:t>
      </w:r>
      <w:hyperlink r:id="rId37" w:history="1">
        <w:r>
          <w:rPr>
            <w:rStyle w:val="Hyperlink"/>
          </w:rPr>
          <w:t>10.1088/1742-6596/2489/1/012008</w:t>
        </w:r>
      </w:hyperlink>
      <w:r>
        <w:t>.</w:t>
      </w:r>
    </w:p>
    <w:p w14:paraId="26C332BB" w14:textId="77777777" w:rsidR="00FD1B34" w:rsidRDefault="003B1183">
      <w:r>
        <w:t xml:space="preserve">OBUKHOV, A. et al. Development of a system for recognising and classifying motor activity to control an upper-limb exoskeleton. </w:t>
      </w:r>
      <w:r>
        <w:rPr>
          <w:b/>
        </w:rPr>
        <w:t>Applied System Innovation</w:t>
      </w:r>
      <w:r>
        <w:t xml:space="preserve">, [S.l.], v. 8, n. 4, art. 114, 2025. DOI: </w:t>
      </w:r>
      <w:hyperlink r:id="rId38" w:history="1">
        <w:r>
          <w:rPr>
            <w:rStyle w:val="Hyperlink"/>
          </w:rPr>
          <w:t>10.3390/asi8040114</w:t>
        </w:r>
      </w:hyperlink>
      <w:r>
        <w:t>.</w:t>
      </w:r>
    </w:p>
    <w:p>
      <w:r>
        <w:t xml:space="preserve">OKABE, E. P.; BRITTES, J. L. P.; BRITO, P. L. A. Modeling and simulation of an upper limb exoskeleton. </w:t>
      </w:r>
      <w:r>
        <w:rPr>
          <w:b/>
        </w:rPr>
        <w:t>Journal of Computational and Nonlinear Dynamics</w:t>
      </w:r>
      <w:r>
        <w:t xml:space="preserve">, [S.l.], v. 21, n. 7, art. 071006, jul. 2026. DOI: </w:t>
      </w:r>
      <w:hyperlink r:id="rIdRefOkabe" w:history="1">
        <w:r>
          <w:rPr>
            <w:rStyle w:val="Hyperlink"/>
          </w:rPr>
          <w:t>10.1115/1.4071946</w:t>
        </w:r>
      </w:hyperlink>
      <w:r>
        <w:t>.</w:t>
      </w:r>
    </w:p>
    <w:p w14:paraId="297E019B" w14:textId="77777777" w:rsidR="00FD1B34" w:rsidRPr="00955B75" w:rsidRDefault="003B1183">
      <w:pPr>
        <w:rPr>
          <w:lang w:val="pt-BR"/>
        </w:rPr>
      </w:pPr>
      <w:r>
        <w:t xml:space="preserve">OTTOBOCK SE &amp; CO. KGAA. Oliver Mizera et al. </w:t>
      </w:r>
      <w:r>
        <w:rPr>
          <w:b/>
        </w:rPr>
        <w:t xml:space="preserve">Vorrichtung zum Unterstützen wenigstens eines Armes eines Benutzers</w:t>
      </w:r>
      <w:r>
        <w:t xml:space="preserve">. </w:t>
      </w:r>
      <w:r>
        <w:rPr>
          <w:lang w:val="pt-BR"/>
        </w:rPr>
        <w:t>EP 3 504 033 B1. Depósito: 6 jun. 2018. Concessão: 29 mar. 2023.</w:t>
      </w:r>
    </w:p>
    <w:p w14:paraId="621070B2" w14:textId="77777777" w:rsidR="00FD1B34" w:rsidRDefault="003B1183">
      <w:r>
        <w:rPr>
          <w:lang w:val="pt-BR"/>
        </w:rPr>
        <w:t xml:space="preserve">PALAZZI, E. et al. </w:t>
      </w:r>
      <w:r>
        <w:t xml:space="preserve">An affordable upper-limb exoskeleton concept for rehabilitation applications. </w:t>
      </w:r>
      <w:r>
        <w:rPr>
          <w:b/>
        </w:rPr>
        <w:t>Technologies</w:t>
      </w:r>
      <w:r>
        <w:t xml:space="preserve">, [S.l.], v. 10, n. 1, art. 22, 2022. DOI: </w:t>
      </w:r>
      <w:hyperlink r:id="rId39" w:history="1">
        <w:r>
          <w:rPr>
            <w:rStyle w:val="Hyperlink"/>
          </w:rPr>
          <w:t>10.3390/technologies10010022</w:t>
        </w:r>
      </w:hyperlink>
      <w:r>
        <w:t>.</w:t>
      </w:r>
    </w:p>
    <w:p w14:paraId="2BC05141" w14:textId="77777777" w:rsidR="00FD1B34" w:rsidRDefault="003B1183">
      <w:r>
        <w:t xml:space="preserve">PERRY, J. C.; ROSEN, J.; BURNS, S. Upper-limb powered exoskeleton design. </w:t>
      </w:r>
      <w:r>
        <w:rPr>
          <w:b/>
        </w:rPr>
        <w:t>IEEE/ASME Transactions on Mechatronics</w:t>
      </w:r>
      <w:r>
        <w:t xml:space="preserve">, [S.l.], v. 12, n. 4, p. 408-417, ago. 2007. DOI: </w:t>
      </w:r>
      <w:hyperlink r:id="rId40" w:history="1">
        <w:r>
          <w:rPr>
            <w:rStyle w:val="Hyperlink"/>
          </w:rPr>
          <w:t>10.1109/TMECH.2007.901934</w:t>
        </w:r>
      </w:hyperlink>
      <w:r>
        <w:t>.</w:t>
      </w:r>
    </w:p>
    <w:p w14:paraId="0BF9F65F" w14:textId="77777777" w:rsidR="00FD1B34" w:rsidRDefault="003B1183">
      <w:r>
        <w:t xml:space="preserve">RAHMAN, M. H. et al. Development of a whole arm wearable robotic exoskeleton for rehabilitation and to assist upper limb movements. </w:t>
      </w:r>
      <w:r>
        <w:rPr>
          <w:b/>
        </w:rPr>
        <w:t>Robotica</w:t>
      </w:r>
      <w:r>
        <w:t xml:space="preserve">, [S.l.], v. 33, n. 1, p. 19-39, 2015. DOI: </w:t>
      </w:r>
      <w:hyperlink r:id="rId41" w:history="1">
        <w:r>
          <w:rPr>
            <w:rStyle w:val="Hyperlink"/>
          </w:rPr>
          <w:t>10.1017/S0263574714000034</w:t>
        </w:r>
      </w:hyperlink>
      <w:r>
        <w:t>.</w:t>
      </w:r>
    </w:p>
    <w:p w14:paraId="0F6D4021" w14:textId="77777777" w:rsidR="00FD1B34" w:rsidRDefault="003B1183">
      <w:r>
        <w:t xml:space="preserve">REYES, F. A. et al. Shoulder-support exoskeletons for overhead work: current state, challenges and future directions. </w:t>
      </w:r>
      <w:r>
        <w:rPr>
          <w:b/>
        </w:rPr>
        <w:t>IEEE Transactions on Medical Robotics and Bionics</w:t>
      </w:r>
      <w:r>
        <w:t xml:space="preserve">, [S.l.], v. 5, n. 3, p. 516-527, ago. 2023. DOI: </w:t>
      </w:r>
      <w:hyperlink r:id="rId42" w:history="1">
        <w:r>
          <w:rPr>
            <w:rStyle w:val="Hyperlink"/>
          </w:rPr>
          <w:t>10.1109/TMRB.2023.3275761</w:t>
        </w:r>
      </w:hyperlink>
      <w:r>
        <w:t>.</w:t>
      </w:r>
    </w:p>
    <w:p w14:paraId="6D41EC81" w14:textId="77777777" w:rsidR="00FD1B34" w:rsidRDefault="003B1183">
      <w:r>
        <w:t xml:space="preserve">SEIDLER, A. et al. Dose-response relationship between physical workload and specific shoulder diseases: a systematic review with meta-analysis. </w:t>
      </w:r>
      <w:r>
        <w:rPr>
          <w:b/>
        </w:rPr>
        <w:t>International Journal of Environmental Research and Public Health</w:t>
      </w:r>
      <w:r>
        <w:t xml:space="preserve">, [S.l.], v. 17, n. 4, art. 1243, 2020. DOI: </w:t>
      </w:r>
      <w:hyperlink r:id="rId43" w:history="1">
        <w:r>
          <w:rPr>
            <w:rStyle w:val="Hyperlink"/>
          </w:rPr>
          <w:t>10.3390/ijerph17041243</w:t>
        </w:r>
      </w:hyperlink>
      <w:r>
        <w:t>.</w:t>
      </w:r>
    </w:p>
    <w:p w14:paraId="151B0BC0" w14:textId="77777777" w:rsidR="00FD1B34" w:rsidRDefault="003B1183">
      <w:r>
        <w:t xml:space="preserve">SHEN, Y.; FERGUSON, P. W.; ROSEN, J. Upper limb exoskeleton systems: overview. In: ROSEN, J.; FERGUSON, P. W. (ed.). </w:t>
      </w:r>
      <w:r>
        <w:rPr>
          <w:b/>
        </w:rPr>
        <w:t>Wearable robotics</w:t>
      </w:r>
      <w:r>
        <w:t xml:space="preserve">: systems and applications. [S.l.]: Academic Press, 2020. p. 1-22. DOI: </w:t>
      </w:r>
      <w:hyperlink r:id="rId44" w:history="1">
        <w:r>
          <w:rPr>
            <w:rStyle w:val="Hyperlink"/>
          </w:rPr>
          <w:t>10.1016/B978-0-12-814659-0.00001-1</w:t>
        </w:r>
      </w:hyperlink>
      <w:r>
        <w:t>.</w:t>
      </w:r>
    </w:p>
    <w:p w14:paraId="499E7408" w14:textId="77777777" w:rsidR="00FD1B34" w:rsidRDefault="003B1183">
      <w:r>
        <w:t xml:space="preserve">SPADA, S. et al. Investigation into the applicability of a passive upper-limb exoskeleton in automotive industry. </w:t>
      </w:r>
      <w:r>
        <w:rPr>
          <w:b/>
        </w:rPr>
        <w:t>Procedia Manufacturing</w:t>
      </w:r>
      <w:r>
        <w:t xml:space="preserve">, [S.l.], v. 11, p. 1255-1262, 2017. DOI: </w:t>
      </w:r>
      <w:hyperlink r:id="rId45" w:history="1">
        <w:r>
          <w:rPr>
            <w:rStyle w:val="Hyperlink"/>
          </w:rPr>
          <w:t>10.1016/j.promfg.2017.07.252</w:t>
        </w:r>
      </w:hyperlink>
      <w:r>
        <w:t>.</w:t>
      </w:r>
    </w:p>
    <w:p w14:paraId="5ED621FC" w14:textId="77777777" w:rsidR="00FD1B34" w:rsidRDefault="003B1183">
      <w:r>
        <w:t xml:space="preserve">VAN DER MOLEN, H. F. et al. Work-related risk factors for specific shoulder disorders: a systematic review and meta-analysis. </w:t>
      </w:r>
      <w:r>
        <w:rPr>
          <w:b/>
        </w:rPr>
        <w:t>Occupational and Environmental Medicine</w:t>
      </w:r>
      <w:r>
        <w:t xml:space="preserve">, [S.l.], v. 74, n. 10, p. 745-755, 2017. DOI: </w:t>
      </w:r>
      <w:hyperlink r:id="rId46" w:history="1">
        <w:r>
          <w:rPr>
            <w:rStyle w:val="Hyperlink"/>
          </w:rPr>
          <w:t>10.1136/oemed-2017-104339</w:t>
        </w:r>
      </w:hyperlink>
      <w:r>
        <w:t>.</w:t>
      </w:r>
    </w:p>
    <w:p w14:paraId="57E29A89" w14:textId="77777777" w:rsidR="00FD1B34" w:rsidRPr="00955B75" w:rsidRDefault="003B1183">
      <w:pPr>
        <w:rPr>
          <w:lang w:val="pt-BR"/>
        </w:rPr>
      </w:pPr>
      <w:r>
        <w:t xml:space="preserve">VAN ENGELHOVEN, L.; KAZEROONI, H. </w:t>
      </w:r>
      <w:r>
        <w:rPr>
          <w:b/>
        </w:rPr>
        <w:t>Apparatus for human arm supporting exoskeleton</w:t>
      </w:r>
      <w:r>
        <w:t xml:space="preserve">. Depositante e titular: The Regents of the University of California. </w:t>
      </w:r>
      <w:r>
        <w:rPr>
          <w:lang w:val="pt-BR"/>
        </w:rPr>
        <w:t>US 9,889,554 B2. Depósito: 18 maio 2016. Concessão: 13 fev. 2018.</w:t>
      </w:r>
    </w:p>
    <w:p w14:paraId="2B4F5961" w14:textId="77777777" w:rsidR="00FD1B34" w:rsidRDefault="003B1183">
      <w:r>
        <w:rPr>
          <w:lang w:val="pt-BR"/>
        </w:rPr>
        <w:t xml:space="preserve">WANG, Y. et al. </w:t>
      </w:r>
      <w:r>
        <w:t xml:space="preserve">Extracting human-exoskeleton interaction torque for cable-driven upper-limb exoskeleton equipped with torque sensors. </w:t>
      </w:r>
      <w:r>
        <w:rPr>
          <w:b/>
        </w:rPr>
        <w:t>IEEE/ASME Transactions on Mechatronics</w:t>
      </w:r>
      <w:r>
        <w:t xml:space="preserve">, [S.l.], v. 27, n. 6, p. 4269-4280, dez. 2022. DOI: </w:t>
      </w:r>
      <w:hyperlink r:id="rId47" w:history="1">
        <w:r>
          <w:rPr>
            <w:rStyle w:val="Hyperlink"/>
          </w:rPr>
          <w:t>10.1109/TMECH.2022.3154087</w:t>
        </w:r>
      </w:hyperlink>
      <w:r>
        <w:t>.</w:t>
      </w:r>
    </w:p>
    <w:p w14:paraId="1E24AF63" w14:textId="77777777" w:rsidR="00FD1B34" w:rsidRDefault="003B1183">
      <w:r>
        <w:t xml:space="preserve">WU, Q.; WANG, X.; DU, F. Development and analysis of a gravity-balanced exoskeleton for active rehabilitation training of upper limb. </w:t>
      </w:r>
      <w:r>
        <w:rPr>
          <w:b/>
        </w:rPr>
        <w:t xml:space="preserve">Proceedings of the Institution of Mechanical Engineers, Part C: </w:t>
        <w:lastRenderedPageBreak/>
        <w:t>Journal of Mechanical Engineering Science</w:t>
      </w:r>
      <w:r>
        <w:t xml:space="preserve">, [S.l.], v. 230, n. 20, p. 3777-3790, 2016. DOI: </w:t>
      </w:r>
      <w:hyperlink r:id="rId48" w:history="1">
        <w:r>
          <w:rPr>
            <w:rStyle w:val="Hyperlink"/>
          </w:rPr>
          <w:t>10.1177/0954406215616415</w:t>
        </w:r>
      </w:hyperlink>
      <w:r>
        <w:t>.</w:t>
      </w:r>
    </w:p>
    <w:p w14:paraId="006937F2" w14:textId="77777777" w:rsidR="00FD1B34" w:rsidRPr="00930288" w:rsidRDefault="003B1183">
      <w:pPr>
        <w:rPr>
          <w:lang w:val="en-ZA"/>
        </w:rPr>
      </w:pPr>
      <w:r>
        <w:t xml:space="preserve">YOON, J. et al. Minimizing misalignment and frame protrusion of shoulder exoskeleton via optimization for reducing interaction force and minimizing volume. </w:t>
      </w:r>
      <w:r>
        <w:rPr>
          <w:b/>
          <w:lang w:val="en-ZA"/>
        </w:rPr>
        <w:t>Machines</w:t>
      </w:r>
      <w:r>
        <w:rPr>
          <w:lang w:val="en-ZA"/>
        </w:rPr>
        <w:t xml:space="preserve">, [S.l.], v. 10, n. 12, art. 1223, 2022. DOI: </w:t>
      </w:r>
      <w:hyperlink r:id="rId49" w:history="1">
        <w:r>
          <w:rPr>
            <w:rStyle w:val="Hyperlink"/>
            <w:lang w:val="en-ZA"/>
          </w:rPr>
          <w:t>10.3390/machines10121223</w:t>
        </w:r>
      </w:hyperlink>
      <w:r>
        <w:rPr>
          <w:lang w:val="en-ZA"/>
        </w:rPr>
        <w:t>.</w:t>
      </w:r>
    </w:p>
    <w:sectPr w:rsidR="00FD1B34" w:rsidRPr="0093028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67117"/>
    <w:multiLevelType w:val="hybridMultilevel"/>
    <w:tmpl w:val="A9F2571A"/>
    <w:lvl w:ilvl="0" w:tplc="F4FCF87E">
      <w:start w:val="1"/>
      <w:numFmt w:val="decimal"/>
      <w:lvlText w:val="%1."/>
      <w:lvlJc w:val="left"/>
      <w:pPr>
        <w:ind w:left="720" w:hanging="360"/>
      </w:pPr>
    </w:lvl>
    <w:lvl w:ilvl="1" w:tplc="92CE9316">
      <w:start w:val="1"/>
      <w:numFmt w:val="lowerLetter"/>
      <w:lvlText w:val="%2."/>
      <w:lvlJc w:val="left"/>
      <w:pPr>
        <w:ind w:left="1440" w:hanging="360"/>
      </w:pPr>
    </w:lvl>
    <w:lvl w:ilvl="2" w:tplc="46CED9CE">
      <w:start w:val="1"/>
      <w:numFmt w:val="lowerRoman"/>
      <w:lvlText w:val="%3."/>
      <w:lvlJc w:val="left"/>
      <w:pPr>
        <w:ind w:left="2160" w:hanging="360"/>
      </w:pPr>
    </w:lvl>
    <w:lvl w:ilvl="3" w:tplc="345864B2">
      <w:start w:val="1"/>
      <w:numFmt w:val="decimal"/>
      <w:lvlText w:val="%4."/>
      <w:lvlJc w:val="left"/>
      <w:pPr>
        <w:ind w:left="2880" w:hanging="360"/>
      </w:pPr>
    </w:lvl>
    <w:lvl w:ilvl="4" w:tplc="84344F6C">
      <w:start w:val="1"/>
      <w:numFmt w:val="lowerLetter"/>
      <w:lvlText w:val="%5."/>
      <w:lvlJc w:val="left"/>
      <w:pPr>
        <w:ind w:left="3600" w:hanging="360"/>
      </w:pPr>
    </w:lvl>
    <w:lvl w:ilvl="5" w:tplc="4948A154">
      <w:start w:val="1"/>
      <w:numFmt w:val="lowerRoman"/>
      <w:lvlText w:val="%6."/>
      <w:lvlJc w:val="left"/>
      <w:pPr>
        <w:ind w:left="4320" w:hanging="360"/>
      </w:pPr>
    </w:lvl>
    <w:lvl w:ilvl="6" w:tplc="BC5A7438">
      <w:start w:val="1"/>
      <w:numFmt w:val="decimal"/>
      <w:lvlText w:val="%7."/>
      <w:lvlJc w:val="left"/>
      <w:pPr>
        <w:ind w:left="5040" w:hanging="360"/>
      </w:pPr>
    </w:lvl>
    <w:lvl w:ilvl="7" w:tplc="EEB41DC0">
      <w:start w:val="1"/>
      <w:numFmt w:val="lowerLetter"/>
      <w:lvlText w:val="%8."/>
      <w:lvlJc w:val="left"/>
      <w:pPr>
        <w:ind w:left="5760" w:hanging="360"/>
      </w:pPr>
    </w:lvl>
    <w:lvl w:ilvl="8" w:tplc="C2F264D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F7B7723"/>
    <w:multiLevelType w:val="hybridMultilevel"/>
    <w:tmpl w:val="440CDFDC"/>
    <w:lvl w:ilvl="0" w:tplc="8D4C44DA">
      <w:start w:val="1"/>
      <w:numFmt w:val="bullet"/>
      <w:lvlText w:val="•"/>
      <w:lvlJc w:val="left"/>
      <w:pPr>
        <w:ind w:left="720" w:hanging="360"/>
      </w:pPr>
    </w:lvl>
    <w:lvl w:ilvl="1" w:tplc="DD68973A">
      <w:start w:val="1"/>
      <w:numFmt w:val="bullet"/>
      <w:lvlText w:val="o"/>
      <w:lvlJc w:val="left"/>
      <w:pPr>
        <w:ind w:left="1440" w:hanging="360"/>
      </w:pPr>
    </w:lvl>
    <w:lvl w:ilvl="2" w:tplc="04D4B0EA">
      <w:start w:val="1"/>
      <w:numFmt w:val="bullet"/>
      <w:lvlText w:val="▪"/>
      <w:lvlJc w:val="left"/>
      <w:pPr>
        <w:ind w:left="2160" w:hanging="360"/>
      </w:pPr>
    </w:lvl>
    <w:lvl w:ilvl="3" w:tplc="B8CE2588">
      <w:start w:val="1"/>
      <w:numFmt w:val="bullet"/>
      <w:lvlText w:val="•"/>
      <w:lvlJc w:val="left"/>
      <w:pPr>
        <w:ind w:left="2880" w:hanging="360"/>
      </w:pPr>
    </w:lvl>
    <w:lvl w:ilvl="4" w:tplc="3CC600A8">
      <w:start w:val="1"/>
      <w:numFmt w:val="bullet"/>
      <w:lvlText w:val="o"/>
      <w:lvlJc w:val="left"/>
      <w:pPr>
        <w:ind w:left="3600" w:hanging="360"/>
      </w:pPr>
    </w:lvl>
    <w:lvl w:ilvl="5" w:tplc="740C54F0">
      <w:start w:val="1"/>
      <w:numFmt w:val="bullet"/>
      <w:lvlText w:val="▪"/>
      <w:lvlJc w:val="left"/>
      <w:pPr>
        <w:ind w:left="4320" w:hanging="360"/>
      </w:pPr>
    </w:lvl>
    <w:lvl w:ilvl="6" w:tplc="F7482688">
      <w:start w:val="1"/>
      <w:numFmt w:val="bullet"/>
      <w:lvlText w:val="•"/>
      <w:lvlJc w:val="left"/>
      <w:pPr>
        <w:ind w:left="5040" w:hanging="360"/>
      </w:pPr>
    </w:lvl>
    <w:lvl w:ilvl="7" w:tplc="A93621D6">
      <w:start w:val="1"/>
      <w:numFmt w:val="bullet"/>
      <w:lvlText w:val="o"/>
      <w:lvlJc w:val="left"/>
      <w:pPr>
        <w:ind w:left="5760" w:hanging="360"/>
      </w:pPr>
    </w:lvl>
    <w:lvl w:ilvl="8" w:tplc="4F6AFEE6">
      <w:start w:val="1"/>
      <w:numFmt w:val="bullet"/>
      <w:lvlText w:val="▪"/>
      <w:lvlJc w:val="left"/>
      <w:pPr>
        <w:ind w:left="6480" w:hanging="360"/>
      </w:pPr>
    </w:lvl>
  </w:abstractNum>
  <w:num w:numId="1" w16cid:durableId="444926496">
    <w:abstractNumId w:val="1"/>
  </w:num>
  <w:num w:numId="2" w16cid:durableId="951591884">
    <w:abstractNumId w:val="0"/>
    <w:lvlOverride w:ilvl="0">
      <w:startOverride w:val="1"/>
    </w:lvlOverride>
  </w:num>
  <w:num w:numId="3" w16cid:durableId="199561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B34"/>
    <w:rsid w:val="000A7051"/>
    <w:rsid w:val="00151E3D"/>
    <w:rsid w:val="00244E34"/>
    <w:rsid w:val="00362CE5"/>
    <w:rsid w:val="003B1183"/>
    <w:rsid w:val="003B4AE4"/>
    <w:rsid w:val="00484427"/>
    <w:rsid w:val="004F5828"/>
    <w:rsid w:val="00736385"/>
    <w:rsid w:val="009025B3"/>
    <w:rsid w:val="00930288"/>
    <w:rsid w:val="00952A81"/>
    <w:rsid w:val="00955B75"/>
    <w:rsid w:val="009C1161"/>
    <w:rsid w:val="00A029F4"/>
    <w:rsid w:val="00B45904"/>
    <w:rsid w:val="00BB4859"/>
    <w:rsid w:val="00BC4DC9"/>
    <w:rsid w:val="00BE1C36"/>
    <w:rsid w:val="00BE2F11"/>
    <w:rsid w:val="00BF7A18"/>
    <w:rsid w:val="00C62A36"/>
    <w:rsid w:val="00D93382"/>
    <w:rsid w:val="00E2321D"/>
    <w:rsid w:val="00F132A8"/>
    <w:rsid w:val="00F20F9E"/>
    <w:rsid w:val="00FB2031"/>
    <w:rsid w:val="00FD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4DF63"/>
  <w15:docId w15:val="{7865051B-8316-4F30-A9DB-292F6438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F11"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955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1016/j.apergo.2021.103385" TargetMode="External"/><Relationship Id="rId18" Type="http://schemas.openxmlformats.org/officeDocument/2006/relationships/hyperlink" Target="https://doi.org/10.1016/j.robot.2025.105232" TargetMode="External"/><Relationship Id="rId26" Type="http://schemas.openxmlformats.org/officeDocument/2006/relationships/hyperlink" Target="https://doi.org/10.1016/j.apergo.2018.02.025" TargetMode="External"/><Relationship Id="rId39" Type="http://schemas.openxmlformats.org/officeDocument/2006/relationships/hyperlink" Target="https://doi.org/10.3390/technologies10010022" TargetMode="External"/><Relationship Id="rId21" Type="http://schemas.openxmlformats.org/officeDocument/2006/relationships/hyperlink" Target="https://doi.org/10.1109/LRA.2022.3188402" TargetMode="External"/><Relationship Id="rId34" Type="http://schemas.openxmlformats.org/officeDocument/2006/relationships/hyperlink" Target="https://doi.org/10.1115/1.4053405" TargetMode="External"/><Relationship Id="rId42" Type="http://schemas.openxmlformats.org/officeDocument/2006/relationships/hyperlink" Target="https://doi.org/10.1109/TMRB.2023.3275761" TargetMode="External"/><Relationship Id="rId47" Type="http://schemas.openxmlformats.org/officeDocument/2006/relationships/hyperlink" Target="https://doi.org/10.1109/TMECH.2022.3154087" TargetMode="External"/><Relationship Id="rId50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16/0021-9290%2895%2900178-6" TargetMode="External"/><Relationship Id="rId29" Type="http://schemas.openxmlformats.org/officeDocument/2006/relationships/hyperlink" Target="https://doi.org/10.1115/1.4025628" TargetMode="External"/><Relationship Id="rId11" Type="http://schemas.openxmlformats.org/officeDocument/2006/relationships/hyperlink" Target="https://doi.org/10.1080/01691864.2015.1090334" TargetMode="External"/><Relationship Id="rId24" Type="http://schemas.openxmlformats.org/officeDocument/2006/relationships/hyperlink" Target="https://doi.org/10.1109/MCSE.2007.55" TargetMode="External"/><Relationship Id="rId32" Type="http://schemas.openxmlformats.org/officeDocument/2006/relationships/hyperlink" Target="https://doi.org/10.1115/1.4042523" TargetMode="External"/><Relationship Id="rId37" Type="http://schemas.openxmlformats.org/officeDocument/2006/relationships/hyperlink" Target="https://doi.org/10.1088/1742-6596/2489/1/012008" TargetMode="External"/><Relationship Id="rId40" Type="http://schemas.openxmlformats.org/officeDocument/2006/relationships/hyperlink" Target="https://doi.org/10.1109/TMECH.2007.901934" TargetMode="External"/><Relationship Id="rId45" Type="http://schemas.openxmlformats.org/officeDocument/2006/relationships/hyperlink" Target="https://doi.org/10.1016/j.promfg.2017.07.252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i.org/10.1109/SSD.2016.7473769" TargetMode="External"/><Relationship Id="rId23" Type="http://schemas.openxmlformats.org/officeDocument/2006/relationships/hyperlink" Target="https://doi.org/10.1038/s41586-020-2649-2" TargetMode="External"/><Relationship Id="rId28" Type="http://schemas.openxmlformats.org/officeDocument/2006/relationships/hyperlink" Target="https://doi.org/10.1590/1414-462x202533040384" TargetMode="External"/><Relationship Id="rId36" Type="http://schemas.openxmlformats.org/officeDocument/2006/relationships/hyperlink" Target="https://doi.org/10.1088/1742-6596/2410/1/012020" TargetMode="External"/><Relationship Id="rId49" Type="http://schemas.openxmlformats.org/officeDocument/2006/relationships/hyperlink" Target="https://doi.org/10.3390/machines10121223" TargetMode="External"/><Relationship Id="rId10" Type="http://schemas.openxmlformats.org/officeDocument/2006/relationships/hyperlink" Target="https://agenciabrasil.ebc.com.br/saude/noticia/2026-01/doencas-afastaram-41-milhoes-de-trabalhadores-de-suas-funcoes-em-2025" TargetMode="External"/><Relationship Id="rId19" Type="http://schemas.openxmlformats.org/officeDocument/2006/relationships/hyperlink" Target="https://doi.org/10.1109/ICORR.2009.5209630" TargetMode="External"/><Relationship Id="rId31" Type="http://schemas.openxmlformats.org/officeDocument/2006/relationships/hyperlink" Target="https://doi.org/10.3390/robotics11060147" TargetMode="External"/><Relationship Id="rId44" Type="http://schemas.openxmlformats.org/officeDocument/2006/relationships/hyperlink" Target="https://doi.org/10.1016/B978-0-12-814659-0.00001-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oi.org/10.1109/ICORR.2015.7281174" TargetMode="External"/><Relationship Id="rId22" Type="http://schemas.openxmlformats.org/officeDocument/2006/relationships/hyperlink" Target="https://doi.org/10.3390/robotics9010016" TargetMode="External"/><Relationship Id="rId27" Type="http://schemas.openxmlformats.org/officeDocument/2006/relationships/hyperlink" Target="https://doi.org/10.1016/j.apergo.2018.02.024" TargetMode="External"/><Relationship Id="rId30" Type="http://schemas.openxmlformats.org/officeDocument/2006/relationships/hyperlink" Target="https://doi.org/10.3389/frobt.2022.858893" TargetMode="External"/><Relationship Id="rId35" Type="http://schemas.openxmlformats.org/officeDocument/2006/relationships/hyperlink" Target="https://doi.org/10.1016/j.mechmachtheory.2025.106345" TargetMode="External"/><Relationship Id="rId43" Type="http://schemas.openxmlformats.org/officeDocument/2006/relationships/hyperlink" Target="https://doi.org/10.3390/ijerph17041243" TargetMode="External"/><Relationship Id="rId48" Type="http://schemas.openxmlformats.org/officeDocument/2006/relationships/hyperlink" Target="https://doi.org/10.1177/0954406215616415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doi.org/10.1109/ICCES.2017.8275281" TargetMode="External"/><Relationship Id="rId17" Type="http://schemas.openxmlformats.org/officeDocument/2006/relationships/hyperlink" Target="https://doi.org/10.1080/00140139.2015.1081988" TargetMode="External"/><Relationship Id="rId25" Type="http://schemas.openxmlformats.org/officeDocument/2006/relationships/hyperlink" Target="https://doi.org/10.1109/TBME.2012.2194489" TargetMode="External"/><Relationship Id="rId33" Type="http://schemas.openxmlformats.org/officeDocument/2006/relationships/hyperlink" Target="https://doi.org/10.1007/s11044-022-09855-8" TargetMode="External"/><Relationship Id="rId38" Type="http://schemas.openxmlformats.org/officeDocument/2006/relationships/hyperlink" Target="https://doi.org/10.3390/asi8040114" TargetMode="External"/><Relationship Id="rId46" Type="http://schemas.openxmlformats.org/officeDocument/2006/relationships/hyperlink" Target="https://doi.org/10.1136/oemed-2017-104339" TargetMode="External"/><Relationship Id="rId20" Type="http://schemas.openxmlformats.org/officeDocument/2006/relationships/hyperlink" Target="https://doi.org/10.1109/TNSRE.2020.3014408" TargetMode="External"/><Relationship Id="rId41" Type="http://schemas.openxmlformats.org/officeDocument/2006/relationships/hyperlink" Target="https://doi.org/10.1017/S026357471400003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RefOkabe" TargetMode="External" Target="https://doi.org/10.1115/1.4071946" Type="http://schemas.openxmlformats.org/officeDocument/2006/relationships/hyperlink"/><Relationship Id="rIdTccFig3" Target="media/tcc_fig3_familia_h.png" Type="http://schemas.openxmlformats.org/officeDocument/2006/relationships/image"/><Relationship Id="rIdTccFig4" Target="media/tcc_fig4_indicadores_h.png" Type="http://schemas.openxmlformats.org/officeDocument/2006/relationships/image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31</Pages>
  <Words>13154</Words>
  <Characters>71034</Characters>
  <Application>Microsoft Office Word</Application>
  <DocSecurity>0</DocSecurity>
  <Lines>591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Modelagem e simulação de mecanismos passivos de apoio ao braço</vt:lpstr>
    </vt:vector>
  </TitlesOfParts>
  <Company/>
  <LinksUpToDate>false</LinksUpToDate>
  <CharactersWithSpaces>84020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Modelagem e simulação de mecanismos passivos de apoio ao braço</dc:title>
  <dc:subject/>
  <dc:creator>Pedro Brito</dc:creator>
  <cp:keywords/>
  <dc:description/>
  <cp:lastModifiedBy>Pedro Brito</cp:lastModifiedBy>
  <cp:revision>2</cp:revision>
  <dcterms:created xsi:type="dcterms:W3CDTF">2026-10-14T13:45:00Z</dcterms:created>
  <dcterms:modified xsi:type="dcterms:W3CDTF">2026-10-14T13:45:00Z</dcterms:modified>
</cp:coreProperties>
</file>