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3B.13 aplicam à EP 3 504 033 B1 (OTTOBOCK, 2023)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w:t>
      </w:r>
    </w:p>
    <w:p>
      <w:pPr>
        <w:rPr>
          <w:lang w:val="pt-BR"/>
        </w:rPr>
      </w:pPr>
      <w:r>
        <w:rPr>
          <w:lang w:val="pt-BR"/>
        </w:rP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3B.1 Reconstrução geométrica em CAD</w:t>
      </w:r>
    </w:p>
    <w:p>
      <w:pPr>
        <w:rPr>
          <w:lang w:val="pt-BR"/>
        </w:rPr>
      </w:pPr>
      <w:r>
        <w:rPr>
          <w:lang w:val="pt-BR"/>
        </w:rP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pPr>
        <w:rPr>
          <w:lang w:val="pt-BR"/>
        </w:rPr>
      </w:pPr>
      <w:r>
        <w:rPr>
          <w:lang w:val="pt-BR"/>
        </w:rP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pPr>
        <w:rPr>
          <w:lang w:val="pt-BR"/>
        </w:rPr>
      </w:pPr>
      <w:r>
        <w:rPr>
          <w:lang w:val="pt-BR"/>
        </w:rPr>
        <w:t xml:space="preserve">O dispositivo admite abdução, adução e movimentos do tronco. O modelo é plano, restrito ao plano sagital, e representa somente a anteversão, que é o movimento das Figuras 16 e 17 da patente.</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3B.2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3B.3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pela própria patente.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O ângulo λ do trecho </w:t>
      </w:r>
      <w:r>
        <w:rPr>
          <w:i/>
          <w:lang w:val="pt-BR"/>
        </w:rPr>
        <w:t xml:space="preserve">e</w:t>
      </w:r>
      <w:r>
        <w:rPr>
          <w:lang w:val="pt-BR"/>
        </w:rPr>
        <w:t xml:space="preserv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3B.6</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(39)</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(41)</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e a transição de regime da seção 3B.5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3B.4 Equação de fechamento do circuito vetorial</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pStyle w:val="Ttulo2"/>
        <w:rPr>
          <w:lang w:val="pt-BR"/>
        </w:rPr>
      </w:pPr>
      <w:r>
        <w:rPr>
          <w:lang w:val="pt-BR"/>
        </w:rPr>
        <w:t xml:space="preserve">3B.5 Ponto de contato e troca de regime</w:t>
      </w:r>
    </w:p>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keepNext/>
        <w:spacing w:before="120" w:after="60"/>
        <w:rPr>
          <w:lang w:val="pt-BR"/>
        </w:rPr>
      </w:pPr>
      <w:r>
        <w:rPr>
          <w:b/>
          <w:lang w:val="pt-BR"/>
        </w:rPr>
        <w:t xml:space="preserve">Figura 2: Circuitos do mecanismo: regime I na pose do CAD (θ</w:t>
      </w:r>
      <w:r>
        <w:rPr>
          <w:b/>
          <w:vertAlign w:val="subscript"/>
          <w:lang w:val="pt-BR"/>
        </w:rPr>
        <w:t xml:space="preserve">el</w:t>
      </w:r>
      <w:r>
        <w:rPr>
          <w:b/>
          <w:lang w:val="pt-BR"/>
        </w:rPr>
        <w:t xml:space="preserve"> = 82,038°) e regime II em θ</w:t>
      </w:r>
      <w:r>
        <w:rPr>
          <w:b/>
          <w:vertAlign w:val="subscript"/>
          <w:lang w:val="pt-BR"/>
        </w:rPr>
        <w:t xml:space="preserve">el</w:t>
      </w:r>
      <w:r>
        <w:rPr>
          <w:b/>
          <w:lang w:val="pt-BR"/>
        </w:rPr>
        <w:t xml:space="preserve"> = 10°</w:t>
      </w:r>
    </w:p>
    <w:p>
      <w:pPr>
        <w:keepNext/>
        <w:spacing w:after="60"/>
        <w:jc w:val="center"/>
        <w:rPr>
          <w:lang w:val="pt-BR"/>
        </w:rPr>
      </w:pPr>
      <w:r>
        <w:rPr>
          <w:noProof/>
          <w:lang w:val="pt-BR"/>
        </w:rPr>
        <w:drawing>
          <wp:inline distT="0" distB="0" distL="0" distR="0">
            <wp:extent cx="5943600" cy="4992624"/>
            <wp:effectExtent l="0" t="0" r="0" b="0"/>
            <wp:doc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pic:cNvPicPr/>
                  </pic:nvPicPr>
                  <pic:blipFill>
                    <a:blip r:embed="rIdExo2F1"/>
                    <a:stretch>
                      <a:fillRect/>
                    </a:stretch>
                  </pic:blipFill>
                  <pic:spPr>
                    <a:xfrm>
                      <a:off x="0" y="0"/>
                      <a:ext cx="5943600" cy="4992624"/>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A alavanca está representada pelo segmento OP, de comprimento |OP|. Regime 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OP e s. Regime II: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p e s − x, e triângulo OP, p e x (OP tracejado); o elemento 78, na ponta de p, só entra depois do contato. As linhas pontilhadas indicam o eixo do braço.</w:t>
      </w:r>
    </w:p>
    <w:p>
      <w:pPr>
        <w:pStyle w:val="Ttulo2"/>
        <w:rPr>
          <w:lang w:val="pt-BR"/>
        </w:rPr>
      </w:pPr>
      <w:r>
        <w:rPr>
          <w:lang w:val="pt-BR"/>
        </w:rPr>
        <w:t xml:space="preserve">3B.6 Comprimento do elástico, lei da mola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da patente.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a patente.</w:t>
      </w:r>
    </w:p>
    <w:p>
      <w:pPr>
        <w:pStyle w:val="Ttulo2"/>
        <w:rPr>
          <w:lang w:val="pt-BR"/>
        </w:rPr>
      </w:pPr>
      <w:r>
        <w:rPr>
          <w:lang w:val="pt-BR"/>
        </w:rPr>
        <w:t xml:space="preserve">3B.7 Faixa sem torque com o braço baixado</w:t>
      </w:r>
    </w:p>
    <w:p>
      <w:pPr>
        <w:rPr>
          <w:lang w:val="pt-BR"/>
        </w:rPr>
      </w:pPr>
      <w:r>
        <w:rPr>
          <w:lang w:val="pt-BR"/>
        </w:rPr>
        <w:t xml:space="preserve">Esta seção faz o papel da seção 3A.7: indica onde o modelo libera o braço. Pela Equação (41), m</w:t>
      </w:r>
      <w:r>
        <w:rPr>
          <w:vertAlign w:val="subscript"/>
          <w:lang w:val="pt-BR"/>
        </w:rPr>
        <w:t xml:space="preserve">II</w:t>
      </w:r>
      <w:r>
        <w:rPr>
          <w:lang w:val="pt-BR"/>
        </w:rPr>
        <w:t xml:space="preserve"> é proporcional a p</w:t>
      </w:r>
      <w:r>
        <w:rPr>
          <w:vertAlign w:val="subscript"/>
          <w:lang w:val="pt-BR"/>
        </w:rPr>
        <w:t xml:space="preserve">78</w:t>
      </w:r>
      <w:r>
        <w:rPr>
          <w:lang w:val="pt-BR"/>
        </w:rPr>
        <w:t xml:space="preserve">, de modo que, abaixo da transição, o torque só se anula se o elemento 78 estiver sobre o eixo. Com o elemento 78 sobre o eixo (p</w:t>
      </w:r>
      <w:r>
        <w:rPr>
          <w:vertAlign w:val="subscript"/>
          <w:lang w:val="pt-BR"/>
        </w:rPr>
        <w:t xml:space="preserve">78</w:t>
      </w:r>
      <w:r>
        <w:rPr>
          <w:lang w:val="pt-BR"/>
        </w:rPr>
        <w:t xml:space="preserve"> = 0), configuração preferida pela patente,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em que ε é o ângulo fixo de OP em relação ao trecho </w:t>
      </w:r>
      <w:r>
        <w:rPr>
          <w:i/>
          <w:lang w:val="pt-BR"/>
        </w:rPr>
        <w:t xml:space="preserve">e</w:t>
      </w:r>
      <w:r>
        <w:rPr>
          <w:lang w:val="pt-BR"/>
        </w:rPr>
        <w:t xml:space="preserv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(43)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apenas o membro humano, a</w:t>
      </w:r>
      <w:r>
        <w:rPr>
          <w:vertAlign w:val="subscript"/>
          <w:lang w:val="pt-BR"/>
        </w:rPr>
        <w:t xml:space="preserve">CG</w:t>
      </w:r>
      <w:r>
        <w:rPr>
          <w:lang w:val="pt-BR"/>
        </w:rPr>
        <w:t xml:space="preserve"> = 0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com máximo de 10,550 N·m em θ</w:t>
      </w:r>
      <w:r>
        <w:rPr>
          <w:vertAlign w:val="subscript"/>
          <w:lang w:val="pt-BR"/>
        </w:rPr>
        <w:t xml:space="preserve">el</w:t>
      </w:r>
      <w:r>
        <w:rPr>
          <w:lang w:val="pt-BR"/>
        </w:rPr>
        <w:t xml:space="preserve"> = 90°. A Equação (44) mantém a</w:t>
      </w:r>
      <w:r>
        <w:rPr>
          <w:vertAlign w:val="subscript"/>
          <w:lang w:val="pt-BR"/>
        </w:rPr>
        <w:t xml:space="preserve">CG</w:t>
      </w:r>
      <w:r>
        <w:rPr>
          <w:lang w:val="pt-BR"/>
        </w:rPr>
        <w:t xml:space="preserve"> para o caso em que o braço do exoesqueleto for incorporado; nesse caso, o máximo se desloca do ângulo a</w:t>
      </w:r>
      <w:r>
        <w:rPr>
          <w:vertAlign w:val="subscript"/>
          <w:lang w:val="pt-BR"/>
        </w:rPr>
        <w:t xml:space="preserve">CG</w:t>
      </w:r>
      <w:r>
        <w:rPr>
          <w:lang w:val="pt-BR"/>
        </w:rPr>
        <w:t xml:space="preserve">, e o torque troca de sinal perto dos extremos da faixa.</w:t>
      </w:r>
    </w:p>
    <w:p>
      <w:pPr>
        <w:pStyle w:val="Ttulo2"/>
        <w:rPr>
          <w:lang w:val="pt-BR"/>
        </w:rPr>
      </w:pPr>
      <w:r>
        <w:rPr>
          <w:lang w:val="pt-BR"/>
        </w:rPr>
        <w:t xml:space="preserve">3B.9 Dados da patente e identificação dos parâmetros</w:t>
      </w:r>
    </w:p>
    <w:p>
      <w:pPr>
        <w:rPr>
          <w:lang w:val="pt-BR"/>
        </w:rPr>
      </w:pPr>
      <w:r>
        <w:rPr>
          <w:lang w:val="pt-BR"/>
        </w:rP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pPr>
        <w:rPr>
          <w:lang w:val="pt-BR"/>
        </w:rPr>
      </w:pPr>
      <w:r>
        <w:rPr>
          <w:lang w:val="pt-BR"/>
        </w:rPr>
        <w:t xml:space="preserve">A Figura 17 da patente não foi digitalizada. A seção 4B.8 faz apenas uma comparação visual com ela.</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3B.4: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Como ℓ decresce com θ</w:t>
      </w:r>
      <w:r>
        <w:rPr>
          <w:vertAlign w:val="subscript"/>
          <w:lang w:val="pt-BR"/>
        </w:rPr>
        <w:t xml:space="preserve">el</w:t>
      </w:r>
      <w:r>
        <w:rPr>
          <w:lang w:val="pt-BR"/>
        </w:rPr>
        <w:t xml:space="preserve">, Equação (42),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3B.10 Varredura paramétrica do trecho </w:t>
      </w:r>
      <w:r>
        <w:rPr>
          <w:i/>
          <w:lang w:val="pt-BR"/>
        </w:rPr>
        <w:t xml:space="preserve">e</w:t>
      </w:r>
      <w:r>
        <w:rPr>
          <w:lang w:val="pt-BR"/>
        </w:rPr>
        <w:t xml:space="preserve"> da alavanca</w:t>
      </w:r>
    </w:p>
    <w:p>
      <w:pPr>
        <w:rPr>
          <w:lang w:val="pt-BR"/>
        </w:rPr>
      </w:pPr>
      <w:r>
        <w:rPr>
          <w:lang w:val="pt-BR"/>
        </w:rPr>
        <w:t xml:space="preserve">O comprimento </w:t>
      </w:r>
      <w:r>
        <w:rPr>
          <w:i/>
          <w:lang w:val="pt-BR"/>
        </w:rPr>
        <w:t xml:space="preserve">e</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a excentricidade |OP| do ponto de aplicação, um dos parâmetros de ajuste previstos na patente e objeto da Figura 17 da patente. Por isso, o papel de h na seção 4A é desempenhado aqui por </w:t>
      </w:r>
      <w:r>
        <w:rPr>
          <w:i/>
          <w:lang w:val="pt-BR"/>
        </w:rPr>
        <w:t xml:space="preserve">e</w:t>
      </w:r>
      <w:r>
        <w:rPr>
          <w:lang w:val="pt-BR"/>
        </w:rPr>
        <w:t xml:space="preserve">. A varredura manteve s</w:t>
      </w:r>
      <w:r>
        <w:rPr>
          <w:vertAlign w:val="subscript"/>
          <w:lang w:val="pt-BR"/>
        </w:rPr>
        <w:t xml:space="preserve">0</w:t>
      </w:r>
      <w:r>
        <w:rPr>
          <w:lang w:val="pt-BR"/>
        </w:rPr>
        <w:t xml:space="preserve"> = 287,190 mm e K = 1,45915 N/mm, isto é, o mesmo elástico, e variou apenas </w:t>
      </w:r>
      <w:r>
        <w:rPr>
          <w:i/>
          <w:lang w:val="pt-BR"/>
        </w:rPr>
        <w:t xml:space="preserve">e</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3B.11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w:t>
      </w:r>
      <w:r>
        <w:rPr>
          <w:vertAlign w:val="subscript"/>
          <w:lang w:val="pt-BR"/>
        </w:rPr>
        <w:t xml:space="preserve">78</w:t>
      </w:r>
      <w:r>
        <w:rPr>
          <w:lang w:val="pt-BR"/>
        </w:rPr>
        <w:t xml:space="preserve"> = 0. Os valores são de </w:t>
      </w:r>
      <w:r>
        <w:rPr>
          <w:i/>
          <w:lang w:val="pt-BR"/>
        </w:rPr>
        <w:t xml:space="preserve">e</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w:t>
      </w:r>
      <w:r>
        <w:rPr>
          <w:i/>
          <w:lang w:val="pt-BR"/>
        </w:rPr>
        <w:t xml:space="preserve">e</w:t>
      </w:r>
      <w:r>
        <w:rPr>
          <w:lang w:val="pt-BR"/>
        </w:rPr>
        <w:t xml:space="preserve"> é argumento obrigatório de toda a cadeia e que dois valores diferentes de </w:t>
      </w:r>
      <w:r>
        <w:rPr>
          <w:i/>
          <w:lang w:val="pt-BR"/>
        </w:rPr>
        <w:t xml:space="preserve">e</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2"/>
        <w:rPr>
          <w:lang w:val="pt-BR"/>
        </w:rPr>
      </w:pPr>
      <w:r>
        <w:rPr>
          <w:lang w:val="pt-BR"/>
        </w:rPr>
        <w:t xml:space="preserve">3B.12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(42),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(41);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0,434676 kg·m</w:t>
      </w:r>
      <w:r>
        <w:rPr>
          <w:vertAlign w:val="superscript"/>
          <w:lang w:val="pt-BR"/>
        </w:rPr>
        <w:t xml:space="preserve">2</w:t>
      </w:r>
      <w:r>
        <w:rPr>
          <w:lang w:val="pt-BR"/>
        </w:rP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3B.13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só o membro humano estendido, sem ferramenta na mão; o braço do exoesqueleto, a alavanca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3B.1 a 3B.11, aplicadas ao dispositivo da EP 3 504 033 B1. Salvo indicação em contrário, os números foram obtidos com a geometria do CAD, </w:t>
      </w:r>
      <w:r>
        <w:rPr>
          <w:i/>
          <w:lang w:val="pt-BR"/>
        </w:rPr>
        <w:t xml:space="preserve">e</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1,45915 N/mm, hipótese de projeto. As etapas dinâmicas da seção 3B.12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3B.1).</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(43)</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apenas informativa</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3B.3).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w:t>
      </w:r>
      <w:r>
        <w:rPr>
          <w:i/>
          <w:sz w:val="20"/>
          <w:szCs w:val="20"/>
          <w:lang w:val="pt-BR"/>
        </w:rPr>
        <w:t xml:space="preserve">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w:t>
      </w:r>
      <w:r>
        <w:rPr>
          <w:i/>
          <w:sz w:val="20"/>
          <w:szCs w:val="20"/>
          <w:lang w:val="pt-BR"/>
        </w:rPr>
        <w:t xml:space="preserve">e</w:t>
      </w:r>
      <w:r>
        <w:rPr>
          <w:sz w:val="20"/>
          <w:szCs w:val="20"/>
          <w:lang w:val="pt-BR"/>
        </w:rPr>
        <w:t xml:space="preserv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 O valor de </w:t>
      </w:r>
      <w:r>
        <w:rPr>
          <w:i/>
          <w:sz w:val="20"/>
          <w:szCs w:val="20"/>
          <w:lang w:val="pt-BR"/>
        </w:rPr>
        <w:t xml:space="preserve">e</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as consequências dessa diferença são tratadas nas seções 3B.7 e 4B.9.</w:t>
      </w:r>
    </w:p>
    <w:p>
      <w:pPr>
        <w:keepNext/>
        <w:spacing w:before="120" w:after="60"/>
        <w:rPr>
          <w:lang w:val="pt-BR"/>
        </w:rPr>
      </w:pPr>
      <w:r>
        <w:rPr>
          <w:b/>
          <w:lang w:val="pt-BR"/>
        </w:rPr>
        <w:t xml:space="preserve">Tabela 15: Propriedades de massa do membro humano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bl>
    <w:p>
      <w:pPr>
        <w:spacing w:before="60" w:after="60"/>
        <w:rPr>
          <w:lang w:val="pt-BR"/>
        </w:rPr>
      </w:pPr>
      <w:r>
        <w:rPr>
          <w:sz w:val="20"/>
          <w:szCs w:val="20"/>
          <w:lang w:val="pt-BR"/>
        </w:rPr>
        <w:t xml:space="preserve">Fonte: elaborada pelo autor, com dados de de Leva (1996).</w:t>
      </w:r>
    </w:p>
    <w:p>
      <w:pPr>
        <w:rPr>
          <w:lang w:val="pt-BR"/>
        </w:rPr>
      </w:pPr>
      <w:r>
        <w:rPr>
          <w:lang w:val="pt-BR"/>
        </w:rPr>
        <w:t xml:space="preserve">A consistência foi conferida pela Equação (1):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A amplitude do momento gravitacional do membro é M g d = 10,550 N·m.</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3B.9).</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0,062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(42)</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(42)</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(43)</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2,7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w:t>
            </w:r>
            <w:r>
              <w:rPr>
                <w:i/>
                <w:lang w:val="pt-BR"/>
              </w:rPr>
              <w:t xml:space="preserve">e</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0,062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na patente,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1,64025 N/mm, com pico de τ de 4,225 N·m em 92,1°; no ajuste de forma, o s</w:t>
      </w:r>
      <w:r>
        <w:rPr>
          <w:vertAlign w:val="subscript"/>
          <w:lang w:val="pt-BR"/>
        </w:rPr>
        <w:t xml:space="preserve">0</w:t>
      </w:r>
      <w:r>
        <w:rPr>
          <w:lang w:val="pt-BR"/>
        </w:rPr>
        <w:t xml:space="preserve"> da tracejada vai de 159,944 mm para 279,526 mm, com 4 dos 40 pontos ajustados no regime II, e K</w:t>
      </w:r>
      <w:r>
        <w:rPr>
          <w:vertAlign w:val="subscript"/>
          <w:lang w:val="pt-BR"/>
        </w:rPr>
        <w:t xml:space="preserve">40</w:t>
      </w:r>
      <w:r>
        <w:rPr>
          <w:lang w:val="pt-BR"/>
        </w:rPr>
        <w:t xml:space="preserve">, de 0,50185 para 1,29549 N/mm. Com a abscissa espelhada, o RMSE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ℓ(180°)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0,38 em 20°, 0,78 em 60°, 1,34 em 120°, 2,04 em 150° e 3,03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(42),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3B.9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276,56 mm na pontilhada, 159,94 mm na tracejada e o limite s</w:t>
      </w:r>
      <w:r>
        <w:rPr>
          <w:vertAlign w:val="subscript"/>
          <w:lang w:val="pt-BR"/>
        </w:rPr>
        <w:t xml:space="preserve">0</w:t>
      </w:r>
      <w:r>
        <w:rPr>
          <w:lang w:val="pt-BR"/>
        </w:rP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271,94 a 280,64</w:t>
            </w:r>
          </w:p>
        </w:tc>
        <w:tc>
          <w:tcPr>
            <w:tcW w:w="2150" w:type="dxa"/>
            <w:vAlign w:val="center"/>
          </w:tcPr>
          <w:p>
            <w:pPr>
              <w:keepNext/>
              <w:spacing w:before="20" w:after="20" w:line="240" w:lineRule="auto"/>
              <w:jc w:val="center"/>
              <w:rPr>
                <w:lang w:val="pt-BR"/>
              </w:rPr>
            </w:pPr>
            <w:r>
              <w:rPr>
                <w:lang w:val="pt-BR"/>
              </w:rPr>
              <w:t xml:space="preserve">143,91 a 173,51</w:t>
            </w:r>
          </w:p>
        </w:tc>
        <w:tc>
          <w:tcPr>
            <w:tcW w:w="2160" w:type="dxa"/>
            <w:vAlign w:val="center"/>
          </w:tcPr>
          <w:p>
            <w:pPr>
              <w:keepNext/>
              <w:spacing w:before="20" w:after="20" w:line="240" w:lineRule="auto"/>
              <w:jc w:val="center"/>
              <w:rPr>
                <w:lang w:val="pt-BR"/>
              </w:rPr>
            </w:pPr>
            <w:r>
              <w:rPr>
                <w:lang w:val="pt-BR"/>
              </w:rPr>
              <w:t xml:space="preserve">0,00 a 4,86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2,89897</w:t>
            </w:r>
          </w:p>
        </w:tc>
        <w:tc>
          <w:tcPr>
            <w:tcW w:w="2150" w:type="dxa"/>
            <w:vAlign w:val="center"/>
          </w:tcPr>
          <w:p>
            <w:pPr>
              <w:keepNext/>
              <w:spacing w:before="20" w:after="20" w:line="240" w:lineRule="auto"/>
              <w:jc w:val="center"/>
              <w:rPr>
                <w:lang w:val="pt-BR"/>
              </w:rPr>
            </w:pPr>
            <w:r>
              <w:rPr>
                <w:lang w:val="pt-BR"/>
              </w:rPr>
              <w:t xml:space="preserve">1,55457</w:t>
            </w:r>
          </w:p>
        </w:tc>
        <w:tc>
          <w:tcPr>
            <w:tcW w:w="2160" w:type="dxa"/>
            <w:vAlign w:val="center"/>
          </w:tcPr>
          <w:p>
            <w:pPr>
              <w:keepNext/>
              <w:spacing w:before="20" w:after="20" w:line="240" w:lineRule="auto"/>
              <w:jc w:val="center"/>
              <w:rPr>
                <w:lang w:val="pt-BR"/>
              </w:rPr>
            </w:pPr>
            <w:r>
              <w:rPr>
                <w:lang w:val="pt-BR"/>
              </w:rPr>
              <w:t xml:space="preserve">1,08650</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0,1628</w:t>
            </w:r>
          </w:p>
        </w:tc>
        <w:tc>
          <w:tcPr>
            <w:tcW w:w="2150" w:type="dxa"/>
            <w:vAlign w:val="center"/>
          </w:tcPr>
          <w:p>
            <w:pPr>
              <w:keepNext/>
              <w:spacing w:before="20" w:after="20" w:line="240" w:lineRule="auto"/>
              <w:jc w:val="center"/>
              <w:rPr>
                <w:lang w:val="pt-BR"/>
              </w:rPr>
            </w:pPr>
            <w:r>
              <w:rPr>
                <w:lang w:val="pt-BR"/>
              </w:rPr>
              <w:t xml:space="preserve">0,1116</w:t>
            </w:r>
          </w:p>
        </w:tc>
        <w:tc>
          <w:tcPr>
            <w:tcW w:w="2160" w:type="dxa"/>
            <w:vAlign w:val="center"/>
          </w:tcPr>
          <w:p>
            <w:pPr>
              <w:keepNext/>
              <w:spacing w:before="20" w:after="20" w:line="240" w:lineRule="auto"/>
              <w:jc w:val="center"/>
              <w:rPr>
                <w:lang w:val="pt-BR"/>
              </w:rPr>
            </w:pPr>
            <w:r>
              <w:rPr>
                <w:lang w:val="pt-BR"/>
              </w:rPr>
              <w:t xml:space="preserve">0,1604</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0,1419</w:t>
            </w:r>
          </w:p>
        </w:tc>
        <w:tc>
          <w:tcPr>
            <w:tcW w:w="2150" w:type="dxa"/>
            <w:vAlign w:val="center"/>
          </w:tcPr>
          <w:p>
            <w:pPr>
              <w:keepNext/>
              <w:spacing w:before="20" w:after="20" w:line="240" w:lineRule="auto"/>
              <w:jc w:val="center"/>
              <w:rPr>
                <w:lang w:val="pt-BR"/>
              </w:rPr>
            </w:pPr>
            <w:r>
              <w:rPr>
                <w:lang w:val="pt-BR"/>
              </w:rPr>
              <w:t xml:space="preserve">0,0956</w:t>
            </w:r>
          </w:p>
        </w:tc>
        <w:tc>
          <w:tcPr>
            <w:tcW w:w="2160" w:type="dxa"/>
            <w:vAlign w:val="center"/>
          </w:tcPr>
          <w:p>
            <w:pPr>
              <w:keepNext/>
              <w:spacing w:before="20" w:after="20" w:line="240" w:lineRule="auto"/>
              <w:jc w:val="center"/>
              <w:rPr>
                <w:lang w:val="pt-BR"/>
              </w:rPr>
            </w:pPr>
            <w:r>
              <w:rPr>
                <w:lang w:val="pt-BR"/>
              </w:rPr>
              <w:t xml:space="preserve">0,1077</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0,3575, em 162,08°</w:t>
            </w:r>
          </w:p>
        </w:tc>
        <w:tc>
          <w:tcPr>
            <w:tcW w:w="2150" w:type="dxa"/>
            <w:vAlign w:val="center"/>
          </w:tcPr>
          <w:p>
            <w:pPr>
              <w:keepNext/>
              <w:spacing w:before="20" w:after="20" w:line="240" w:lineRule="auto"/>
              <w:jc w:val="center"/>
              <w:rPr>
                <w:lang w:val="pt-BR"/>
              </w:rPr>
            </w:pPr>
            <w:r>
              <w:rPr>
                <w:lang w:val="pt-BR"/>
              </w:rPr>
              <w:t xml:space="preserve">0,2595, em 21,39°</w:t>
            </w:r>
          </w:p>
        </w:tc>
        <w:tc>
          <w:tcPr>
            <w:tcW w:w="2160" w:type="dxa"/>
            <w:vAlign w:val="center"/>
          </w:tcPr>
          <w:p>
            <w:pPr>
              <w:keepNext/>
              <w:spacing w:before="20" w:after="20" w:line="240" w:lineRule="auto"/>
              <w:jc w:val="center"/>
              <w:rPr>
                <w:lang w:val="pt-BR"/>
              </w:rPr>
            </w:pPr>
            <w:r>
              <w:rPr>
                <w:lang w:val="pt-BR"/>
              </w:rPr>
              <w:t xml:space="preserve">0,3644,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0,5614</w:t>
            </w:r>
          </w:p>
        </w:tc>
        <w:tc>
          <w:tcPr>
            <w:tcW w:w="2150" w:type="dxa"/>
            <w:vAlign w:val="center"/>
          </w:tcPr>
          <w:p>
            <w:pPr>
              <w:keepNext/>
              <w:spacing w:before="20" w:after="20" w:line="240" w:lineRule="auto"/>
              <w:jc w:val="center"/>
              <w:rPr>
                <w:lang w:val="pt-BR"/>
              </w:rPr>
            </w:pPr>
            <w:r>
              <w:rPr>
                <w:lang w:val="pt-BR"/>
              </w:rPr>
              <w:t xml:space="preserve">0,8545</w:t>
            </w:r>
          </w:p>
        </w:tc>
        <w:tc>
          <w:tcPr>
            <w:tcW w:w="2160" w:type="dxa"/>
            <w:vAlign w:val="center"/>
          </w:tcPr>
          <w:p>
            <w:pPr>
              <w:keepNext/>
              <w:spacing w:before="20" w:after="20" w:line="240" w:lineRule="auto"/>
              <w:jc w:val="center"/>
              <w:rPr>
                <w:lang w:val="pt-BR"/>
              </w:rPr>
            </w:pPr>
            <w:r>
              <w:rPr>
                <w:lang w:val="pt-BR"/>
              </w:rPr>
              <w:t xml:space="preserve">0,9387</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77,342</w:t>
            </w:r>
          </w:p>
        </w:tc>
        <w:tc>
          <w:tcPr>
            <w:tcW w:w="2150" w:type="dxa"/>
            <w:vAlign w:val="center"/>
          </w:tcPr>
          <w:p>
            <w:pPr>
              <w:keepNext/>
              <w:spacing w:before="20" w:after="20" w:line="240" w:lineRule="auto"/>
              <w:jc w:val="center"/>
              <w:rPr>
                <w:lang w:val="pt-BR"/>
              </w:rPr>
            </w:pPr>
            <w:r>
              <w:rPr>
                <w:lang w:val="pt-BR"/>
              </w:rPr>
              <w:t xml:space="preserve">193,955</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1,25852</w:t>
            </w:r>
          </w:p>
        </w:tc>
        <w:tc>
          <w:tcPr>
            <w:tcW w:w="2150" w:type="dxa"/>
            <w:vAlign w:val="center"/>
          </w:tcPr>
          <w:p>
            <w:pPr>
              <w:keepNext/>
              <w:spacing w:before="20" w:after="20" w:line="240" w:lineRule="auto"/>
              <w:jc w:val="center"/>
              <w:rPr>
                <w:lang w:val="pt-BR"/>
              </w:rPr>
            </w:pPr>
            <w:r>
              <w:rPr>
                <w:lang w:val="pt-BR"/>
              </w:rPr>
              <w:t xml:space="preserve">0,50185</w:t>
            </w:r>
          </w:p>
        </w:tc>
        <w:tc>
          <w:tcPr>
            <w:tcW w:w="2160" w:type="dxa"/>
            <w:vAlign w:val="center"/>
          </w:tcPr>
          <w:p>
            <w:pPr>
              <w:keepNext/>
              <w:spacing w:before="20" w:after="20" w:line="240" w:lineRule="auto"/>
              <w:jc w:val="center"/>
              <w:rPr>
                <w:lang w:val="pt-BR"/>
              </w:rPr>
            </w:pPr>
            <w:r>
              <w:rPr>
                <w:lang w:val="pt-BR"/>
              </w:rPr>
              <w:t xml:space="preserve">0,27504</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0,4341</w:t>
            </w:r>
          </w:p>
        </w:tc>
        <w:tc>
          <w:tcPr>
            <w:tcW w:w="2150" w:type="dxa"/>
            <w:vAlign w:val="center"/>
          </w:tcPr>
          <w:p>
            <w:pPr>
              <w:keepNext/>
              <w:spacing w:before="20" w:after="20" w:line="240" w:lineRule="auto"/>
              <w:jc w:val="center"/>
              <w:rPr>
                <w:lang w:val="pt-BR"/>
              </w:rPr>
            </w:pPr>
            <w:r>
              <w:rPr>
                <w:lang w:val="pt-BR"/>
              </w:rPr>
              <w:t xml:space="preserve">0,3228</w:t>
            </w:r>
          </w:p>
        </w:tc>
        <w:tc>
          <w:tcPr>
            <w:tcW w:w="2160" w:type="dxa"/>
            <w:vAlign w:val="center"/>
          </w:tcPr>
          <w:p>
            <w:pPr>
              <w:keepNext/>
              <w:spacing w:before="20" w:after="20" w:line="240" w:lineRule="auto"/>
              <w:jc w:val="center"/>
              <w:rPr>
                <w:lang w:val="pt-BR"/>
              </w:rPr>
            </w:pPr>
            <w:r>
              <w:rPr>
                <w:lang w:val="pt-BR"/>
              </w:rPr>
              <w:t xml:space="preserve">0,2531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8,70 mm na curva pontilhada e 29,60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0,50185 N/mm e F(90°) = 97,34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221,841</w:t>
            </w:r>
          </w:p>
        </w:tc>
        <w:tc>
          <w:tcPr>
            <w:tcW w:w="2150" w:type="dxa"/>
            <w:vAlign w:val="center"/>
          </w:tcPr>
          <w:p>
            <w:pPr>
              <w:keepNext/>
              <w:spacing w:before="20" w:after="20" w:line="240" w:lineRule="auto"/>
              <w:jc w:val="center"/>
              <w:rPr>
                <w:lang w:val="pt-BR"/>
              </w:rPr>
            </w:pPr>
            <w:r>
              <w:rPr>
                <w:lang w:val="pt-BR"/>
              </w:rPr>
              <w:t xml:space="preserve">154,277</w:t>
            </w:r>
          </w:p>
        </w:tc>
        <w:tc>
          <w:tcPr>
            <w:tcW w:w="2160" w:type="dxa"/>
            <w:vAlign w:val="center"/>
          </w:tcPr>
          <w:p>
            <w:pPr>
              <w:keepNext/>
              <w:spacing w:before="20" w:after="20" w:line="240" w:lineRule="auto"/>
              <w:jc w:val="center"/>
              <w:rPr>
                <w:lang w:val="pt-BR"/>
              </w:rPr>
            </w:pPr>
            <w:r>
              <w:rPr>
                <w:lang w:val="pt-BR"/>
              </w:rPr>
              <w:t xml:space="preserve">88,842</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21,62%</w:t>
            </w:r>
          </w:p>
        </w:tc>
        <w:tc>
          <w:tcPr>
            <w:tcW w:w="2150" w:type="dxa"/>
            <w:vAlign w:val="center"/>
          </w:tcPr>
          <w:p>
            <w:pPr>
              <w:keepNext/>
              <w:spacing w:before="20" w:after="20" w:line="240" w:lineRule="auto"/>
              <w:jc w:val="center"/>
              <w:rPr>
                <w:lang w:val="pt-BR"/>
              </w:rPr>
            </w:pPr>
            <w:r>
              <w:rPr>
                <w:lang w:val="pt-BR"/>
              </w:rPr>
              <w:t xml:space="preserve">6,60%</w:t>
            </w:r>
          </w:p>
        </w:tc>
        <w:tc>
          <w:tcPr>
            <w:tcW w:w="2160" w:type="dxa"/>
            <w:vAlign w:val="center"/>
          </w:tcPr>
          <w:p>
            <w:pPr>
              <w:keepNext/>
              <w:spacing w:before="20" w:after="20" w:line="240" w:lineRule="auto"/>
              <w:jc w:val="center"/>
              <w:rPr>
                <w:lang w:val="pt-BR"/>
              </w:rPr>
            </w:pPr>
            <w:r>
              <w:rPr>
                <w:lang w:val="pt-BR"/>
              </w:rPr>
              <w:t xml:space="preserve">6,57%</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0,1013</w:t>
            </w:r>
          </w:p>
        </w:tc>
        <w:tc>
          <w:tcPr>
            <w:tcW w:w="2150" w:type="dxa"/>
            <w:vAlign w:val="center"/>
          </w:tcPr>
          <w:p>
            <w:pPr>
              <w:keepNext/>
              <w:spacing w:before="20" w:after="20" w:line="240" w:lineRule="auto"/>
              <w:jc w:val="center"/>
              <w:rPr>
                <w:lang w:val="pt-BR"/>
              </w:rPr>
            </w:pPr>
            <w:r>
              <w:rPr>
                <w:lang w:val="pt-BR"/>
              </w:rPr>
              <w:t xml:space="preserve">0,8541</w:t>
            </w:r>
          </w:p>
        </w:tc>
        <w:tc>
          <w:tcPr>
            <w:tcW w:w="2160" w:type="dxa"/>
            <w:vAlign w:val="center"/>
          </w:tcPr>
          <w:p>
            <w:pPr>
              <w:keepNext/>
              <w:spacing w:before="20" w:after="20" w:line="240" w:lineRule="auto"/>
              <w:jc w:val="center"/>
              <w:rPr>
                <w:lang w:val="pt-BR"/>
              </w:rPr>
            </w:pPr>
            <w:r>
              <w:rPr>
                <w:lang w:val="pt-BR"/>
              </w:rPr>
              <w:t xml:space="preserve">0,9013</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35,55%</w:t>
            </w:r>
          </w:p>
        </w:tc>
        <w:tc>
          <w:tcPr>
            <w:tcW w:w="2150" w:type="dxa"/>
            <w:vAlign w:val="center"/>
          </w:tcPr>
          <w:p>
            <w:pPr>
              <w:keepNext/>
              <w:spacing w:before="20" w:after="20" w:line="240" w:lineRule="auto"/>
              <w:jc w:val="center"/>
              <w:rPr>
                <w:lang w:val="pt-BR"/>
              </w:rPr>
            </w:pPr>
            <w:r>
              <w:rPr>
                <w:lang w:val="pt-BR"/>
              </w:rPr>
              <w:t xml:space="preserve">12,90%</w:t>
            </w:r>
          </w:p>
        </w:tc>
        <w:tc>
          <w:tcPr>
            <w:tcW w:w="2160" w:type="dxa"/>
            <w:vAlign w:val="center"/>
          </w:tcPr>
          <w:p>
            <w:pPr>
              <w:keepNext/>
              <w:spacing w:before="20" w:after="20" w:line="240" w:lineRule="auto"/>
              <w:jc w:val="center"/>
              <w:rPr>
                <w:lang w:val="pt-BR"/>
              </w:rPr>
            </w:pPr>
            <w:r>
              <w:rPr>
                <w:lang w:val="pt-BR"/>
              </w:rPr>
              <w:t xml:space="preserve">3,43%</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−1,4289</w:t>
            </w:r>
          </w:p>
        </w:tc>
        <w:tc>
          <w:tcPr>
            <w:tcW w:w="2150" w:type="dxa"/>
            <w:vAlign w:val="center"/>
          </w:tcPr>
          <w:p>
            <w:pPr>
              <w:keepNext/>
              <w:spacing w:before="20" w:after="20" w:line="240" w:lineRule="auto"/>
              <w:jc w:val="center"/>
              <w:rPr>
                <w:lang w:val="pt-BR"/>
              </w:rPr>
            </w:pPr>
            <w:r>
              <w:rPr>
                <w:lang w:val="pt-BR"/>
              </w:rPr>
              <w:t xml:space="preserve">0,4429</w:t>
            </w:r>
          </w:p>
        </w:tc>
        <w:tc>
          <w:tcPr>
            <w:tcW w:w="2160" w:type="dxa"/>
            <w:vAlign w:val="center"/>
          </w:tcPr>
          <w:p>
            <w:pPr>
              <w:keepNext/>
              <w:spacing w:before="20" w:after="20" w:line="240" w:lineRule="auto"/>
              <w:jc w:val="center"/>
              <w:rPr>
                <w:lang w:val="pt-BR"/>
              </w:rPr>
            </w:pPr>
            <w:r>
              <w:rPr>
                <w:lang w:val="pt-BR"/>
              </w:rPr>
              <w:t xml:space="preserve">0,9731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1,5051, comum às três curvas; na força constante, c é ajustado por curva.</w:t>
      </w:r>
    </w:p>
    <w:p>
      <w:pPr>
        <w:rPr>
          <w:lang w:val="pt-BR"/>
        </w:rPr>
      </w:pPr>
      <w:r>
        <w:rPr>
          <w:lang w:val="pt-BR"/>
        </w:rPr>
        <w:t xml:space="preserve">O ajuste conjunto ordena os comprimentos de referência como as pré-tensões descritas na patente: s</w:t>
      </w:r>
      <w:r>
        <w:rPr>
          <w:vertAlign w:val="subscript"/>
          <w:lang w:val="pt-BR"/>
        </w:rPr>
        <w:t xml:space="preserve">0</w:t>
      </w:r>
      <w:r>
        <w:rPr>
          <w:lang w:val="pt-BR"/>
        </w:rPr>
        <w:t xml:space="preserve"> = 221,841 mm na curva pontilhada, 154,277 mm na tracejada e 88,842 mm na contínua; menor s</w:t>
      </w:r>
      <w:r>
        <w:rPr>
          <w:vertAlign w:val="subscript"/>
          <w:lang w:val="pt-BR"/>
        </w:rPr>
        <w:t xml:space="preserve">0</w:t>
      </w:r>
      <w:r>
        <w:rPr>
          <w:lang w:val="pt-BR"/>
        </w:rP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lang w:val="pt-BR"/>
        </w:rPr>
        <w:t xml:space="preserve">0</w:t>
      </w:r>
      <w:r>
        <w:rPr>
          <w:lang w:val="pt-BR"/>
        </w:rPr>
        <w:t xml:space="preserve"> = 0, e as outras duas com erros de 35,55% e 12,90%.</w:t>
      </w:r>
    </w:p>
    <w:p>
      <w:pPr>
        <w:rPr>
          <w:lang w:val="pt-BR"/>
        </w:rPr>
      </w:pPr>
      <w:r>
        <w:rPr>
          <w:lang w:val="pt-BR"/>
        </w:rPr>
        <w:t xml:space="preserve">A pré-tensão da curva pontilhada, descrita como quase nula, também diverge do ajuste de forma. Pelo critério da seção 4B.4, a extensão em 180°, essa curva teria 20,37 mm com o s</w:t>
      </w:r>
      <w:r>
        <w:rPr>
          <w:vertAlign w:val="subscript"/>
          <w:lang w:val="pt-BR"/>
        </w:rPr>
        <w:t xml:space="preserve">0</w:t>
      </w:r>
      <w:r>
        <w:rPr>
          <w:lang w:val="pt-BR"/>
        </w:rPr>
        <w:t xml:space="preserve"> individual e 75,09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1,45915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i/>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Não incluídos</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Falta a posição do eixo da articulação no Fusion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w:t>
      </w:r>
      <w:r>
        <w:rPr>
          <w:b/>
          <w:i/>
          <w:lang w:val="pt-BR"/>
        </w:rPr>
        <w:t xml:space="preserve">e</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148,89 N a 14,21 N. O ajuste de forma levaria a valores bem diferentes: com s</w:t>
      </w:r>
      <w:r>
        <w:rPr>
          <w:vertAlign w:val="subscript"/>
          <w:lang w:val="pt-BR"/>
        </w:rPr>
        <w:t xml:space="preserve">0</w:t>
      </w:r>
      <w:r>
        <w:rPr>
          <w:lang w:val="pt-BR"/>
        </w:rPr>
        <w:t xml:space="preserve"> = 159,944 mm, a extensão iria de 229,29 a 136,99 mm, com deformação de 143,4%, e a força, com o K</w:t>
      </w:r>
      <w:r>
        <w:rPr>
          <w:vertAlign w:val="subscript"/>
          <w:lang w:val="pt-BR"/>
        </w:rPr>
        <w:t xml:space="preserve">40</w:t>
      </w:r>
      <w:r>
        <w:rPr>
          <w:lang w:val="pt-BR"/>
        </w:rPr>
        <w:t xml:space="preserve"> correspondente, de 115,07 a 68,75 N. A viabilidade dessas extensões depende do elemento elástico, que a patente não especifica.</w:t>
      </w:r>
    </w:p>
    <w:p>
      <w:pPr>
        <w:pStyle w:val="Ttulo2"/>
        <w:rPr>
          <w:lang w:val="pt-BR"/>
        </w:rPr>
      </w:pPr>
      <w:r>
        <w:rPr>
          <w:lang w:val="pt-BR"/>
        </w:rPr>
        <w:t xml:space="preserve">4B.8 Varredura paramétrica do trecho </w:t>
      </w:r>
      <w:r>
        <w:rPr>
          <w:i/>
          <w:lang w:val="pt-BR"/>
        </w:rPr>
        <w:t xml:space="preserve">e</w:t>
      </w:r>
      <w:r>
        <w:rPr>
          <w:lang w:val="pt-BR"/>
        </w:rPr>
        <w:t xml:space="preserve"> da alavanca</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w:t>
      </w:r>
      <w:r>
        <w:rPr>
          <w:i/>
          <w:lang w:val="pt-BR"/>
        </w:rPr>
        <w:t xml:space="preserve">e</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w:t>
      </w:r>
      <w:r>
        <w:rPr>
          <w:i/>
          <w:lang w:val="pt-BR"/>
        </w:rPr>
        <w:t xml:space="preserve">e</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w:t>
      </w:r>
      <w:r>
        <w:rPr>
          <w:i/>
          <w:lang w:val="pt-BR"/>
        </w:rPr>
        <w:t xml:space="preserve">e</w:t>
      </w:r>
      <w:r>
        <w:rPr>
          <w:lang w:val="pt-BR"/>
        </w:rPr>
        <w:t xml:space="preserve"> = 45 mm, frouxa de 177,72° a 180°. A transição de regime desloca-se de θ</w:t>
      </w:r>
      <w:r>
        <w:rPr>
          <w:vertAlign w:val="subscript"/>
          <w:lang w:val="pt-BR"/>
        </w:rPr>
        <w:t xml:space="preserve">el</w:t>
      </w:r>
      <w:r>
        <w:rPr>
          <w:lang w:val="pt-BR"/>
        </w:rPr>
        <w:t xml:space="preserve"> = 26,91° (</w:t>
      </w:r>
      <w:r>
        <w:rPr>
          <w:i/>
          <w:lang w:val="pt-BR"/>
        </w:rPr>
        <w:t xml:space="preserve">e</w:t>
      </w:r>
      <w:r>
        <w:rPr>
          <w:lang w:val="pt-BR"/>
        </w:rPr>
        <w:t xml:space="preserve"> = 20 mm) para 14,46° (</w:t>
      </w:r>
      <w:r>
        <w:rPr>
          <w:i/>
          <w:lang w:val="pt-BR"/>
        </w:rPr>
        <w:t xml:space="preserve">e</w:t>
      </w:r>
      <w:r>
        <w:rPr>
          <w:lang w:val="pt-BR"/>
        </w:rPr>
        <w:t xml:space="preserve"> = 50 mm). A Tabela 23 e a Figura 10 mostram a família de curvas para cinco valores de </w:t>
      </w:r>
      <w:r>
        <w:rPr>
          <w:i/>
          <w:lang w:val="pt-BR"/>
        </w:rPr>
        <w:t xml:space="preserve">e</w:t>
      </w:r>
      <w:r>
        <w:rPr>
          <w:lang w:val="pt-BR"/>
        </w:rPr>
        <w:t xml:space="preserve">.</w:t>
      </w:r>
    </w:p>
    <w:p>
      <w:pPr>
        <w:keepNext/>
        <w:spacing w:before="120" w:after="60"/>
        <w:rPr>
          <w:lang w:val="pt-BR"/>
        </w:rPr>
      </w:pPr>
      <w:r>
        <w:rPr>
          <w:b/>
          <w:lang w:val="pt-BR"/>
        </w:rPr>
        <w:t xml:space="preserve">Tabela 23: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e K = 1,45915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i/>
                <w:lang w:val="pt-BR"/>
              </w:rPr>
              <w:t xml:space="preserve">e</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3,296</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3,274</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3,822</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3,754</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4,354</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4,220</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4,965</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4,736</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5,580</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5,241</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w:t>
      </w:r>
      <w:r>
        <w:rPr>
          <w:i/>
          <w:lang w:val="pt-BR"/>
        </w:rPr>
        <w:t xml:space="preserve">e</w:t>
      </w:r>
      <w:r>
        <w:rPr>
          <w:lang w:val="pt-BR"/>
        </w:rPr>
        <w:t xml:space="preserve"> se cruzam, o torque aumenta com </w:t>
      </w:r>
      <w:r>
        <w:rPr>
          <w:i/>
          <w:lang w:val="pt-BR"/>
        </w:rPr>
        <w:t xml:space="preserve">e</w:t>
      </w:r>
      <w:r>
        <w:rPr>
          <w:lang w:val="pt-BR"/>
        </w:rPr>
        <w:t xml:space="preserve">; acima desse ângulo, diminui. Com o aumento de </w:t>
      </w:r>
      <w:r>
        <w:rPr>
          <w:i/>
          <w:lang w:val="pt-BR"/>
        </w:rPr>
        <w:t xml:space="preserve">e</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lang w:val="pt-BR"/>
        </w:rPr>
        <w:t xml:space="preserve">g</w:t>
      </w:r>
      <w:r>
        <w:rPr>
          <w:lang w:val="pt-BR"/>
        </w:rPr>
        <w:t xml:space="preserve"> da família têm máximo entre 54,4° e 75,6°, que ocorre mais cedo quanto maior o trecho </w:t>
      </w:r>
      <w:r>
        <w:rPr>
          <w:i/>
          <w:lang w:val="pt-BR"/>
        </w:rPr>
        <w:t xml:space="preserve">e</w:t>
      </w:r>
      <w:r>
        <w:rPr>
          <w:lang w:val="pt-BR"/>
        </w:rP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4,354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0,35 em 30° a 0,43 em 60°, 0,40 em 90° e 0,20 em 150°, com 0,19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1,45915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147,26</w:t>
            </w:r>
          </w:p>
        </w:tc>
        <w:tc>
          <w:tcPr>
            <w:tcW w:w="940" w:type="dxa"/>
            <w:vAlign w:val="center"/>
          </w:tcPr>
          <w:p>
            <w:pPr>
              <w:keepNext/>
              <w:spacing w:before="20" w:after="20" w:line="240" w:lineRule="auto"/>
              <w:jc w:val="center"/>
              <w:rPr>
                <w:lang w:val="pt-BR"/>
              </w:rPr>
            </w:pPr>
            <w:r>
              <w:rPr>
                <w:lang w:val="pt-BR"/>
              </w:rPr>
              <w:t xml:space="preserve">0,887</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0,484</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143,47</w:t>
            </w:r>
          </w:p>
        </w:tc>
        <w:tc>
          <w:tcPr>
            <w:tcW w:w="940" w:type="dxa"/>
            <w:vAlign w:val="center"/>
          </w:tcPr>
          <w:p>
            <w:pPr>
              <w:keepNext/>
              <w:spacing w:before="20" w:after="20" w:line="240" w:lineRule="auto"/>
              <w:jc w:val="center"/>
              <w:rPr>
                <w:lang w:val="pt-BR"/>
              </w:rPr>
            </w:pPr>
            <w:r>
              <w:rPr>
                <w:lang w:val="pt-BR"/>
              </w:rPr>
              <w:t xml:space="preserve">1,825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0,346</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126,38</w:t>
            </w:r>
          </w:p>
        </w:tc>
        <w:tc>
          <w:tcPr>
            <w:tcW w:w="940" w:type="dxa"/>
            <w:vAlign w:val="center"/>
          </w:tcPr>
          <w:p>
            <w:pPr>
              <w:keepNext/>
              <w:spacing w:before="20" w:after="20" w:line="240" w:lineRule="auto"/>
              <w:jc w:val="center"/>
              <w:rPr>
                <w:lang w:val="pt-BR"/>
              </w:rPr>
            </w:pPr>
            <w:r>
              <w:rPr>
                <w:lang w:val="pt-BR"/>
              </w:rPr>
              <w:t xml:space="preserve">3,952</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0,433</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97,34</w:t>
            </w:r>
          </w:p>
        </w:tc>
        <w:tc>
          <w:tcPr>
            <w:tcW w:w="940" w:type="dxa"/>
            <w:vAlign w:val="center"/>
          </w:tcPr>
          <w:p>
            <w:pPr>
              <w:keepNext/>
              <w:spacing w:before="20" w:after="20" w:line="240" w:lineRule="auto"/>
              <w:jc w:val="center"/>
              <w:rPr>
                <w:lang w:val="pt-BR"/>
              </w:rPr>
            </w:pPr>
            <w:r>
              <w:rPr>
                <w:lang w:val="pt-BR"/>
              </w:rPr>
              <w:t xml:space="preserve">4,220</w:t>
            </w:r>
          </w:p>
        </w:tc>
        <w:tc>
          <w:tcPr>
            <w:tcW w:w="1000" w:type="dxa"/>
            <w:vAlign w:val="center"/>
          </w:tcPr>
          <w:p>
            <w:pPr>
              <w:keepNext/>
              <w:spacing w:before="20" w:after="20" w:line="240" w:lineRule="auto"/>
              <w:jc w:val="center"/>
              <w:rPr>
                <w:lang w:val="pt-BR"/>
              </w:rPr>
            </w:pPr>
            <w:r>
              <w:rPr>
                <w:lang w:val="pt-BR"/>
              </w:rPr>
              <w:t xml:space="preserve">10,550</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62,79</w:t>
            </w:r>
          </w:p>
        </w:tc>
        <w:tc>
          <w:tcPr>
            <w:tcW w:w="940" w:type="dxa"/>
            <w:vAlign w:val="center"/>
          </w:tcPr>
          <w:p>
            <w:pPr>
              <w:keepNext/>
              <w:spacing w:before="20" w:after="20" w:line="240" w:lineRule="auto"/>
              <w:jc w:val="center"/>
              <w:rPr>
                <w:lang w:val="pt-BR"/>
              </w:rPr>
            </w:pPr>
            <w:r>
              <w:rPr>
                <w:lang w:val="pt-BR"/>
              </w:rPr>
              <w:t xml:space="preserve">2,830</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0,310</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31,81</w:t>
            </w:r>
          </w:p>
        </w:tc>
        <w:tc>
          <w:tcPr>
            <w:tcW w:w="940" w:type="dxa"/>
            <w:vAlign w:val="center"/>
          </w:tcPr>
          <w:p>
            <w:pPr>
              <w:keepNext/>
              <w:spacing w:before="20" w:after="20" w:line="240" w:lineRule="auto"/>
              <w:jc w:val="center"/>
              <w:rPr>
                <w:lang w:val="pt-BR"/>
              </w:rPr>
            </w:pPr>
            <w:r>
              <w:rPr>
                <w:lang w:val="pt-BR"/>
              </w:rPr>
              <w:t xml:space="preserve">1,075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0,204</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18,07</w:t>
            </w:r>
          </w:p>
        </w:tc>
        <w:tc>
          <w:tcPr>
            <w:tcW w:w="940" w:type="dxa"/>
            <w:vAlign w:val="center"/>
          </w:tcPr>
          <w:p>
            <w:pPr>
              <w:keepNext/>
              <w:spacing w:before="20" w:after="20" w:line="240" w:lineRule="auto"/>
              <w:jc w:val="center"/>
              <w:rPr>
                <w:lang w:val="pt-BR"/>
              </w:rPr>
            </w:pPr>
            <w:r>
              <w:rPr>
                <w:lang w:val="pt-BR"/>
              </w:rPr>
              <w:t xml:space="preserve">0,350</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0,191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3B.9); τ</w:t>
      </w:r>
      <w:r>
        <w:rPr>
          <w:sz w:val="20"/>
          <w:szCs w:val="20"/>
          <w:vertAlign w:val="subscript"/>
          <w:lang w:val="pt-BR"/>
        </w:rPr>
        <w:t xml:space="preserve">g</w:t>
      </w:r>
      <w:r>
        <w:rPr>
          <w:sz w:val="20"/>
          <w:szCs w:val="20"/>
          <w:lang w:val="pt-BR"/>
        </w:rPr>
        <w:t xml:space="preserve"> considera só o membro humano.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humano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0,887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1,43382 a 1,49390 N/mm, e o pico de τ, de 4,346 a 4,365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83,72° e 177,42°,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3B.3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3B.3)</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w:t>
            </w:r>
            <w:r>
              <w:rPr>
                <w:i/>
                <w:lang w:val="pt-BR"/>
              </w:rPr>
              <w:t xml:space="preserve">e</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w:t>
            </w:r>
            <w:r>
              <w:rPr>
                <w:i/>
                <w:lang w:val="pt-BR"/>
              </w:rPr>
              <w:t xml:space="preserve">e</w:t>
            </w:r>
          </w:p>
        </w:tc>
        <w:tc>
          <w:tcPr>
            <w:tcW w:w="3480" w:type="dxa"/>
            <w:vAlign w:val="center"/>
          </w:tcPr>
          <w:p>
            <w:pPr>
              <w:keepNext/>
              <w:spacing w:before="20" w:after="20" w:line="240" w:lineRule="auto"/>
              <w:rPr>
                <w:lang w:val="pt-BR"/>
              </w:rPr>
            </w:pPr>
            <w:r>
              <w:rPr>
                <w:lang w:val="pt-BR"/>
              </w:rPr>
              <w:t xml:space="preserve">Conferir </w:t>
            </w:r>
            <w:r>
              <w:rPr>
                <w:i/>
                <w:lang w:val="pt-BR"/>
              </w:rPr>
              <w:t xml:space="preserve">e</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pela patente</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w:t>
            </w:r>
            <w:r>
              <w:rPr>
                <w:i/>
                <w:lang w:val="pt-BR"/>
              </w:rPr>
              <w:t xml:space="preserve">e</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0,561 a 0,939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149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Só o membro humano, pico de 10,550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w:t>
      </w:r>
      <w:r>
        <w:rPr>
          <w:i/>
          <w:lang w:val="pt-BR"/>
        </w:rPr>
        <w:t xml:space="preserve">e</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0,48 em 10°, 0,35 em 30°, 0,43 em 60°, 0,40 em 90° e 0,20 em 150°, com mínimo de 0,18 em 163,9°.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w:t>
      </w:r>
      <w:r>
        <w:rPr>
          <w:i/>
          <w:lang w:val="pt-BR"/>
        </w:rPr>
        <w:t xml:space="preserve">e</w:t>
      </w:r>
      <w:r>
        <w:rPr>
          <w:lang w:val="pt-BR"/>
        </w:rPr>
        <w:t xml:space="preserve"> mostrou que o elástico permanece tracionado em toda a faixa só para </w:t>
      </w:r>
      <w:r>
        <w:rPr>
          <w:i/>
          <w:lang w:val="pt-BR"/>
        </w:rPr>
        <w:t xml:space="preserve">e</w:t>
      </w:r>
      <w:r>
        <w:rPr>
          <w:lang w:val="pt-BR"/>
        </w:rPr>
        <w:t xml:space="preserve"> ≤ 44,50 mm; o aumento de </w:t>
      </w:r>
      <w:r>
        <w:rPr>
          <w:i/>
          <w:lang w:val="pt-BR"/>
        </w:rPr>
        <w:t xml:space="preserve">e</w:t>
      </w:r>
      <w:r>
        <w:rPr>
          <w:lang w:val="pt-BR"/>
        </w:rPr>
        <w:t xml:space="preserve"> antecipa a transição de regime, de 26,91° para 14,46°, e desloca o pico do torque de 84,7° para 74,8° entre </w:t>
      </w:r>
      <w:r>
        <w:rPr>
          <w:i/>
          <w:lang w:val="pt-BR"/>
        </w:rPr>
        <w:t xml:space="preserve">e</w:t>
      </w:r>
      <w:r>
        <w:rPr>
          <w:lang w:val="pt-BR"/>
        </w:rPr>
        <w:t xml:space="preserve"> = 25 mm e </w:t>
      </w:r>
      <w:r>
        <w:rPr>
          <w:i/>
          <w:lang w:val="pt-BR"/>
        </w:rPr>
        <w:t xml:space="preserve">e</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a posição do eixo da articulação e o valor de </w:t>
      </w:r>
      <w:r>
        <w:rPr>
          <w:i/>
          <w:lang w:val="pt-BR"/>
        </w:rPr>
        <w:t xml:space="preserve">e</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