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Entre os passivos destinados ao levantamento de cargas, Ning et al. (2023) organizam a estrutura em módulos de braço, ombro e costas e dimensionam o conjunto a partir da tração da mola. 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 nessa linha, Ning et al. (2022) projetam o perfil da came a partir do módulo de armazenamento de energia da mola e validam o resultado por eletromiografia.</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3B.14 aplicam à EP 3 504 033 B1 (OTTOBOCK, 2023) o procedimento das seções 3A.1 a 3A.13, que foi executado para o gerador de torque da US 9.889.554 B2.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2"/>
        <w:rPr>
          <w:lang w:val="pt-BR"/>
        </w:rPr>
      </w:pPr>
      <w:r>
        <w:rPr>
          <w:lang w:val="pt-BR"/>
        </w:rPr>
        <w:t xml:space="preserve">3B.1 Fontes e arquivos utilizados</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3B.2 Arquitetura descrita na patente</w:t>
      </w:r>
    </w:p>
    <w:p>
      <w:pPr>
        <w:rPr>
          <w:lang w:val="pt-BR"/>
        </w:rPr>
      </w:pPr>
      <w:r>
        <w:rPr>
          <w:lang w:val="pt-BR"/>
        </w:rP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2"/>
        <w:rPr>
          <w:lang w:val="pt-BR"/>
        </w:rPr>
      </w:pPr>
      <w:r>
        <w:rPr>
          <w:lang w:val="pt-BR"/>
        </w:rPr>
        <w:t xml:space="preserve">3B.3 Reconstrução geométrica em CAD</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3B.4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3B.5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3B.7</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(40)</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(42)</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3B.6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3B.6 Cinemática: equações de circuito e troca de regime</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rPr>
          <w:lang w:val="pt-BR"/>
        </w:rPr>
      </w:pPr>
      <w:r>
        <w:rPr>
          <w:lang w:val="pt-BR"/>
        </w:rPr>
        <w:t xml:space="preserve">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(39)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keepNext/>
        <w:spacing w:before="120" w:after="60"/>
        <w:rPr>
          <w:lang w:val="pt-BR"/>
        </w:rPr>
      </w:pPr>
      <w:r>
        <w:rPr>
          <w:b/>
          <w:lang w:val="pt-BR"/>
        </w:rPr>
        <w:t xml:space="preserve">Figura 2: Circuito do mecanismo na pose do CAD (regime I, θ</w:t>
      </w:r>
      <w:r>
        <w:rPr>
          <w:b/>
          <w:vertAlign w:val="subscript"/>
          <w:lang w:val="pt-BR"/>
        </w:rPr>
        <w:t xml:space="preserve">el</w:t>
      </w:r>
      <w:r>
        <w:rPr>
          <w:b/>
          <w:lang w:val="pt-BR"/>
        </w:rPr>
        <w:t xml:space="preserve"> = 82,038°) e em θ</w:t>
      </w:r>
      <w:r>
        <w:rPr>
          <w:b/>
          <w:vertAlign w:val="subscript"/>
          <w:lang w:val="pt-BR"/>
        </w:rPr>
        <w:t xml:space="preserve">el</w:t>
      </w:r>
      <w:r>
        <w:rPr>
          <w:b/>
          <w:lang w:val="pt-BR"/>
        </w:rPr>
        <w:t xml:space="preserve"> = 10° (regime II)</w:t>
      </w:r>
    </w:p>
    <w:p>
      <w:pPr>
        <w:keepNext/>
        <w:spacing w:after="60"/>
        <w:jc w:val="center"/>
        <w:rPr>
          <w:lang w:val="pt-BR"/>
        </w:rPr>
      </w:pPr>
      <w:r>
        <w:rPr>
          <w:noProof/>
          <w:lang w:val="pt-BR"/>
        </w:rPr>
        <w:drawing>
          <wp:inline distT="0" distB="0" distL="0" distR="0">
            <wp:extent cx="5943600" cy="2734056"/>
            <wp:effectExtent l="0" t="0" r="0" b="0"/>
            <wp:docPr id="1001" name="Imagem 1001"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 do mecanismo da Ottobock: ancoragem A, pivô O, alavanca com cotovelo até P, elemento 78 e elástico, na pose do CAD e com o braço a 10 graus de anteversão; à direita, ampliação da região do pivô."/>
                    <pic:cNvPicPr/>
                  </pic:nvPicPr>
                  <pic:blipFill>
                    <a:blip r:embed="rIdExo2F1"/>
                    <a:stretch>
                      <a:fillRect/>
                    </a:stretch>
                  </pic:blipFill>
                  <pic:spPr>
                    <a:xfrm>
                      <a:off x="0" y="0"/>
                      <a:ext cx="5943600" cy="2734056"/>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O traço preto vai de O ao cotovelo e ao ponto P; os quadrados marcam o centro do elemento 78; as linhas pontilhadas indicam o eixo do braço.</w:t>
      </w:r>
    </w:p>
    <w:p>
      <w:pPr>
        <w:pStyle w:val="Ttulo2"/>
        <w:rPr>
          <w:lang w:val="pt-BR"/>
        </w:rPr>
      </w:pPr>
      <w:r>
        <w:rPr>
          <w:lang w:val="pt-BR"/>
        </w:rPr>
        <w:t xml:space="preserve">3B.7 Força elástica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pPr>
        <w:rPr>
          <w:lang w:val="pt-BR"/>
        </w:rPr>
      </w:pPr>
      <w:r>
        <w:rPr>
          <w:lang w:val="pt-BR"/>
        </w:rPr>
        <w:t xml:space="preserve">A Figura 17 da patente não foi digitalizada. A seção 4B.8 faz apenas uma comparação visual com ela.</w:t>
      </w:r>
    </w:p>
    <w:p>
      <w:pPr>
        <w:pStyle w:val="Ttulo2"/>
        <w:rPr>
          <w:lang w:val="pt-BR"/>
        </w:rPr>
      </w:pPr>
      <w:r>
        <w:rPr>
          <w:lang w:val="pt-BR"/>
        </w:rPr>
        <w:t xml:space="preserve">3B.10 Identificação dos parâmetros a partir da Figura 16 da patente</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3B.6: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(43),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3B.11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3B.12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2"/>
        <w:rPr>
          <w:lang w:val="pt-BR"/>
        </w:rPr>
      </w:pPr>
      <w:r>
        <w:rPr>
          <w:lang w:val="pt-BR"/>
        </w:rPr>
        <w:t xml:space="preserve">3B.13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(43),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(42);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3B.14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3B.3 a 3B.12,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3B.13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3B.3).</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(39)</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3B.5).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3B.6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3B.10).</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(43)</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(43)</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(39)</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3B.10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3B.10);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3B.5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3B.5)</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727FD1E3" w14:textId="77777777" w:rsidR="00FD1B34" w:rsidRDefault="003B1183">
      <w:r>
        <w:t xml:space="preserve">NING, Y. et al. Design and analysis of upper limb passive exoskeleton robot for lift assist. </w:t>
      </w:r>
      <w:r>
        <w:rPr>
          <w:b/>
        </w:rPr>
        <w:t>Journal of Physics: Conference Series</w:t>
      </w:r>
      <w:r>
        <w:t>, [</w:t>
      </w:r>
      <w:proofErr w:type="spellStart"/>
      <w:r>
        <w:t>S.l.</w:t>
      </w:r>
      <w:proofErr w:type="spellEnd"/>
      <w:r>
        <w:t xml:space="preserve">], v. 2410, art. 012020, 2022. DOI: </w:t>
      </w:r>
      <w:hyperlink r:id="rId36" w:history="1">
        <w:r w:rsidR="00FD1B34">
          <w:rPr>
            <w:rStyle w:val="Hyperlink"/>
          </w:rPr>
          <w:t>10.1088/1742-6596/2410/1/012020</w:t>
        </w:r>
      </w:hyperlink>
      <w:r>
        <w:t>.</w:t>
      </w:r>
    </w:p>
    <w:p w14:paraId="2CA3E634" w14:textId="77777777" w:rsidR="00FD1B34" w:rsidRDefault="003B1183">
      <w:r>
        <w:lastRenderedPageBreak/>
        <w:t xml:space="preserve">NING, Y. et al. Structure design and analysis of upper limb wearable passive power-assisted exoskeleton robot. </w:t>
      </w:r>
      <w:r>
        <w:rPr>
          <w:b/>
        </w:rPr>
        <w:t>Journal of Physics: Conference Series</w:t>
      </w:r>
      <w:r>
        <w:t>, [</w:t>
      </w:r>
      <w:proofErr w:type="spellStart"/>
      <w:r>
        <w:t>S.l.</w:t>
      </w:r>
      <w:proofErr w:type="spellEnd"/>
      <w:r>
        <w:t xml:space="preserve">], v. 2489, art. 012008, 2023. DOI: </w:t>
      </w:r>
      <w:hyperlink r:id="rId37" w:history="1">
        <w:r w:rsidR="00FD1B34">
          <w:rPr>
            <w:rStyle w:val="Hyperlink"/>
          </w:rPr>
          <w:t>10.1088/1742-6596/2489/1/012008</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