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5A95" w14:textId="77777777" w:rsidR="00FD1B34" w:rsidRPr="00955B75" w:rsidRDefault="003B1183">
      <w:pPr>
        <w:pStyle w:val="Ttulo1"/>
        <w:rPr>
          <w:lang w:val="pt-BR"/>
        </w:rPr>
      </w:pPr>
      <w:r>
        <w:rPr>
          <w:lang w:val="pt-BR"/>
        </w:rPr>
        <w:t>Modelagem e simulação de mecanismos passivos de apoio ao braço</w:t>
      </w:r>
    </w:p>
    <w:p w14:paraId="2F70FE64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 INTRODUÇÃO</w:t>
      </w:r>
    </w:p>
    <w:p w14:paraId="1CDC0A56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Vários setores como: Montagem automotiva, construção civil, solda e manutenção industrial exigem do trabalhador a manutenção dos braços elevados, muitas vezes acima da linha dos ombros. A análise de van der Molen et al. (2017) associa a elevação dos braços ao dobro do risco de distúrbios na articulação ombro, e Seidler et al. (2020) estimam aumento de 21% no risco a cada mil horas de trabalho com as mãos acima dessa linha.</w:t>
      </w:r>
    </w:p>
    <w:p w14:paraId="40854E13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Em 2025, no Brasil, foram concedidos 4,12 milhões afastamentos por incapacidade temporária, e as lesões do ombro (CID M75) ficaram entre as maiores causas, com 135.093 concessões (AGÊNCIA BRASIL, 2026). Na série de 2008 a 2018, os distúrbios osteomusculares relacionados ao trabalho responderam por 786.923 benefícios acidentários, e o CID M75 foi a razão de afastamento mais frequente entre as mulheres (MANOEL; CAVALCANTE, 2025).</w:t>
      </w:r>
    </w:p>
    <w:p w14:paraId="5510F7A8" w14:textId="77777777" w:rsidR="00FD1B34" w:rsidRPr="00955B75" w:rsidRDefault="003B1183">
      <w:pPr>
        <w:rPr>
          <w:lang w:val="pt-BR"/>
        </w:rPr>
      </w:pPr>
      <w:r>
        <w:rPr>
          <w:lang w:val="pt-BR"/>
        </w:rPr>
        <w:t>Os exoesqueletos surgem, então, como uma das respostas a esse problema. Os modelos passivos, que devolvem ao usuário a energia armazenada em molas, são os modelos predominantes no meio industrial por serem leves, baratos e independentes de fonte externa de energia (DE LOOZE et al., 2016; REYES et al., 2023). Revisões de estudos experimentais sugerem redução consistente da atividade dos deltoides e do trapézio durante o trabalho acima da cabeça (BÄR et al., 2021; MOELLER et al., 2022).</w:t>
      </w:r>
    </w:p>
    <w:p w14:paraId="06F9D02F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Em um dispositivo passivo o auxílio é consequência da geometria do mecanismo e da mola. O torque entregue é uma função do ângulo de elevação, e projetar o dispositivo significa aproximar essa curva do torque gravitacional do braço. Quando as duas curvas se afastam, o exoesqueleto ajuda demais em uma faixa e de menos em outra, provocando uma compensação com a musculatura do usuário (NASR; FERGUSON; McPHEE, 2022).</w:t>
      </w:r>
    </w:p>
    <w:p w14:paraId="38B460FC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Os modelos que chegaram ao mercado estão descritos em patentes, que detalham o mecanismo, mas não permitem quantificá-lo: apesar de conter as curvas de torque nos eixos, nenhuma delas informa massa, inércia ou rigidez. Avaliar um mecanismo desses exige reconstruir sua geometria e resolver o problema em duas etapas, o equilíbrio estático, que dimensiona a compensação de gravidade, e a dinâmica multicorpos, que expõe inércia, forças de Coriolis e atrito durante o movimento real.</w:t>
      </w:r>
    </w:p>
    <w:p w14:paraId="7AF96914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Este trabalho trata dessa lacuna: modelar e simular, de forma integrada, o comportamento estático e dinâmico de mecanismos passivos de apoio ao braço reconstruídos a partir de suas patentes, usando formulações amplamente conhecidas como a formulação de Lagrange e parâmetros antropométricos de referência.</w:t>
      </w:r>
    </w:p>
    <w:p w14:paraId="4D4113AF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1.1 Objetivos</w:t>
      </w:r>
    </w:p>
    <w:p w14:paraId="549CFE4F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1.1.1 Objetivo geral</w:t>
      </w:r>
    </w:p>
    <w:p w14:paraId="25D4FF75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Modelar e simular o comportamento estático e dinâmico de mecanismos passivos de apoio ao braço descritos em patentes, tomando como caso de referência o gerador de torque de mola da US 9.889.554 </w:t>
        <w:lastRenderedPageBreak/>
        <w:t>B2, US 9.737.374 B2 e da EP 3 504 033 B1 e comparar o torque entregue pelo mecanismo ao torque gravitacional do conjunto braço–exoesqueleto ao longo da faixa de elevação.</w:t>
      </w:r>
    </w:p>
    <w:p w14:paraId="7758EE69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1.1.2 Objetivos específicos</w:t>
      </w:r>
    </w:p>
    <w:p w14:paraId="29BF3A37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a) reconstruir em CAD a geometria do gerador de torque a partir dos desenhos da patente e extrair massa, centro de massa e momentos de inércia de cada peça;</w:t>
      </w:r>
    </w:p>
    <w:p w14:paraId="2829246D" w14:textId="77777777" w:rsidR="00FD1B34" w:rsidRPr="00955B75" w:rsidRDefault="003B1183">
      <w:pPr>
        <w:rPr>
          <w:lang w:val="pt-BR"/>
        </w:rPr>
      </w:pPr>
      <w:r>
        <w:rPr>
          <w:lang w:val="pt-BR"/>
        </w:rPr>
        <w:t>b) estimar os parâmetros inerciais de braço, antebraço e mão segundo de Leva (1996) e transportá-los ao eixo da junta pelo teorema dos eixos paralelos;</w:t>
      </w:r>
    </w:p>
    <w:p w14:paraId="4D673846" w14:textId="77777777" w:rsidR="00FD1B34" w:rsidRPr="00955B75" w:rsidRDefault="003B1183">
      <w:pPr>
        <w:rPr>
          <w:lang w:val="pt-BR"/>
        </w:rPr>
      </w:pPr>
      <w:r>
        <w:rPr>
          <w:lang w:val="pt-BR"/>
        </w:rPr>
        <w:t>c) formular a cinemática de circuito fechado do mecanismo, obtendo o comprimento do cabo, a condição de tangência na polia, o braço de momento e o torque em função do ângulo;</w:t>
      </w:r>
    </w:p>
    <w:p w14:paraId="0BE6A4A2" w14:textId="77777777" w:rsidR="00FD1B34" w:rsidRPr="00955B75" w:rsidRDefault="003B1183">
      <w:pPr>
        <w:rPr>
          <w:lang w:val="pt-BR"/>
        </w:rPr>
      </w:pPr>
      <w:r>
        <w:rPr>
          <w:lang w:val="pt-BR"/>
        </w:rPr>
        <w:t>d) identificar, por mínimos quadrados e sob restrições geométricas declaradas, os parâmetros que a patente não informa — posição da ancoragem, comprimento livre e rigidez da mola e calibração angular;</w:t>
      </w:r>
    </w:p>
    <w:p w14:paraId="2A468E1B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e) calcular, de forma independente da cadeia do cabo, o torque gravitacional do conjunto braço–exoesqueleto e confrontar as duas curvas ao longo da faixa de elevação;</w:t>
      </w:r>
    </w:p>
    <w:p w14:paraId="6FC65E93" w14:textId="77777777" w:rsidR="00FD1B34" w:rsidRPr="00955B75" w:rsidRDefault="003B1183">
      <w:pPr>
        <w:rPr>
          <w:lang w:val="pt-BR"/>
        </w:rPr>
      </w:pPr>
      <w:r>
        <w:rPr>
          <w:lang w:val="pt-BR"/>
        </w:rPr>
        <w:t>f) obter a equação de movimento pela formulação de Lagrange e integrá-la numericamente, avaliando a resposta sob velocidades e acelerações transitórias;</w:t>
      </w:r>
    </w:p>
    <w:p w14:paraId="28271328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g) acoplar o modelo ao MBDyn por meio de força estrutural externa, com troca de dados via </w:t>
      </w:r>
      <w:r>
        <w:rPr>
          <w:i/>
          <w:lang w:val="pt-BR"/>
        </w:rPr>
        <w:t>socket</w:t>
      </w:r>
      <w:r>
        <w:rPr>
          <w:lang w:val="pt-BR"/>
        </w:rPr>
        <w:t xml:space="preserve">, para a simulação multicorpos do conjunto humano–exoesqueleto.</w:t>
      </w:r>
    </w:p>
    <w:p w14:paraId="7E16B2C7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1.2 Justificativa</w:t>
      </w:r>
    </w:p>
    <w:p w14:paraId="47D586E9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auxílio de um exoesqueleto passivo depende apenas da geometria e da mola, parâmetros que são definidos durante o projeto e inalteráveis após a manufatura do modelo. Um modelo confiável permite estudar rigidez, pré-carga e posição dos suportes antes do protótipo físico, quando mudar ainda é barato, e permite comparar mecanismos concorrentes sobre a mesma base quantitativa — algo que as patentes, por si, não oferecem.</w:t>
      </w:r>
    </w:p>
    <w:p w14:paraId="65A573FB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escolha de ferramentas livres, Python e MBDyn, torna o modelo reprodutível por outros grupos e extensível a sistemas multicorpos mais completos. E o tema tem endereço local: as lesões de ombro continuam entre as principais causas de afastamento no país, em setores que concentram trabalho acima da cabeça.</w:t>
      </w:r>
    </w:p>
    <w:p w14:paraId="175F4E23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 FUNDAMENTAÇÃO TEÓRICA</w:t>
      </w:r>
    </w:p>
    <w:p w14:paraId="3E45420C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2.1 Carga do ombro no trabalho acima da cabeça</w:t>
      </w:r>
    </w:p>
    <w:p w14:paraId="02039C15" w14:textId="77777777" w:rsidR="00FD1B34" w:rsidRPr="00955B75" w:rsidRDefault="003B1183">
      <w:pPr>
        <w:rPr>
          <w:lang w:val="pt-BR"/>
        </w:rPr>
      </w:pPr>
      <w:r>
        <w:rPr>
          <w:lang w:val="pt-BR"/>
        </w:rPr>
        <w:t>Durante atividades que exigem a manutenção dos braços elevados, o sistema musculoesquelético é submetido a demandas intensas de torque articular (MOELLER et al., 2022; PERRY; ROSEN; BURNS, 2007). A contração dos músculos flexores e abdutores para vencer a gravidade induz à fadiga precoce e eleva o risco de Distúrbios Osteomusculares Relacionados ao Trabalho (DORT).</w:t>
      </w:r>
    </w:p>
    <w:p w14:paraId="5F877D4F" w14:textId="77777777" w:rsidR="00FD1B34" w:rsidRPr="00955B75" w:rsidRDefault="003B1183">
      <w:pPr>
        <w:rPr>
          <w:lang w:val="pt-BR"/>
        </w:rPr>
      </w:pPr>
      <w:r>
        <w:rPr>
          <w:lang w:val="pt-BR"/>
        </w:rPr>
        <w:lastRenderedPageBreak/>
        <w:t xml:space="preserve">A evidência epidemiológica disponível indica relação dose-dependente entre a exposição postural e o desfecho clínico. A meta-análise de van der Molen et al. (2017) atribui à elevação de braços e mãos a duplicação do risco de distúrbios específicos do ombro, enquanto Seidler et al. (2020) quantificam acréscimo de 21% no risco a cada mil horas acumuladas de trabalho com as mãos acima da linha dos ombros — faixa angular na qual se intensifica a compressão subacromial sobre os tendões do manguito rotador.</w:t>
      </w:r>
    </w:p>
    <w:p w14:paraId="6BDF3BEE" w14:textId="77777777" w:rsidR="00FD1B34" w:rsidRPr="00955B75" w:rsidRDefault="003B1183">
      <w:pPr>
        <w:rPr>
          <w:lang w:val="pt-BR"/>
        </w:rPr>
      </w:pPr>
      <w:r>
        <w:rPr>
          <w:lang w:val="pt-BR"/>
        </w:rPr>
        <w:t>O torque exigido do ombro depende do ângulo de elevação (</w:t>
      </w:r>
      <w:r>
        <w:t>θ</w:t>
      </w:r>
      <w:r>
        <w:rPr>
          <w:lang w:val="pt-BR"/>
        </w:rPr>
        <w:t xml:space="preserve">). Sob condições estáticas ou semiestáticas, o momento gravitacional sobre o conjunto braço–antebraço varia proporcionalmente ao seno do ângulo articular, com pico quando o segmento fica perpendicular ao vetor da gravidade, a 90° de elevação (GRAZI et al., 2020; PALAZZI et al., 2022). É esse perfil que qualquer dispositivo de apoio precisa acompanhar.</w:t>
      </w:r>
    </w:p>
    <w:p w14:paraId="6E0B1072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2.2 Exoesqueletos de membro superior</w:t>
      </w:r>
    </w:p>
    <w:p w14:paraId="3982D056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Avanços na robótica e na biomecânica aceleraram o desenvolvimento de exoesqueletos que interagem com a estrutura musculoesquelética humana (GULL; BAI; BAK, 2020). Na reabilitação, apoiam pacientes com sequelas neurológicas, como as do Acidente Vascular Cerebral (BARSOTTI et al., 2015; BOUTERAA; BEN ABDALLAH, 2016; ZEIAEE et al., 2017); na indústria, reduzem a sobrecarga física de trabalhadores (MOELLER et al., 2022; SPADA et al., 2017).</w:t>
      </w:r>
    </w:p>
    <w:p w14:paraId="6A7F54DF" w14:textId="77777777" w:rsidR="00FD1B34" w:rsidRPr="00BE1C36" w:rsidRDefault="003B1183">
      <w:pPr>
        <w:rPr>
          <w:lang w:val="pt-BR"/>
        </w:rPr>
      </w:pPr>
      <w:r>
        <w:rPr>
          <w:lang w:val="pt-BR"/>
        </w:rPr>
        <w:t xml:space="preserve">Quanto à fonte de energia empregada, tais dispositivos classificam-se em ativos, que incorporam atuadores, sensores e malhas de controle (PERRY; ROSEN; BURNS, 2007; RAHMAN et al., 2015); passivos, que armazenam e restituem energia por meio de elementos elásticos, sem qualquer fonte externa de potência; e semipassivos, que regulam mecanicamente o nível de assistência sem, contudo, injetar energia no movimento (GRAZI et al., 2020). No contexto ocupacional de apoio ao ombro, as arquiteturas passivas predominam, e o estado da arte, os desafios abertos e as direções futuras de pesquisa desse grupo encontram-se sistematizados por Reyes et al. (2023).</w:t>
      </w:r>
    </w:p>
    <w:p w14:paraId="31E7E2D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No caso dos dispositivos ativos, o desempenho é condicionado tanto pela arquitetura mecânica quanto pela instrumentação responsável por estimar a intenção de movimento do usuário. Atia et al. (2018) acompanham a cinemática do braço por unidades inerciais em protótipo de baixo custo, ao passo que Obukhov et al. (2025) recorrem à fusão de eletromiografia, unidades inerciais e rastreadores de realidade virtual para classificar a atividade motora que comanda o exoesqueleto. Tal aparato instrumental inexiste nos dispositivos passivos, nos quais a assistência fica integralmente determinada na etapa de projeto do mecanismo — circunstância que confere ao modelo preditivo um peso que ele não teria em um sistema controlado.</w:t>
      </w:r>
    </w:p>
    <w:p w14:paraId="27F697FE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Entre os passivos destinados ao levantamento de cargas, Ning et al. (2023) organizam a estrutura em módulos de braço, ombro e costas e dimensionam o conjunto a partir da tração da mola. Os efeitos documentados pela literatura experimental apresentam direção consistente, porém magnitude variável: a meta-análise de Bär et al. (2021) reúne as reduções de esforço físico agudo associadas ao uso de exoesqueletos ocupacionais, e Moeller et al. (2022) registram diminuição da atividade de deltoide e trapézio na maioria dos 35 estudos revisados, acompanhada, entretanto, de efeitos indesejados quando o ajuste do dispositivo não corresponde à tarefa executada.</w:t>
      </w:r>
    </w:p>
    <w:p w14:paraId="3A31BA19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lastRenderedPageBreak/>
        <w:t>2.3 Compensação de gravidade em mecanismos passivos</w:t>
      </w:r>
    </w:p>
    <w:p w14:paraId="20BD2E38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compensação de gravidade constitui problema clássico da síntese de mecanismos. Arakelian (2016) sistematiza as soluções em três grupos, definidos pela natureza da força compensadora — contrapesos, molas ou força ativa proveniente de atuador auxiliar —, e Nguyen (2026) atualiza o panorama das alternativas estritamente passivas e de seus limites de aplicação. Em exoesqueletos vestíveis, a inviabilidade do contrapeso impõe o predomínio da solução elástica, quase sempre associada a cabos, polias ou cames encarregados de moldar a curva de torque; nessa linha, Ning et al. (2022) projetam o perfil da came a partir do módulo de armazenamento de energia da mola e validam o resultado por eletromiografia.</w:t>
      </w:r>
    </w:p>
    <w:p w14:paraId="14A2EBB8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 patente US 9.889.554 B2 (VAN ENGELHOVEN; KAZEROONI, 2018) descreve arranjo dessa natureza: um elo proximal, solidário a uma base fixada ao tronco, articula-se com um elo distal que acompanha o braço, e um gerador de força de tração, constituído por mola e cabo tensionado sobre uma polia, produz o torque de apoio. Abaixo de um ângulo de transição (</w:t>
      </w:r>
      <w:r>
        <w:rPr>
          <w:i/>
          <w:lang w:val="pt-BR"/>
        </w:rPr>
        <w:t xml:space="preserve">toggle angle</w:t>
      </w:r>
      <w:r>
        <w:rPr>
          <w:lang w:val="pt-BR"/>
        </w:rPr>
        <w:t>), uma protuberância situada junto à junta restringe a mola, de modo que o torque decai a valor residual e o membro recupera liberdade de movimento. A patente EP 3 504 033 B1 (OTTOBOCK, 2023), por sua vez, endereça o mesmo problema por caminho construtivo distinto, transmitindo a força de um atuador passivo por meio de elemento rígido apoiado na pelve.</w:t>
      </w:r>
    </w:p>
    <w:p w14:paraId="4939AF5C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Em ambos os documentos, contudo, as figuras exibem apenas a forma dos perfis de torque, desprovidas de escala nos eixos, o que inviabiliza o aproveitamento direto dos dados publicados e motiva a reconstrução geométrica adotada neste trabalho.</w:t>
      </w:r>
    </w:p>
    <w:p w14:paraId="45093B22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2.4 Curva torque × ângulo e ajuste ao perfil gravitacional</w:t>
      </w:r>
    </w:p>
    <w:p w14:paraId="0E2E519C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mapeamento da curva torque × ângulo gerada pelo mecanismo permite alinhar o perfil de suporte elástico à curva anatômica de carga do braço, otimizando a entrega de torque nas posições de maior exigência (NING et al., 2022; OKABE et al., 2025). Palazzi et al. (2022) mostram, em um exoesqueleto balanceado por gravidade, redução de 89% no torque de pico do ombro quando esse ajuste é bem resolvido.</w:t>
      </w:r>
    </w:p>
    <w:p w14:paraId="21FD8160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ajuste, entretanto, encontra limite intrínseco à natureza passiva do dispositivo. Nasr, Ferguson e McPhee (2022) otimizam mecanismos passivos de ombro mediante simulação dinâmica inversa e equações algébrico-diferenciais e concluem que um mecanismo dessa classe entrega torque específico para cada ângulo de elevação, condição que o torna adequado a uma tarefa e inadequado às demais. Daí decorrem as soluções semipassivas de assistência regulável (GRAZI et al., 2020) e as configurações ativo-passivas (NASR; BELL; McPHEE, 2023); na primeira direção, Grazi et al. (2022) regulam o nível de assistência em tempo real a partir dos sinais cinemáticos captados pelos próprios sensores embarcados no dispositivo.</w:t>
      </w:r>
    </w:p>
    <w:p w14:paraId="15590017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2.5 Compatibilidade cinemática e forças de interface</w:t>
      </w:r>
    </w:p>
    <w:p w14:paraId="12653F63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membro superior tem arquitetura anatômica complexa, com destaque para o complexo do ombro, modelável como junta de três graus de rotação cujo centro glenoumeral se desloca durante a elevação do braço (GOPURA; KIGUCHI, 2009; SHEN et al., 2020). Os desalinhamentos entre os eixos de rotação da estrutura e as articulações biológicas geram hiperestaticidade e, com ela, forças parasitas de </w:t>
        <w:lastRenderedPageBreak/>
        <w:t>cisalhamento e pressão excessiva nos apoios de fixação, comprometendo conforto e eficiência (ZEIAEE et al., 2017).</w:t>
      </w:r>
    </w:p>
    <w:p w14:paraId="513D61F3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Näf et al. (2018) revisam nove categorias de estratégias de compensação de desalinhamento e as avaliam segundo o domínio de aplicação e os requisitos específicos de cada um, ao passo que Yoon et al. (2022) demonstram que a otimização da posição das juntas de um exoesqueleto de ombro reduz simultaneamente a força de interação e o volume ocupado pela estrutura. Tais forças de contato constituem, precisamente, uma das grandezas de saída que o modelo desenvolvido neste trabalho se propõe a estimar.</w:t>
      </w:r>
    </w:p>
    <w:p w14:paraId="3AE38ED4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 xml:space="preserve">2.6 Modelagem dinâmica multicorpos</w:t>
      </w:r>
    </w:p>
    <w:p w14:paraId="46EB35E7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 análise de equilíbrio estático dimensiona a compensação de gravidade (PALAZZI et al., 2022), mas durante o movimento real ela é sobreposta por componentes dinâmicas: matriz de inércia M(</w:t>
      </w:r>
      <w:r>
        <w:t>θ</w:t>
      </w:r>
      <w:r>
        <w:rPr>
          <w:lang w:val="pt-BR"/>
        </w:rPr>
        <w:t>), forças de Coriolis e centrífugas C(</w:t>
      </w:r>
      <w:r>
        <w:t>θ</w:t>
      </w:r>
      <w:r>
        <w:rPr>
          <w:lang w:val="pt-BR"/>
        </w:rPr>
        <w:t>,</w:t>
      </w:r>
      <w:r>
        <w:t>θ</w:t>
      </w:r>
      <w:r>
        <w:rPr>
          <w:lang w:val="pt-BR"/>
        </w:rPr>
        <w:t>'), atrito articular não linear com folga (</w:t>
      </w:r>
      <w:r>
        <w:rPr>
          <w:i/>
          <w:lang w:val="pt-BR"/>
        </w:rPr>
        <w:t>backlash</w:t>
      </w:r>
      <w:r>
        <w:rPr>
          <w:lang w:val="pt-BR"/>
        </w:rPr>
        <w:t xml:space="preserve">) e histerese nos mecanismos de transmissão (RAHMAN et al., 2015; WANG et al., 2022). Daí a necessidade de estender o modelo a uma análise multicorpos, pela formulação de Euler-Lagrange ou por equações algébrico-diferenciais, avaliando o comportamento sob velocidades e acelerações transitórias.</w:t>
      </w:r>
    </w:p>
    <w:p w14:paraId="487FC56B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Os parâmetros inerciais dos segmentos corporais que alimentam essa formulação provêm de tabelas antropométricas: de Leva (1996) ajusta os valores de Zatsiorsky e Seluyanov aos centros articulares, procedimento que viabiliza o transporte de massa e momentos de inércia ao eixo da junta do exoesqueleto pelo teorema dos eixos paralelos.</w:t>
      </w:r>
    </w:p>
    <w:p w14:paraId="68C5864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MBDyn, programa livre de dinâmica multicorpos desenvolvido no Politecnico di Milano, integra sistemas dessa natureza segundo a formulação apresentada por Masarati, Morandini e Mantegazza (2014) e admite forças externas trocadas por </w:t>
      </w:r>
      <w:r>
        <w:rPr>
          <w:i/>
          <w:lang w:val="pt-BR"/>
        </w:rPr>
        <w:t>socket</w:t>
      </w:r>
      <w:r>
        <w:rPr>
          <w:lang w:val="pt-BR"/>
        </w:rPr>
        <w:t xml:space="preserve">, o que viabiliza o acoplamento com um modelo implementado em Python. Trabalhos recentes percorrem esse caminho: Nasr, Ferguson e McPhee (2022) e Nasr, Bell e McPhee (2023) modelam o conjunto humano–exoesqueleto como cadeia cinemática fechada, enquanto Musso, Oliveira e Bai (2022) descrevem matematicamente um exoesqueleto passivo não rígido e o avaliam por simulação musculoesquelética.</w:t>
      </w:r>
    </w:p>
    <w:p w14:paraId="7CBDBEB6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2.7 Arquiteturas passivas de apoio ao ombro</w:t>
      </w:r>
    </w:p>
    <w:p w14:paraId="164A59A9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Três arquiteturas comerciais consolidaram soluções distintas para esse mesmo problema. O shoulderX, desenvolvido na Universidade da Califórnia em Berkeley, gera o torque por conjunto mola–cabo–polia montado entre um elo proximal e um elo distal: a mola traciona um cabo que contorna a polia solidária ao elo distal, e uma protuberância junto à junta restringe o gerador de força além do ângulo de transição, instaurando a zona neutra em que o torque é praticamente nulo com o braço baixado (VAN ENGELHOVEN; KAZEROONI, 2018).</w:t>
      </w:r>
    </w:p>
    <w:p w14:paraId="3D5E6084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Airframe, da Levitate Technologies, adota sistema adaptativo de apoio no qual o elemento elástico é progressivamente engajado à medida que o braço se eleva, transferindo-se a carga ao tronco e à cintura pélvica (DOYLE, 2017). Já o Paexo, da Ottobock, emprega elemento elástico atuando sobre braço de alavanca ajustável, de modo que o suporte é máximo com o braço próximo da horizontal e se anula com o braço junto ao corpo (OTTOBOCK, 2023). Apesar das diferenças construtivas, as três soluções perseguem idêntico objetivo funcional: sintetizar, por meio da geometria e de um único elemento </w:t>
        <w:lastRenderedPageBreak/>
        <w:t>elástico, perfil de torque que acompanhe o momento gravitacional do membro superior ao longo da elevação.</w:t>
      </w:r>
    </w:p>
    <w:p w14:paraId="68A983A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avaliação experimental desses dispositivos evidencia, contudo, que o ganho não é automático. Kim et al. (2018a) relatam redução de até 45% no pico de atividade muscular do ombro em tarefas simuladas de furar e montar acima da cabeça, acompanhada de queda no tempo de execução e de aumento no número de erros; em trabalho complementar, os mesmos autores documentam efeitos não previstos sobre a cinemática do ombro, o equilíbrio postural e a carga na coluna (KIM et al., 2018b). A leitura de projeto que daí decorre é direta: o benefício depende menos da magnitude do torque fornecido do que de sua distribuição angular, o que converte o requisito de projeto em uma curva </w:t>
      </w:r>
      <w:r>
        <w:t>τ</w:t>
      </w:r>
      <w:r>
        <w:rPr>
          <w:lang w:val="pt-BR"/>
        </w:rPr>
        <w:t>(</w:t>
      </w:r>
      <w:r>
        <w:t>θ</w:t>
      </w:r>
      <w:r>
        <w:rPr>
          <w:lang w:val="pt-BR"/>
        </w:rPr>
        <w:t>), e não em valor isolado de torque máximo.</w:t>
      </w:r>
    </w:p>
    <w:p w14:paraId="4A2CF72F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2.8 Balanceamento estático por molas</w:t>
      </w:r>
    </w:p>
    <w:p w14:paraId="3A13AB87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síntese de um perfil de torque por meio de molas dispõe de base teórica consolidada. Herder (2001) formaliza os sistemas de energia nula, nos quais a soma das energias potenciais gravitacional e elástica permanece constante em toda a faixa de movimento, e demonstra que o balanceamento perfeito exige molas de comprimento livre nulo, obtidas na prática por arranjos de cabo e polia.</w:t>
      </w:r>
    </w:p>
    <w:p w14:paraId="1FA831A3" w14:textId="77777777" w:rsidR="00FD1B34" w:rsidRPr="00955B75" w:rsidRDefault="003B1183">
      <w:pPr>
        <w:rPr>
          <w:lang w:val="pt-BR"/>
        </w:rPr>
      </w:pPr>
      <w:r>
        <w:rPr>
          <w:lang w:val="pt-BR"/>
        </w:rPr>
        <w:t>Wu, Wang e Du (2016) aplicam o princípio a um exoesqueleto de membro superior e relatam redução de 34,6% no consumo de potência em relação à configuração não balanceada. Em exoesqueletos vestíveis, porém, o balanceamento perfeito não constitui o alvo: as restrições de empacotamento, o curso admissível da mola e a exigência de anular o suporte com o braço baixado convertem o problema em exercício de projeto restrito, no qual se busca a melhor aproximação de um perfil desejado dentro de limites construtivos, e não a compensação integral do peso. Por essa razão, o torque de um mecanismo passivo resulta do produto entre a força elástica, função da extensão da mola, e o braço de momento do cabo, ambos dependentes da configuração de forma não linear.</w:t>
      </w:r>
    </w:p>
    <w:p w14:paraId="1284FAA8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2.9 Parâmetros inerciais do membro superior e transporte de eixos</w:t>
      </w:r>
    </w:p>
    <w:p w14:paraId="1290BA9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cálculo do torque gravitacional e das equações de movimento pressupõe o conhecimento da massa, da posição do centro de massa e dos momentos de inércia de braço, antebraço e mão. De Leva (1996) ajusta os dados de Zatsiorsky e Seluyanov, obtidos por varredura de raios gama, de modo que as posições de centro de massa e os raios de giração fiquem referenciados aos centros articulares usualmente adotados em biomecânica, e não aos marcos ósseos originais. Os valores são expressos como frações da massa corporal total e do comprimento do segmento, o que permite escalar o modelo para o indivíduo de referência adotado.</w:t>
      </w:r>
    </w:p>
    <w:p w14:paraId="555368EE" w14:textId="77777777" w:rsidR="00FD1B34" w:rsidRPr="00955B75" w:rsidRDefault="003B1183">
      <w:pPr>
        <w:rPr>
          <w:lang w:val="pt-BR"/>
        </w:rPr>
      </w:pPr>
      <w:r>
        <w:rPr>
          <w:lang w:val="pt-BR"/>
        </w:rPr>
        <w:t>Como tais parâmetros são fornecidos no centro de massa de cada segmento, sua transposição ao eixo da junta do exoesqueleto demanda o teorema dos eixos paralelos, segundo o qual o momento de inércia em eixo paralelo corresponde à soma do momento no centro de massa com o produto da massa pelo quadrado da distância entre os eixos. Cabe distinguir, nesse ponto, as duas grandezas que o procedimento alimenta: o momento estático do peso, dependente apenas da massa e do braço horizontal do centro de gravidade, e o momento de inércia, que descreve a resistência à aceleração angular e comparece exclusivamente na análise dinâmica.</w:t>
      </w:r>
    </w:p>
    <w:p w14:paraId="7BED5B22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lastRenderedPageBreak/>
        <w:t>2.10 Identificação de parâmetros a partir de curvas publicadas</w:t>
      </w:r>
    </w:p>
    <w:p w14:paraId="5BCE1E09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Quando os parâmetros construtivos não são divulgados pelo fabricante, resta identificá-los a partir daquilo que a patente efetivamente publica. As curvas de torque dessas fontes são, em geral, qualitativas: a ordenada aparece rotulada apenas como torque, sem unidade declarada, circunstância que permite ajustar a forma do perfil, mas não convertê-lo em newton-metro sem dado adicional documentado.</w:t>
      </w:r>
    </w:p>
    <w:p w14:paraId="0D6334B0" w14:textId="77777777" w:rsidR="00FD1B34" w:rsidRPr="00955B75" w:rsidRDefault="003B1183">
      <w:pPr>
        <w:rPr>
          <w:lang w:val="pt-BR"/>
        </w:rPr>
      </w:pPr>
      <w:r>
        <w:rPr>
          <w:lang w:val="pt-BR"/>
        </w:rPr>
        <w:t>O procedimento usual consiste no ajuste por mínimos quadrados dos parâmetros desconhecidos contra os pontos extraídos da curva, sob restrições geométricas e de projeto explicitadas, avaliado por indicadores como a raiz do erro quadrático médio e o coeficiente de determinação. Dois cuidados distinguem um ajuste defensável de um exercício circular: a separação entre a etapa de identificação e a etapa de uso, com o congelamento dos parâmetros antes da avaliação do modelo, e a classificação de cada grandeza quanto à origem — medida, de literatura, identificada, derivada ou assumida — de modo que nenhum parâmetro ajustado seja apresentado como medida.</w:t>
      </w:r>
    </w:p>
    <w:p w14:paraId="31E8E941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2.11 Lacuna</w:t>
      </w:r>
    </w:p>
    <w:p w14:paraId="4F49279F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literatura revisada avalia, predominantemente, dispositivos já construídos, por meio de eletromiografia e questionários, ou otimiza mecanismos concebidos pelos próprios autores. Configura-se, assim, a ausência de uma comparação quantitativa entre os mecanismos passivos que efetivamente alcançaram o mercado, construída a partir da documentação pública de patente e conduzida do equilíbrio estático até a dinâmica multicorpos. É essa a contribuição pretendida pelo presente trabalho.</w:t>
      </w:r>
    </w:p>
    <w:p w14:paraId="4481E3C4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 MATERIAIS E MÉTODOS</w:t>
      </w:r>
    </w:p>
    <w:p w14:paraId="460BAA59" w14:textId="77777777" w:rsidR="009C1161" w:rsidRDefault="003B1183">
      <w:pPr>
        <w:rPr>
          <w:lang w:val="pt-BR"/>
        </w:rPr>
      </w:pPr>
      <w:r>
        <w:rPr>
          <w:lang w:val="pt-BR"/>
        </w:rPr>
        <w:t>O trabalho é teórico-computacional. O procedimento parte da reconstrução geométrica do mecanismo e chega ao torque estático que ele entrega em função do ângulo, passando pela identificação dos parâmetros que a patente não publica. Ele foi concebido para os geradores de torque da US 9.889.554 B2, da US 9.737.374 B2 e da EP 3 504 033 B1, mas, nesta etapa do trabalho, foi executado apenas para o gerador de torque da US 9.889.554 B2, ao qual se referem todas as equações deste capítulo e todos os resultados do capítulo 4.</w:t>
      </w:r>
    </w:p>
    <w:p w14:paraId="4892F17F" w14:textId="77777777" w:rsidR="009C1161" w:rsidRDefault="003B1183">
      <w:pPr>
        <w:rPr>
          <w:lang w:val="pt-BR"/>
        </w:rPr>
      </w:pPr>
      <w:r>
        <w:rPr>
          <w:lang w:val="pt-BR"/>
        </w:rPr>
        <w:t>Cada grandeza empregada é classificada quanto à origem: medida no modelo em CAD, obtida da literatura, documental (lida em desenho ou documento, sem verificação independente), identificada por ajuste à curva da patente, derivada pelo modelo ou assumida como hipótese. A classificação impede que um parâmetro ajustado seja apresentado como medida e que uma hipótese de projeto seja apresentada como lei física.</w:t>
      </w:r>
    </w:p>
    <w:p w14:paraId="484774D2" w14:textId="77777777" w:rsidR="009C1161" w:rsidRDefault="003B1183">
      <w:pPr>
        <w:rPr>
          <w:lang w:val="pt-BR"/>
        </w:rPr>
      </w:pPr>
      <w:r>
        <w:rPr>
          <w:lang w:val="pt-BR"/>
        </w:rPr>
        <w:t>A cadeia de cálculo descrita nas seções 3.3 a 3.8 está implementada no arquivo torque_model.py, que contém os parâmetros congelados e não executa ajuste algum. Os números e as figuras do capítulo 4 são produzidos pelo script tcc_resultados.py, que importa esse modelo e chama suas funções com a posição da ancoragem sempre explícita, sem alterar nenhum parâmetro.</w:t>
      </w:r>
    </w:p>
    <w:p w14:paraId="78597467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 Reconstrução geométrica em CAD</w:t>
      </w:r>
    </w:p>
    <w:p w14:paraId="1AD384A3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geometria do mecanismo foi reconstruída no Autodesk Fusion sobre os desenhos da patente, em especial a vista em corte do gerador de torque e o esquema simplificado que define o ângulo entre os </w:t>
        <w:lastRenderedPageBreak/>
        <w:t>elos e as distâncias características. Como as figuras de patente não são cotadas, o modelo foi escalado por um fator único, fixado pela razão entre o comprimento do elo distal reconstruído e o comprimento de segmento do indivíduo de referência.</w:t>
      </w:r>
    </w:p>
    <w:p w14:paraId="3F942660" w14:textId="77777777" w:rsidR="009C1161" w:rsidRDefault="003B1183">
      <w:pPr>
        <w:rPr>
          <w:lang w:val="pt-BR"/>
        </w:rPr>
      </w:pPr>
      <w:r>
        <w:rPr>
          <w:lang w:val="pt-BR"/>
        </w:rPr>
        <w:t xml:space="preserve">Da reconstrução saem as grandezas geométricas do mecanismo — distância do pivô ao centro do tambor, raio do tambor, componentes do vetor que liga o pivô à ancoragem do cabo e defasagem angular do desenho —, a pose de referência, com o respectivo comprimento da mola. O mesmo modelo fornece massa, posição do centro de massa e momento de inércia de cada peça do exoesqueleto. Por dependerem do fator de escala e da interpretação de desenhos não cotados, essas grandezas são classificadas como medidas em CAD, e não como dimensões do dispositivo comercial.</w:t>
      </w:r>
    </w:p>
    <w:p w14:paraId="3190FD74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3.2 Parâmetros inerciais do membro e transporte ao eixo da junta</w:t>
      </w:r>
    </w:p>
    <w:p w14:paraId="2258170C" w14:textId="709982E4" w:rsidR="009C1161" w:rsidRDefault="003B1183">
      <w:pPr>
        <w:rPr>
          <w:lang w:val="pt-BR"/>
        </w:rPr>
      </w:pPr>
      <w:r>
        <w:rPr>
          <w:lang w:val="pt-BR"/>
        </w:rPr>
        <w:t xml:space="preserve">Massa, posição do centro de massa e raios de giro de braço, antebraço e mão foram obtidos das tabelas de de Leva (1996) para o indivíduo masculino de referência, com o cotovelo estendido. Os momentos de inércia de cada corpo, do membro e das peças do exoesqueleto, foram transportados ao eixo da junta pelo teorema de Steiner: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3838C6C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878DAE9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 w14:paraId="3F72F54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(1)</w:t>
            </w:r>
          </w:p>
        </w:tc>
      </w:tr>
    </w:tbl>
    <w:p w14:paraId="752F01FB" w14:textId="77777777" w:rsidR="009C1161" w:rsidRDefault="003B1183">
      <w:pPr>
        <w:rPr>
          <w:lang w:val="pt-BR"/>
        </w:rPr>
      </w:pPr>
      <w:r>
        <w:rPr>
          <w:lang w:val="pt-BR"/>
        </w:rPr>
        <w:t>em que I</w:t>
      </w:r>
      <w:r>
        <w:rPr>
          <w:vertAlign w:val="subscript"/>
          <w:lang w:val="pt-BR"/>
        </w:rPr>
        <w:t>O</w:t>
      </w:r>
      <w:r>
        <w:rPr>
          <w:lang w:val="pt-BR"/>
        </w:rPr>
        <w:t xml:space="preserve"> é o momento de inércia em relação ao eixo da junta, I</w:t>
      </w:r>
      <w:r>
        <w:rPr>
          <w:vertAlign w:val="subscript"/>
          <w:lang w:val="pt-BR"/>
        </w:rPr>
        <w:t>cm</w:t>
      </w:r>
      <w:r>
        <w:rPr>
          <w:lang w:val="pt-BR"/>
        </w:rPr>
        <w:t xml:space="preserve"> o momento de inércia em relação ao eixo paralelo que passa pelo centro de massa, M a massa e d a distância entre os dois eixos. A composição foi feita em planilha, construída para recalcular o conjunto quando qualquer entrada muda. Conforme a seção 2.9, o momento de inércia não participa do torque estático do peso, que depende apenas da massa e da posição do centro de massa (seção 3.8); ele se destina à etapa dinâmica prevista na seção 3.12.</w:t>
      </w:r>
    </w:p>
    <w:p w14:paraId="276BE8C8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3.3 Referenciais e convenções angulares e de sinal</w:t>
      </w:r>
    </w:p>
    <w:p w14:paraId="71CDF80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mecanismo é tratado como plano, com origem O no eixo da junta (pivô). Comprimentos são expressos em milímetros e ângulos em graus na entrada, com uma única conversão para radianos dentro das contas. Quatro ângulos aparecem no cálculo e são mantidos separados, por serem fonte recorrente de erro (Tabela 1). O ângulo interno θ* entre os elos é a variável independente do modelo, e q é sua versão referida ao desenho: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1799A8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05B1074D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r>
                  <w:rPr>
                    <w:rFonts w:ascii="Cambria Math" w:hAnsi="Cambria Math"/>
                    <w:lang w:val="pt-BR"/>
                  </w:rPr>
                  <m:t>α</m:t>
                </m:r>
              </m:oMath>
            </m:oMathPara>
          </w:p>
        </w:tc>
        <w:tc>
          <w:tcPr>
            <w:tcW w:w="900" w:type="dxa"/>
            <w:vAlign w:val="center"/>
          </w:tcPr>
          <w:p w14:paraId="7371D808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(2)</w:t>
            </w:r>
          </w:p>
        </w:tc>
      </w:tr>
    </w:tbl>
    <w:p w14:paraId="612ADF93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θ* e a defasagem angular α do desenho convertidos para radianos. O ângulo φ</w:t>
      </w:r>
      <w:r>
        <w:rPr>
          <w:vertAlign w:val="subscript"/>
          <w:lang w:val="pt-BR"/>
        </w:rPr>
        <w:t>pat</w:t>
      </w:r>
      <w:r>
        <w:rPr>
          <w:lang w:val="pt-BR"/>
        </w:rPr>
        <w:t xml:space="preserve"> da curva publicada na patente, medido a partir da horizontal, e a elevação anatômica do braço, θ</w:t>
      </w:r>
      <w:r>
        <w:rPr>
          <w:vertAlign w:val="subscript"/>
          <w:lang w:val="pt-BR"/>
        </w:rPr>
        <w:t>el</w:t>
      </w:r>
      <w:r>
        <w:rPr>
          <w:lang w:val="pt-BR"/>
        </w:rPr>
        <w:t xml:space="preserve"> (denotada θ na seção 2.1), relacionam-se com θ* por</w:t>
      </w:r>
    </w:p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0606624F" w14:textId="77777777" w:rsidTr="00484427">
        <w:trPr>
          <w:cantSplit/>
          <w:jc w:val="center"/>
        </w:trPr>
        <w:tc>
          <w:tcPr>
            <w:tcW w:w="8460" w:type="dxa"/>
            <w:vAlign w:val="center"/>
          </w:tcPr>
          <w:p w14:paraId="44CFE7D7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pat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76FDE9F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(3)</w:t>
            </w:r>
          </w:p>
        </w:tc>
      </w:tr>
      <w:tr w:rsidR="009C1161" w14:paraId="1F06BFCE" w14:textId="77777777" w:rsidTr="00484427">
        <w:trPr>
          <w:cantSplit/>
          <w:jc w:val="center"/>
        </w:trPr>
        <w:tc>
          <w:tcPr>
            <w:tcW w:w="8460" w:type="dxa"/>
            <w:vAlign w:val="center"/>
          </w:tcPr>
          <w:p w14:paraId="3DF62A9F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el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+90°=223,017°-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 w14:paraId="27CDD8E6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(4)</w:t>
            </w:r>
          </w:p>
        </w:tc>
      </w:tr>
    </w:tbl>
    <w:p w14:paraId="60F909E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θ</w:t>
      </w:r>
      <w:r>
        <w:rPr>
          <w:vertAlign w:val="subscript"/>
          <w:lang w:val="pt-BR"/>
        </w:rPr>
        <w:t>off</w:t>
      </w:r>
      <w:r>
        <w:rPr>
          <w:lang w:val="pt-BR"/>
        </w:rPr>
        <w:t xml:space="preserve"> = 133,017° é a calibração angular identificada (seção 3.9). A faixa da patente, φ</w:t>
      </w:r>
      <w:r>
        <w:rPr>
          <w:vertAlign w:val="subscript"/>
          <w:lang w:val="pt-BR"/>
        </w:rPr>
        <w:t>pat</w:t>
      </w:r>
      <w:r>
        <w:rPr>
          <w:lang w:val="pt-BR"/>
        </w:rPr>
        <w:t xml:space="preserve"> de −60° a +90,1°, corresponde a θ* de 42,917° a 193,017° e a elevação de 30° a 180,1°; a elevação cresce quando </w:t>
        <w:lastRenderedPageBreak/>
        <w:t xml:space="preserve">θ* decresce. O ângulo φ</w:t>
      </w:r>
      <w:r>
        <w:rPr>
          <w:vertAlign w:val="subscript"/>
          <w:lang w:val="pt-BR"/>
        </w:rPr>
        <w:t>pat</w:t>
      </w:r>
      <w:r>
        <w:rPr>
          <w:lang w:val="pt-BR"/>
        </w:rPr>
        <w:t xml:space="preserve"> não deve ser confundido com φ, direção da linha do cabo calculada pelo modelo (seção 3.4).</w:t>
      </w:r>
    </w:p>
    <w:p w14:paraId="4CFE4C2B" w14:textId="4EDFEBD9" w:rsidR="009C1161" w:rsidRDefault="003B1183">
      <w:pPr>
        <w:rPr>
          <w:lang w:val="pt-BR"/>
        </w:rPr>
      </w:pPr>
      <w:r>
        <w:rPr>
          <w:lang w:val="pt-BR"/>
        </w:rPr>
        <w:t xml:space="preserve">O torque τ do modelo é positivo no sentido anti-horário, isto é, no sentido de θ* crescente. A patente apresenta o torque do cabo positivo no sentido oposto, em que ele tende a elevar o braço; para uniformizar, a curva calculada comparada à da patente foi adotada −τ.</w:t>
      </w:r>
    </w:p>
    <w:p w14:paraId="52BCF89E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1 — Convenções angulares e de sinal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300"/>
        <w:gridCol w:w="3200"/>
        <w:gridCol w:w="2760"/>
        <w:gridCol w:w="2100"/>
      </w:tblGrid>
      <w:tr w:rsidR="009C1161" w14:paraId="3BE6BED3" w14:textId="77777777">
        <w:trPr>
          <w:cantSplit/>
          <w:tblHeader/>
          <w:jc w:val="center"/>
        </w:trPr>
        <w:tc>
          <w:tcPr>
            <w:tcW w:w="1300" w:type="dxa"/>
            <w:shd w:val="clear" w:color="auto" w:fill="F2F2F2"/>
            <w:vAlign w:val="center"/>
          </w:tcPr>
          <w:p w14:paraId="369AADE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Símbolo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670F1F7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Definição</w:t>
            </w:r>
          </w:p>
        </w:tc>
        <w:tc>
          <w:tcPr>
            <w:tcW w:w="2760" w:type="dxa"/>
            <w:shd w:val="clear" w:color="auto" w:fill="F2F2F2"/>
            <w:vAlign w:val="center"/>
          </w:tcPr>
          <w:p w14:paraId="4A37AF5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Relação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554E678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Uso</w:t>
            </w:r>
          </w:p>
        </w:tc>
      </w:tr>
      <w:tr w:rsidR="009C1161" w:rsidRPr="00F132A8" w14:paraId="74D1DAA3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E33662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θ*</w:t>
            </w:r>
          </w:p>
        </w:tc>
        <w:tc>
          <w:tcPr>
            <w:tcW w:w="3200" w:type="dxa"/>
            <w:vAlign w:val="center"/>
          </w:tcPr>
          <w:p w14:paraId="34E2437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interno do mecanismo, entre os elos</w:t>
            </w:r>
          </w:p>
        </w:tc>
        <w:tc>
          <w:tcPr>
            <w:tcW w:w="2760" w:type="dxa"/>
            <w:vAlign w:val="center"/>
          </w:tcPr>
          <w:p w14:paraId="6743755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Variável independente, em graus</w:t>
            </w:r>
          </w:p>
        </w:tc>
        <w:tc>
          <w:tcPr>
            <w:tcW w:w="2100" w:type="dxa"/>
            <w:vAlign w:val="center"/>
          </w:tcPr>
          <w:p w14:paraId="21F9522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Toda a cadeia de cálculo</w:t>
            </w:r>
          </w:p>
        </w:tc>
      </w:tr>
      <w:tr w:rsidR="009C1161" w14:paraId="5989A1E4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31BDA71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q</w:t>
            </w:r>
          </w:p>
        </w:tc>
        <w:tc>
          <w:tcPr>
            <w:tcW w:w="3200" w:type="dxa"/>
            <w:vAlign w:val="center"/>
          </w:tcPr>
          <w:p w14:paraId="53BED06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θ* referido ao desenho, em radianos</w:t>
            </w:r>
          </w:p>
        </w:tc>
        <w:tc>
          <w:tcPr>
            <w:tcW w:w="2760" w:type="dxa"/>
            <w:vAlign w:val="center"/>
          </w:tcPr>
          <w:p w14:paraId="5A4EC79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Equação (2)</w:t>
            </w:r>
          </w:p>
        </w:tc>
        <w:tc>
          <w:tcPr>
            <w:tcW w:w="2100" w:type="dxa"/>
            <w:vAlign w:val="center"/>
          </w:tcPr>
          <w:p w14:paraId="1B4C4F4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Fechamento do circuito</w:t>
            </w:r>
          </w:p>
        </w:tc>
      </w:tr>
      <w:tr w:rsidR="009C1161" w14:paraId="2D262937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0149EE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φ</w:t>
            </w:r>
          </w:p>
        </w:tc>
        <w:tc>
          <w:tcPr>
            <w:tcW w:w="3200" w:type="dxa"/>
            <w:vAlign w:val="center"/>
          </w:tcPr>
          <w:p w14:paraId="02205C5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Direção da linha de ação do cabo</w:t>
            </w:r>
          </w:p>
        </w:tc>
        <w:tc>
          <w:tcPr>
            <w:tcW w:w="2760" w:type="dxa"/>
            <w:vAlign w:val="center"/>
          </w:tcPr>
          <w:p w14:paraId="2E83EC7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Equação (8)</w:t>
            </w:r>
          </w:p>
        </w:tc>
        <w:tc>
          <w:tcPr>
            <w:tcW w:w="2100" w:type="dxa"/>
            <w:vAlign w:val="center"/>
          </w:tcPr>
          <w:p w14:paraId="16148B0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Tangência, braço e força</w:t>
            </w:r>
          </w:p>
        </w:tc>
      </w:tr>
      <w:tr w:rsidR="009C1161" w14:paraId="0E33EADD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2C07FA2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φ</w:t>
            </w:r>
            <w:r>
              <w:rPr>
                <w:vertAlign w:val="subscript"/>
                <w:lang w:val="pt-BR"/>
              </w:rPr>
              <w:t>pat</w:t>
            </w:r>
          </w:p>
        </w:tc>
        <w:tc>
          <w:tcPr>
            <w:tcW w:w="3200" w:type="dxa"/>
            <w:vAlign w:val="center"/>
          </w:tcPr>
          <w:p w14:paraId="49135A9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da curva publicada, a partir da horizontal</w:t>
            </w:r>
          </w:p>
        </w:tc>
        <w:tc>
          <w:tcPr>
            <w:tcW w:w="2760" w:type="dxa"/>
            <w:vAlign w:val="center"/>
          </w:tcPr>
          <w:p w14:paraId="068833B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θ* = θ</w:t>
            </w:r>
            <w:r>
              <w:rPr>
                <w:vertAlign w:val="subscript"/>
                <w:lang w:val="pt-BR"/>
              </w:rPr>
              <w:t>off</w:t>
            </w:r>
            <w:r>
              <w:rPr>
                <w:lang w:val="pt-BR"/>
              </w:rPr>
              <w:t xml:space="preserve"> − φ</w:t>
            </w:r>
            <w:r>
              <w:rPr>
                <w:vertAlign w:val="subscript"/>
                <w:lang w:val="pt-BR"/>
              </w:rPr>
              <w:t>pat</w:t>
            </w:r>
          </w:p>
        </w:tc>
        <w:tc>
          <w:tcPr>
            <w:tcW w:w="2100" w:type="dxa"/>
            <w:vAlign w:val="center"/>
          </w:tcPr>
          <w:p w14:paraId="3233F46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Leitura da patente</w:t>
            </w:r>
          </w:p>
        </w:tc>
      </w:tr>
      <w:tr w:rsidR="009C1161" w14:paraId="0C051FFF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78C5D2C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el</w:t>
            </w:r>
          </w:p>
        </w:tc>
        <w:tc>
          <w:tcPr>
            <w:tcW w:w="3200" w:type="dxa"/>
            <w:vAlign w:val="center"/>
          </w:tcPr>
          <w:p w14:paraId="5834533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Elevação anatômica do braço</w:t>
            </w:r>
          </w:p>
        </w:tc>
        <w:tc>
          <w:tcPr>
            <w:tcW w:w="2760" w:type="dxa"/>
            <w:vAlign w:val="center"/>
          </w:tcPr>
          <w:p w14:paraId="6A686779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el</w:t>
            </w:r>
            <w:r>
              <w:rPr>
                <w:lang w:val="pt-BR"/>
              </w:rPr>
              <w:t xml:space="preserve"> = φ</w:t>
            </w:r>
            <w:r>
              <w:rPr>
                <w:vertAlign w:val="subscript"/>
                <w:lang w:val="pt-BR"/>
              </w:rPr>
              <w:t>pat</w:t>
            </w:r>
            <w:r>
              <w:rPr>
                <w:lang w:val="pt-BR"/>
              </w:rPr>
              <w:t xml:space="preserve"> + 90°</w:t>
            </w:r>
          </w:p>
        </w:tc>
        <w:tc>
          <w:tcPr>
            <w:tcW w:w="2100" w:type="dxa"/>
            <w:vAlign w:val="center"/>
          </w:tcPr>
          <w:p w14:paraId="425683A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Comparação com o peso</w:t>
            </w:r>
          </w:p>
        </w:tc>
      </w:tr>
      <w:tr w:rsidR="009C1161" w14:paraId="6BF9CDA2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3BA91EF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ψ</w:t>
            </w:r>
          </w:p>
        </w:tc>
        <w:tc>
          <w:tcPr>
            <w:tcW w:w="3200" w:type="dxa"/>
            <w:vAlign w:val="center"/>
          </w:tcPr>
          <w:p w14:paraId="62153BA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entre o cabo e o elo pivô–tambor</w:t>
            </w:r>
          </w:p>
        </w:tc>
        <w:tc>
          <w:tcPr>
            <w:tcW w:w="2760" w:type="dxa"/>
            <w:vAlign w:val="center"/>
          </w:tcPr>
          <w:p w14:paraId="639E344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Equação (15)</w:t>
            </w:r>
          </w:p>
        </w:tc>
        <w:tc>
          <w:tcPr>
            <w:tcW w:w="2100" w:type="dxa"/>
            <w:vAlign w:val="center"/>
          </w:tcPr>
          <w:p w14:paraId="47498ED8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Arco enrolado no tambor</w:t>
            </w:r>
          </w:p>
        </w:tc>
      </w:tr>
      <w:tr w:rsidR="009C1161" w14:paraId="0787EE31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69529F8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τ</w:t>
            </w:r>
          </w:p>
        </w:tc>
        <w:tc>
          <w:tcPr>
            <w:tcW w:w="3200" w:type="dxa"/>
            <w:vAlign w:val="center"/>
          </w:tcPr>
          <w:p w14:paraId="21BF22F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Torque do cabo no modelo</w:t>
            </w:r>
          </w:p>
        </w:tc>
        <w:tc>
          <w:tcPr>
            <w:tcW w:w="2760" w:type="dxa"/>
            <w:vAlign w:val="center"/>
          </w:tcPr>
          <w:p w14:paraId="3CAD093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Positivo no sentido de θ* crescente</w:t>
            </w:r>
          </w:p>
        </w:tc>
        <w:tc>
          <w:tcPr>
            <w:tcW w:w="2100" w:type="dxa"/>
            <w:vAlign w:val="center"/>
          </w:tcPr>
          <w:p w14:paraId="55465DC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Cadeia de cálculo</w:t>
            </w:r>
          </w:p>
        </w:tc>
      </w:tr>
      <w:tr w:rsidR="009C1161" w14:paraId="7464AAF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4C973F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−τ</w:t>
            </w:r>
          </w:p>
        </w:tc>
        <w:tc>
          <w:tcPr>
            <w:tcW w:w="3200" w:type="dxa"/>
            <w:vAlign w:val="center"/>
          </w:tcPr>
          <w:p w14:paraId="3F71A97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Torque do cabo na convenção da patente</w:t>
            </w:r>
          </w:p>
        </w:tc>
        <w:tc>
          <w:tcPr>
            <w:tcW w:w="2760" w:type="dxa"/>
            <w:vAlign w:val="center"/>
          </w:tcPr>
          <w:p w14:paraId="067FD81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Positivo quando tende a elevar o braço</w:t>
            </w:r>
          </w:p>
        </w:tc>
        <w:tc>
          <w:tcPr>
            <w:tcW w:w="2100" w:type="dxa"/>
            <w:vAlign w:val="center"/>
          </w:tcPr>
          <w:p w14:paraId="719175E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Comparação com a patente</w:t>
            </w:r>
          </w:p>
        </w:tc>
      </w:tr>
    </w:tbl>
    <w:p w14:paraId="55004276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06029CA3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3.4 Equação de fechamento do circuito vetorial</w:t>
      </w:r>
    </w:p>
    <w:p w14:paraId="2D3FBEAE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cinemática do gerador de torque é descrita por um circuito vetorial fechado (Figura 1), percorrido do pivô O até a ancoragem A do cabo, de A até o ponto de tangência T ao longo do vão livre do cabo, de T até o centro D do tambor e de D de volta a O ao longo do elo. O vetor fixo do pivô à ancoragem, no referencial do desenho,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297AED2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0182EC29" w14:textId="590FD0C3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r>
                      <w:rPr>
                        <w:rFonts w:ascii="Cambria Math" w:hAnsi="Cambria Math"/>
                        <w:lang w:val="pt-BR"/>
                      </w:rPr>
                      <m:t>p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 </m:t>
                    </m:r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r>
                      <w:rPr>
                        <w:rFonts w:ascii="Cambria Math" w:hAnsi="Cambria Math"/>
                        <w:lang w:val="pt-BR"/>
                      </w:rPr>
                      <m:t>p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16AA974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(5)</w:t>
            </w:r>
          </w:p>
        </w:tc>
      </w:tr>
    </w:tbl>
    <w:p w14:paraId="6BE85BB3" w14:textId="77777777" w:rsidR="009C1161" w:rsidRDefault="003B1183">
      <w:pPr>
        <w:rPr>
          <w:lang w:val="pt-BR"/>
        </w:rPr>
      </w:pPr>
      <w:r>
        <w:rPr>
          <w:lang w:val="pt-BR"/>
        </w:rPr>
        <w:t>em que h e p são as componentes desse vetor no referencial do elo proximal. A posição da ancoragem h é o parâmetro geométrico mais incerto do mecanismo e permanece explícita em todas as equações; a cota lida no CAD,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 = 34,785 mm, é tratada como valor documental, e o valor adotado no modelo é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= 22,701 mm (seção 3.9). Com u(x) = (cos x, sen x) e u</w:t>
      </w:r>
      <w:r>
        <w:rPr>
          <w:vertAlign w:val="subscript"/>
          <w:lang w:val="pt-BR"/>
        </w:rPr>
        <w:t>⊥</w:t>
      </w:r>
      <w:r>
        <w:rPr>
          <w:lang w:val="pt-BR"/>
        </w:rPr>
        <w:t xml:space="preserve">(x) = (−sen x, cos x), o fechamento do circuito se escreve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7A9AD3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C12CD83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⊥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0</m:t>
                </m:r>
              </m:oMath>
            </m:oMathPara>
          </w:p>
        </w:tc>
        <w:tc>
          <w:tcPr>
            <w:tcW w:w="900" w:type="dxa"/>
            <w:vAlign w:val="center"/>
          </w:tcPr>
          <w:p w14:paraId="0862F6FB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(6)</w:t>
            </w:r>
          </w:p>
        </w:tc>
      </w:tr>
    </w:tbl>
    <w:p w14:paraId="2367BD8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s é o comprimento do vão livre do cabo, de A a T, R o raio do tambor e C a distância do pivô ao centro do tambor. As duas componentes da Equação (6) são as equações escalares de fechamento f</w:t>
      </w:r>
      <w:r>
        <w:rPr>
          <w:vertAlign w:val="subscript"/>
          <w:lang w:val="pt-BR"/>
        </w:rPr>
        <w:t>1</w:t>
      </w:r>
      <w:r>
        <w:rPr>
          <w:lang w:val="pt-BR"/>
        </w:rPr>
        <w:t xml:space="preserve"> = 0 </w:t>
        <w:lastRenderedPageBreak/>
        <w:t>e f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 = 0. Isolando-se os termos em φ, o lado esquerdo torna-se o vetor (s, R) girado de φ, o que permite resolver o sistema em forma fechada, sem procedimento iterativo: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AD1E9A8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DDE98A4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r>
                      <w:rPr>
                        <w:rFonts w:ascii="Cambria Math" w:hAnsi="Cambria Math"/>
                        <w:lang w:val="pt-BR"/>
                      </w:rPr>
                      <m:t>C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W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ρ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3F92B90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(7)</w:t>
            </w:r>
          </w:p>
        </w:tc>
      </w:tr>
      <w:tr w:rsidR="009C1161" w14:paraId="3B1AB29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61FDCC3D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atan2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atan2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s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609123E3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(8)</w:t>
            </w:r>
          </w:p>
        </w:tc>
      </w:tr>
    </w:tbl>
    <w:p w14:paraId="0A429072" w14:textId="77777777" w:rsidR="009C1161" w:rsidRDefault="003B1183">
      <w:pPr>
        <w:rPr>
          <w:lang w:val="pt-BR"/>
        </w:rPr>
      </w:pPr>
      <w:r>
        <w:rPr>
          <w:lang w:val="pt-BR"/>
        </w:rPr>
        <w:t>A grandeza ρ é a distância da ancoragem ao centro do tambor, e a tangente existe somente se ρ &gt; R, condição verificada em cada ponto calculado. A formulação original do autor para essa distância, obtida pela lei dos cossenos,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38386A7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36AC185E" w14:textId="038B6E13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orig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+2</m:t>
                    </m:r>
                    <m:r>
                      <w:rPr>
                        <w:rFonts w:ascii="Cambria Math" w:hAnsi="Cambria Math"/>
                        <w:lang w:val="pt-BR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cos</m:t>
                            </m:r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∗</m:t>
                                </m:r>
                              </m:sup>
                            </m:sSup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sin</m:t>
                            </m:r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∗</m:t>
                                </m:r>
                              </m:sup>
                            </m:sSup>
                          </m:e>
                        </m:func>
                      </m:e>
                    </m:d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032F956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(9)</w:t>
            </w:r>
          </w:p>
        </w:tc>
      </w:tr>
    </w:tbl>
    <w:p w14:paraId="77D1A6A2" w14:textId="77777777" w:rsidR="009C1161" w:rsidRDefault="003B1183">
      <w:pPr>
        <w:rPr>
          <w:lang w:val="pt-BR"/>
        </w:rPr>
      </w:pPr>
      <w:r>
        <w:rPr>
          <w:lang w:val="pt-BR"/>
        </w:rPr>
        <w:t>foi preservada no código como referência. Ela difere da Equação (7) pelo sinal do termo 2C(·) e equivale a ρ avaliado em θ* + 180°, com diferença numérica de 5,7 × 10</w:t>
      </w:r>
      <w:r>
        <w:rPr>
          <w:vertAlign w:val="superscript"/>
          <w:lang w:val="pt-BR"/>
        </w:rPr>
        <w:t>−14</w:t>
      </w:r>
      <w:r>
        <w:rPr>
          <w:lang w:val="pt-BR"/>
        </w:rPr>
        <w:t xml:space="preserve"> mm; por esse motivo, a cadeia de cálculo usa a Equação (7), deduzida diretamente do fechamento.</w:t>
      </w:r>
    </w:p>
    <w:p w14:paraId="40F29042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Figura 1 — Circuito vetorial do gerador de torque na pose de referência (θ* = 115,017°, h = 22,701 mm)</w:t>
      </w:r>
    </w:p>
    <w:p w14:paraId="3495141C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F93DD42" wp14:editId="469C1C79">
            <wp:extent cx="5943600" cy="2318004"/>
            <wp:effectExtent l="0" t="0" r="0" b="0"/>
            <wp:docPr id="901" name="Figura 1" descr="Circuito vetorial na pose de referência: pivô O, ancoragem A, centro do tambor D, ponto de tangência T, vão livre s, braço perpendicular m e distância b; à direita, ampliação da região do piv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igura 1" descr="Circuito vetorial na pose de referência: pivô O, ancoragem A, centro do tambor D, ponto de tangência T, vão livre s, braço perpendicular m e distância b; à direita, ampliação da região do pivô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51B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3D1971CA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 xml:space="preserve">Nota: O é o pivô, A a ancoragem do cabo, D o centro do tambor e T o ponto de tangência. O painel da direita amplia a região do pivô, onde se distinguem o vetor B e o braço m.</w:t>
      </w:r>
    </w:p>
    <w:p w14:paraId="142F19B8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3.5 Ponto de tangência, distância b, ângulo β e braço de momento</w:t>
      </w:r>
    </w:p>
    <w:p w14:paraId="6DFA5852" w14:textId="77777777" w:rsidR="009C1161" w:rsidRDefault="003B1183">
      <w:pPr>
        <w:rPr>
          <w:lang w:val="pt-BR"/>
        </w:rPr>
      </w:pPr>
      <w:r>
        <w:rPr>
          <w:lang w:val="pt-BR"/>
        </w:rPr>
        <w:t>O ponto em que o cabo deixa o tambor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2C184BD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381B2FA2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sen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φ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φ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r>
                  <w:rPr>
                    <w:rFonts w:ascii="Cambria Math" w:hAnsi="Cambria Math"/>
                    <w:lang w:val="pt-BR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05FF3EC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(10)</w:t>
            </w:r>
          </w:p>
        </w:tc>
      </w:tr>
    </w:tbl>
    <w:p w14:paraId="3B2207AA" w14:textId="77777777" w:rsidR="009C1161" w:rsidRDefault="003B1183">
      <w:pPr>
        <w:rPr>
          <w:lang w:val="pt-BR"/>
        </w:rPr>
      </w:pPr>
      <w:r>
        <w:rPr>
          <w:lang w:val="pt-BR"/>
        </w:rPr>
        <w:t>Na formulação original do autor, o mesmo ponto é obtido a partir da distância b = |OT| e do ângulo β entre a linha do elo (de O a D) e o segmento OT, calculados pela lei dos cossenos nos triângulos pivô–ancoragem–tangência e pivô–tambor–tangência: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43017A0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38CE412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pt-BR"/>
                          </w:rPr>
                          <m:t>B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+2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6F163BCF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(11)</w:t>
            </w:r>
          </w:p>
        </w:tc>
      </w:tr>
      <w:tr w:rsidR="009C1161" w14:paraId="60F24C99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AB2FB8B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β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  <m:r>
                      <w:rPr>
                        <w:rFonts w:ascii="Cambria Math" w:hAnsi="Cambria Math"/>
                        <w:lang w:val="pt-BR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F68C24A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(12)</w:t>
            </w:r>
          </w:p>
        </w:tc>
      </w:tr>
      <w:tr w:rsidR="009C1161" w14:paraId="12EEE7B4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A7180DE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β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q</m:t>
                            </m:r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 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sen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β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q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7F69A514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(13)</w:t>
            </w:r>
          </w:p>
        </w:tc>
      </w:tr>
    </w:tbl>
    <w:p w14:paraId="723BAC8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φ</w:t>
      </w:r>
      <w:r>
        <w:rPr>
          <w:vertAlign w:val="subscript"/>
          <w:lang w:val="pt-BR"/>
        </w:rPr>
        <w:t>B</w:t>
      </w:r>
      <w:r>
        <w:rPr>
          <w:lang w:val="pt-BR"/>
        </w:rPr>
        <w:t xml:space="preserve"> = atan2(B</w:t>
      </w:r>
      <w:r>
        <w:rPr>
          <w:vertAlign w:val="subscript"/>
          <w:lang w:val="pt-BR"/>
        </w:rPr>
        <w:t>y</w:t>
      </w:r>
      <w:r>
        <w:rPr>
          <w:lang w:val="pt-BR"/>
        </w:rPr>
        <w:t xml:space="preserve">, B</w:t>
      </w:r>
      <w:r>
        <w:rPr>
          <w:vertAlign w:val="subscript"/>
          <w:lang w:val="pt-BR"/>
        </w:rPr>
        <w:t>x</w:t>
      </w:r>
      <w:r>
        <w:rPr>
          <w:lang w:val="pt-BR"/>
        </w:rPr>
        <w:t>) é a direção do vetor B. As duas vias são comparadas numericamente (seção 3.11), e a Equação (10) é a usada na cadeia por não depender do sinal de β. A distância b, entretanto, não é o braço de momento do cabo: como T pertence a uma circunferência de raio R centrada a C do pivô, b fica necessariamente entre C − R e C + R. O braço de momento é a distância perpendicular do pivô à linha de ação do cabo, que passa por A com direção u(φ):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4242DAB7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76574DA0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sen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y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0E49DA28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(14)</w:t>
            </w:r>
          </w:p>
        </w:tc>
      </w:tr>
    </w:tbl>
    <w:p w14:paraId="19CD8270" w14:textId="77777777" w:rsidR="009C1161" w:rsidRDefault="003B1183">
      <w:pPr>
        <w:rPr>
          <w:lang w:val="pt-BR"/>
        </w:rPr>
      </w:pPr>
      <w:r>
        <w:rPr>
          <w:lang w:val="pt-BR"/>
        </w:rPr>
        <w:t>O braço m tem sinal, anula-se quando a linha do cabo passa pelo pivô (ponto morto, seção 3.7) e é limitado pelo comprimento |B| = |OA|, teto que decorre do traçado do cabo, e não do ajuste.</w:t>
      </w:r>
    </w:p>
    <w:p w14:paraId="7C11C200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3.6 Caminho do cabo, lei da mola e torque</w:t>
      </w:r>
    </w:p>
    <w:p w14:paraId="504C667F" w14:textId="3B3015CD" w:rsidR="009C1161" w:rsidRDefault="003B1183">
      <w:pPr>
        <w:rPr>
          <w:lang w:val="pt-BR"/>
        </w:rPr>
      </w:pPr>
      <w:r>
        <w:rPr>
          <w:lang w:val="pt-BR"/>
        </w:rPr>
        <w:t>A mola é tracionada pelo cabo, que vai da ancoragem até o tambor, onde se enrola. Admitido cabo inextensível, a extensão da mola acompanha a variação do caminho total do cabo, composto pelo vão livre s e pelo arco enrolado no tambor, cujo comprimento varia com o ângulo porque o vão livre gira em relação ao elo distal. Sendo ψ o ângulo entre a direção do cabo e a direção do elo, reduzido ao intervalo (−π, π),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6C99D949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1E04F094" w14:textId="49E9FF5E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r>
                      <w:rPr>
                        <w:rFonts w:ascii="Cambria Math" w:hAnsi="Cambria Math"/>
                        <w:lang w:val="pt-BR"/>
                      </w:rPr>
                      <m:t>π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∈(-π, π)</m:t>
                </m:r>
              </m:oMath>
            </m:oMathPara>
          </w:p>
        </w:tc>
        <w:tc>
          <w:tcPr>
            <w:tcW w:w="900" w:type="dxa"/>
            <w:vAlign w:val="center"/>
          </w:tcPr>
          <w:p w14:paraId="3E8E1A75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(15)</w:t>
            </w:r>
          </w:p>
        </w:tc>
      </w:tr>
    </w:tbl>
    <w:p w14:paraId="591EE6D9" w14:textId="204AADD7" w:rsidR="00BE2F11" w:rsidRDefault="003B1183">
      <w:pPr>
        <w:rPr>
          <w:lang w:val="pt-BR"/>
        </w:rPr>
      </w:pPr>
      <w:r>
        <w:rPr>
          <w:lang w:val="pt-BR"/>
        </w:rPr>
        <w:t>o caminho variável do cabo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AD198E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0308AC0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</m:rPr>
                  <w:rPr>
                    <w:rFonts w:ascii="Cambria Math" w:hAnsi="Cambria Math"/>
                    <w:lang w:val="pt-BR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r>
                  <w:rPr>
                    <w:rFonts w:ascii="Cambria Math" w:hAnsi="Cambria Math"/>
                    <w:lang w:val="pt-BR"/>
                  </w:rPr>
                  <m:t>Rψ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2147CEB4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(16)</w:t>
            </w:r>
          </w:p>
        </w:tc>
      </w:tr>
    </w:tbl>
    <w:p w14:paraId="35E36A4D" w14:textId="6B2FC61D" w:rsidR="009C1161" w:rsidRDefault="003B1183">
      <w:pPr>
        <w:rPr>
          <w:lang w:val="pt-BR"/>
        </w:rPr>
      </w:pPr>
      <w:r>
        <w:rPr>
          <w:lang w:val="pt-BR"/>
        </w:rPr>
        <w:t xml:space="preserve">Entra no modelo apenas a parcela variável do enrolamento, um arco constante cancela-se na extensão da mola, porque o caminho e o comprimento de referência são calculados pela mesma expressão. O sinal do termo do arco foi fixado pelo princípio dos trabalhos virtuais. Em um mecanismo conservativo, sem atrito no tambor, o trabalho da tração no cabo iguala o do torque no elo, o que exige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487ECE93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7071CF08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d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pt-BR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m</m:t>
                </m:r>
              </m:oMath>
            </m:oMathPara>
          </w:p>
        </w:tc>
        <w:tc>
          <w:tcPr>
            <w:tcW w:w="900" w:type="dxa"/>
            <w:vAlign w:val="center"/>
          </w:tcPr>
          <w:p w14:paraId="5920558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(17)</w:t>
            </w:r>
          </w:p>
        </w:tc>
      </w:tr>
    </w:tbl>
    <w:p w14:paraId="43C7BAC3" w14:textId="77777777" w:rsidR="009C1161" w:rsidRDefault="003B1183">
      <w:pPr>
        <w:rPr>
          <w:lang w:val="pt-BR"/>
        </w:rPr>
      </w:pPr>
      <w:r>
        <w:rPr>
          <w:lang w:val="pt-BR"/>
        </w:rPr>
        <w:t>com θ* em radianos. A Equação (17) é verificada numericamente por diferenças finitas centradas (seção 3.11) e permite discriminar entre formulações do caminho do cabo: com o caminho igual apenas ao vão livre, ela não é satisfeita (seção 4.3).</w:t>
      </w:r>
    </w:p>
    <w:p w14:paraId="6054B11E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extensão da mola é referida a um comprimento, e não a um ângulo. Sendo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a extensão elástica da mola na pose de referência θ*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115,017°, o valor do caminho em que a mola atinge o comprimento livre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F6264A8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C1BA36B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m:rPr>
                    <m:scr m:val="script"/>
                  </m:rPr>
                  <w:rPr>
                    <w:rFonts w:ascii="Cambria Math" w:hAnsi="Cambria Math"/>
                    <w:lang w:val="pt-BR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pose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pose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3B58F957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(18)</w:t>
            </w:r>
          </w:p>
        </w:tc>
      </w:tr>
      <w:tr w:rsidR="009C1161" w14:paraId="5FBF16E0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CBC6A01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lang w:val="pt-BR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 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Kδ</m:t>
                </m:r>
              </m:oMath>
            </m:oMathPara>
          </w:p>
        </w:tc>
        <w:tc>
          <w:tcPr>
            <w:tcW w:w="900" w:type="dxa"/>
            <w:vAlign w:val="center"/>
          </w:tcPr>
          <w:p w14:paraId="433B948F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(19)</w:t>
            </w:r>
          </w:p>
        </w:tc>
      </w:tr>
    </w:tbl>
    <w:p w14:paraId="40DD82E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δ é a extensão elástica, F a tração no cabo e K a rigidez da mola. A extensão é limitada a valores não negativos porque o cabo traciona, mas não empurra. O comprimento livre L</w:t>
      </w:r>
      <w:r>
        <w:rPr>
          <w:vertAlign w:val="subscript"/>
          <w:lang w:val="pt-BR"/>
        </w:rPr>
        <w:t>livre</w:t>
      </w:r>
      <w:r>
        <w:rPr>
          <w:lang w:val="pt-BR"/>
        </w:rPr>
        <w:t xml:space="preserve"> e o comprimento na </w:t>
        <w:lastRenderedPageBreak/>
        <w:t xml:space="preserve">pose L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entram no modelo somente pela diferença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L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− L</w:t>
      </w:r>
      <w:r>
        <w:rPr>
          <w:vertAlign w:val="subscript"/>
          <w:lang w:val="pt-BR"/>
        </w:rPr>
        <w:t>livre</w:t>
      </w:r>
      <w:r>
        <w:rPr>
          <w:lang w:val="pt-BR"/>
        </w:rPr>
        <w:t>: qualquer par com a mesma diferença produz a mesma curva de torque.</w:t>
      </w:r>
    </w:p>
    <w:p w14:paraId="0CF4284C" w14:textId="77777777" w:rsidR="009C1161" w:rsidRDefault="003B1183">
      <w:pPr>
        <w:rPr>
          <w:lang w:val="pt-BR"/>
        </w:rPr>
      </w:pPr>
      <w:r>
        <w:rPr>
          <w:lang w:val="pt-BR"/>
        </w:rPr>
        <w:t>A força do cabo atua sobre o tambor no ponto T, com direção oposta a u(φ), e o torque em relação ao pivô é o produto vetorial plano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64CE52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0DBAA48F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r>
                  <w:rPr>
                    <w:rFonts w:ascii="Cambria Math" w:hAnsi="Cambria Math"/>
                    <w:lang w:val="pt-BR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1000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Fm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4C47B73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(20)</w:t>
            </w:r>
          </w:p>
        </w:tc>
      </w:tr>
    </w:tbl>
    <w:p w14:paraId="7F0065D4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identidade τ = −F m/1000 decorre de T e A estarem sobre a mesma linha de ação e é verificada numericamente (seção 3.11). O fator 1/1000 vem da formulação original, em que os comprimentos estão em milímetros. Como K é identificado contra a curva publicada (seção 3.9), cuja ordenada não tem unidade declarada, o torque do cabo é expresso na unidade da própria curva, denotada u.p. (unidade da patente). A unidade de K é, portanto, aquela que faz K δ m/1000 resultar em u.p.; ela só seria N/mm se u.p. correspondesse a N·m, o que não pode ser afirmado com os dados disponíveis (seção 4.6).</w:t>
      </w:r>
    </w:p>
    <w:p w14:paraId="4D4F73AB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3.7 Ponto morto</w:t>
      </w:r>
    </w:p>
    <w:p w14:paraId="7C15587C" w14:textId="77777777" w:rsidR="009C1161" w:rsidRDefault="003B1183">
      <w:pPr>
        <w:rPr>
          <w:lang w:val="pt-BR"/>
        </w:rPr>
      </w:pPr>
      <w:r>
        <w:rPr>
          <w:lang w:val="pt-BR"/>
        </w:rPr>
        <w:t>O torque do cabo se anula quando a linha de ação passa pelo pivô (m = 0). Da geometria do circuito, esse ponto morto tem forma fechada em função de h, formulação original do autor aqui escrita com a notação desta seção: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BB41012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9F0866E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=180°+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atan2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arcsen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C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7B620DB0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(21)</w:t>
            </w:r>
          </w:p>
        </w:tc>
      </w:tr>
    </w:tbl>
    <w:p w14:paraId="45D97B8C" w14:textId="77777777" w:rsidR="009C1161" w:rsidRDefault="003B1183">
      <w:pPr>
        <w:rPr>
          <w:lang w:val="pt-BR"/>
        </w:rPr>
      </w:pPr>
      <w:r>
        <w:rPr>
          <w:lang w:val="pt-BR"/>
        </w:rPr>
        <w:t>Como θ*</w:t>
      </w:r>
      <w:r>
        <w:rPr>
          <w:vertAlign w:val="subscript"/>
          <w:lang w:val="pt-BR"/>
        </w:rPr>
        <w:t>pm</w:t>
      </w:r>
      <w:r>
        <w:rPr>
          <w:lang w:val="pt-BR"/>
        </w:rPr>
        <w:t xml:space="preserve"> é monótono em h, a Equação (21) admite inversão analítica: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DD38FB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3659130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p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pm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∗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-180°-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arcsen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pt-BR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pt-BR"/>
                                          </w:rPr>
                                          <m:t>C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A7FA46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(22)</w:t>
            </w:r>
          </w:p>
        </w:tc>
      </w:tr>
    </w:tbl>
    <w:p w14:paraId="383E0A98" w14:textId="77777777" w:rsidR="009C1161" w:rsidRDefault="003B1183">
      <w:pPr>
        <w:rPr>
          <w:lang w:val="pt-BR"/>
        </w:rPr>
      </w:pPr>
      <w:r>
        <w:rPr>
          <w:lang w:val="pt-BR"/>
        </w:rPr>
        <w:t>Para h &gt; 0, o termo atan2(p, h) fica entre 0° e 90°, de modo que a inversão só é válida quando o argumento da tangente pertence a esse intervalo; fora dele, a Equação (22) devolve um ramo espúrio, identificado pela substituição do resultado na Equação (21). A forma fechada é conferida contra a raiz de m(θ*) = 0 obtida por bissecção. Depois do ponto morto, o torque do cabo troca de sinal; o modelo não representa a protuberância que, na patente, restringe o gerador de força além do ângulo de transição (seção 2.3).</w:t>
      </w:r>
    </w:p>
    <w:p w14:paraId="3F29474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3.8 Torque gravitacional</w:t>
      </w:r>
    </w:p>
    <w:p w14:paraId="2D9F60E1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torque estático do peso do conjunto braço–exoesqueleto em relação ao pivô é calculado de forma independente da cadeia do cabo: não usa K,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nem h. O centro de massa (x</w:t>
      </w:r>
      <w:r>
        <w:rPr>
          <w:vertAlign w:val="subscript"/>
          <w:lang w:val="pt-BR"/>
        </w:rPr>
        <w:t>cm</w:t>
      </w:r>
      <w:r>
        <w:rPr>
          <w:lang w:val="pt-BR"/>
        </w:rPr>
        <w:t xml:space="preserve">, y</w:t>
      </w:r>
      <w:r>
        <w:rPr>
          <w:vertAlign w:val="subscript"/>
          <w:lang w:val="pt-BR"/>
        </w:rPr>
        <w:t>cm</w:t>
      </w:r>
      <w:r>
        <w:rPr>
          <w:lang w:val="pt-BR"/>
        </w:rPr>
        <w:t xml:space="preserve">), dado na pose de referência no referencial do desenho (Tabela 3), gira com o elo, e o desenho gira ainda α + 90° − θ</w:t>
      </w:r>
      <w:r>
        <w:rPr>
          <w:vertAlign w:val="subscript"/>
          <w:lang w:val="pt-BR"/>
        </w:rPr>
        <w:t>off</w:t>
      </w:r>
      <w:r>
        <w:rPr>
          <w:lang w:val="pt-BR"/>
        </w:rPr>
        <w:t xml:space="preserve"> = −22,589° para alinhar sua vertical com a da configuração calibrada: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0F8E339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6547087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pose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+90°-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cm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γ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cm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sen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γ</m:t>
                    </m:r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006DCE41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(23)</w:t>
            </w:r>
          </w:p>
        </w:tc>
      </w:tr>
      <w:tr w:rsidR="009C1161" w14:paraId="1FAB5E8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D5EB0A7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Mg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g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14ABD8DD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(24)</w:t>
            </w:r>
          </w:p>
        </w:tc>
      </w:tr>
    </w:tbl>
    <w:p w14:paraId="0C55CBB1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>em que M é a massa do conjunto, g = 9,80665 m/s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e x</w:t>
      </w:r>
      <w:r>
        <w:rPr>
          <w:vertAlign w:val="subscript"/>
          <w:lang w:val="pt-BR"/>
        </w:rPr>
        <w:t>g</w:t>
      </w:r>
      <w:r>
        <w:rPr>
          <w:lang w:val="pt-BR"/>
        </w:rPr>
        <w:t xml:space="preserve">, em milímetros, é o braço horizontal do centro de massa. O torque gravitacional resulta em N·m, unidade física, ao contrário do torque do cabo. O módulo na Equação (24) desconsidera o sentido do torque, cuja troca ocorre apenas no início da faixa (seção 4.8).</w:t>
      </w:r>
    </w:p>
    <w:p w14:paraId="527401B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3.9 Dados da patente e identificação dos parâmetros</w:t>
      </w:r>
    </w:p>
    <w:p w14:paraId="4771CC93" w14:textId="15B11201" w:rsidR="009C1161" w:rsidRDefault="003B1183">
      <w:pPr>
        <w:rPr>
          <w:lang w:val="pt-BR"/>
        </w:rPr>
      </w:pPr>
      <w:r>
        <w:rPr>
          <w:lang w:val="pt-BR"/>
        </w:rPr>
        <w:t xml:space="preserve">A referência de comparação é a curva torque × ângulo, Figura 56 do gerador de torque publicada na US 9.889.554 B2, da qual foram extraídos 29 pontos, registrados em θ* e listados na Tabela 4 na ordem da extração.</w:t>
      </w:r>
    </w:p>
    <w:p w14:paraId="73C2051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patente não informa rigidez, pré-carga, comprimento livre nem posição exata da ancoragem. Os parâmetros não publicados do modelo são a calibração angular θ</w:t>
      </w:r>
      <w:r>
        <w:rPr>
          <w:vertAlign w:val="subscript"/>
          <w:lang w:val="pt-BR"/>
        </w:rPr>
        <w:t>off</w:t>
      </w:r>
      <w:r>
        <w:rPr>
          <w:lang w:val="pt-BR"/>
        </w:rPr>
        <w:t xml:space="preserve">, a posição da ancoragem h, a extensão da mola na pose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e a rigidez K. Eles foram identificados por mínimos quadrados contra os 29 pontos extraídos em etapa anterior do trabalho e estão congelados no modelo vigente, que não executa ajuste algum. O script dessa etapa e a restrição de projeto então considerada para h não estão registrados no repositório; por isso, a identificação foi reproduzida nesta revisão apenas na parte verificável, descrita a seguir (resultados na seção 4.4).</w:t>
      </w:r>
    </w:p>
    <w:p w14:paraId="754AD79D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rigidez tem forma fechada. Como a extensão δ não depende de K, o torque é exatamente linear em K, τ(θ*; h, K) = K τ(θ*; h, 1). Sendo y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 os N = 29 valores extraídos e g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 = −τ(θ*</w:t>
      </w:r>
      <w:r>
        <w:rPr>
          <w:vertAlign w:val="subscript"/>
          <w:lang w:val="pt-BR"/>
        </w:rPr>
        <w:t>i</w:t>
      </w:r>
      <w:r>
        <w:rPr>
          <w:lang w:val="pt-BR"/>
        </w:rPr>
        <w:t>; h, 1), o valor de K que minimiza a soma dos quadrados dos resíduos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6B999FD2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33E9726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339630D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(25)</w:t>
            </w:r>
          </w:p>
        </w:tc>
      </w:tr>
    </w:tbl>
    <w:p w14:paraId="7F951AA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h e θ</w:t>
      </w:r>
      <w:r>
        <w:rPr>
          <w:vertAlign w:val="subscript"/>
          <w:lang w:val="pt-BR"/>
        </w:rPr>
        <w:t>off</w:t>
      </w:r>
      <w:r>
        <w:rPr>
          <w:lang w:val="pt-BR"/>
        </w:rPr>
        <w:t xml:space="preserve"> fixados,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foi reidentificado por varredura unidimensional, em passo de 0,001 mm, com K dado pela Equação (25) em cada valor. A qualidade do ajuste é avaliada pela raiz do erro quadrático médio (RMSE), pelo erro absoluto médio (MAE), pelo erro máximo e pelo coeficiente de determinação R</w:t>
      </w:r>
      <w:r>
        <w:rPr>
          <w:vertAlign w:val="superscript"/>
          <w:lang w:val="pt-BR"/>
        </w:rPr>
        <w:t>2</w:t>
      </w:r>
      <w:r>
        <w:rPr>
          <w:lang w:val="pt-BR"/>
        </w:rPr>
        <w:t>, com resíduo e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 = ŷ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 − y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, em que ŷ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 é o torque calculado na convenção da patente, −τ: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2523E603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162D1B2B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RMSE=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MAE=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pt-BR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pt-BR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-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>y</m:t>
                                    </m:r>
                                  </m:e>
                                </m:ba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5B77FCA3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(26)</w:t>
            </w:r>
          </w:p>
        </w:tc>
      </w:tr>
    </w:tbl>
    <w:p w14:paraId="6D3BD109" w14:textId="77777777" w:rsidR="009C1161" w:rsidRDefault="003B1183">
      <w:pPr>
        <w:rPr>
          <w:lang w:val="pt-BR"/>
        </w:rPr>
      </w:pPr>
      <w:r>
        <w:rPr>
          <w:lang w:val="pt-BR"/>
        </w:rPr>
        <w:t>O RMSE mede a aderência à curva extraída, e não a validade física. Duas formulações só são comparadas por ele depois de ambas satisfazerem as verificações físicas da seção 3.11; essa regra decide, no capítulo 4, a adoção do caminho completo do cabo, apesar de o caminho sem o arco produzir RMSE menor.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3.10 Varredura e otimização de h com K congelado</w:t>
      </w:r>
    </w:p>
    <w:p>
      <w:pPr>
        <w:rPr>
          <w:lang w:val="pt-BR"/>
        </w:rPr>
      </w:pPr>
      <w:r>
        <w:rPr>
          <w:lang w:val="pt-BR"/>
        </w:rPr>
        <w:t xml:space="preserve">Como h é a grandeza geométrica mais incerta e a mais fácil de alterar no projeto, ela foi varrida de 8 mm até o limite geométrico do CAD, h</w:t>
      </w:r>
      <w:r>
        <w:rPr>
          <w:vertAlign w:val="subscript"/>
          <w:lang w:val="pt-BR"/>
        </w:rPr>
        <w:t xml:space="preserve">máx</w:t>
      </w:r>
      <w:r>
        <w:rPr>
          <w:lang w:val="pt-BR"/>
        </w:rPr>
        <w:t xml:space="preserve"> = 76,846 mm, em passo de 0,005 mm, com o acréscimo dos valores exatos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e H</w:t>
      </w:r>
      <w:r>
        <w:rPr>
          <w:vertAlign w:val="subscript"/>
          <w:lang w:val="pt-BR"/>
        </w:rPr>
        <w:t xml:space="preserve">CAD</w:t>
      </w:r>
      <w:r>
        <w:rPr>
          <w:lang w:val="pt-BR"/>
        </w:rPr>
        <w:t xml:space="preserve">, num total de 13.773 valores, para delimitar os valores fisicamente válidos; dentro deles, buscou-se o h que devolve o maior torque. K permanece congelado em 174,68 em todos os valores de h e não é reidentificado por h: cada h representa o mesmo conjunto de mola com a ancoragem deslocada, e nenhum parâmetro do modelo é substituído pelo resultado.</w:t>
      </w:r>
    </w:p>
    <w:p>
      <w:pPr>
        <w:rPr>
          <w:lang w:val="pt-BR"/>
        </w:rPr>
      </w:pPr>
      <w:r>
        <w:rPr>
          <w:lang w:val="pt-BR"/>
        </w:rPr>
        <w:t xml:space="preserve">Ao variar h, a referência s</w:t>
      </w:r>
      <w:r>
        <w:rPr>
          <w:vertAlign w:val="subscript"/>
          <w:lang w:val="pt-BR"/>
        </w:rPr>
        <w:t xml:space="preserve">0</w:t>
      </w:r>
      <w:r>
        <w:rPr>
          <w:lang w:val="pt-BR"/>
        </w:rPr>
        <w:t xml:space="preserve">(h) da Equação (18) é recalculada de modo que a extensão da mola na pose permaneça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37,383 mm, preservando a pré-tensão de montagem. Essa ancoragem é uma escolha de modelagem, que isola o efeito de h do efeito da montagem.</w:t>
      </w:r>
    </w:p>
    <w:p>
      <w:pPr>
        <w:rPr>
          <w:lang w:val="pt-BR"/>
        </w:rPr>
      </w:pPr>
      <w:r>
        <w:rPr>
          <w:lang w:val="pt-BR"/>
        </w:rPr>
        <w:t xml:space="preserve">A validade física de cada h é verificada por três critérios: (i) tração, isto é, extensão da mola não negativa em toda a faixa de operação, calculada sem a limitação da Equação (19), para que o afrouxamento do cabo apareça como extensão negativa; (ii) fechamento, isto é, existência de tangente ao tambor (ρ &gt; R) em toda a faixa; e (iii) trabalho virtual, isto é, resíduo da Equação (17) inferior a 10</w:t>
      </w:r>
      <w:r>
        <w:rPr>
          <w:vertAlign w:val="superscript"/>
          <w:lang w:val="pt-BR"/>
        </w:rPr>
        <w:t xml:space="preserve">−6</w:t>
      </w:r>
      <w:r>
        <w:rPr>
          <w:lang w:val="pt-BR"/>
        </w:rPr>
        <w:t xml:space="preserve"> mm/rad. O ângulo de enrolamento ψ não é critério de validade: um valor nulo de ψ significa arco de enrolamento nulo, e não cabo fora do tambor, cuja permanência é garantida pela tangência, critério (ii).</w:t>
      </w:r>
    </w:p>
    <w:p>
      <w:pPr>
        <w:rPr>
          <w:lang w:val="pt-BR"/>
        </w:rPr>
      </w:pPr>
      <w:r>
        <w:rPr>
          <w:lang w:val="pt-BR"/>
        </w:rPr>
        <w:t xml:space="preserve">Entre os valores de h fisicamente válidos, procura-se o que devolve o maior torque ao braço com a mesma mola e a mesma montagem. O critério principal é o torque médio devolvido na faixa de trabalho acima da linha dos ombros, de 90° a 150° de elevação: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arg max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τ</m:t>
                    </m:r>
                  </m:e>
                </m:ba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τ</m:t>
                    </m:r>
                  </m:e>
                </m:ba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60°</m:t>
                    </m:r>
                  </m:den>
                </m:f>
                <m:nary>
                  <m:naryPr>
                    <m:chr m:val="∫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90°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150°</m:t>
                    </m:r>
                  </m: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τ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d</m:t>
                    </m:r>
                    <m:sSub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el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(27)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min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δ</m:t>
                    </m:r>
                  </m:e>
                </m:func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≥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marg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&gt;</m:t>
                </m:r>
                <m:r>
                  <w:rPr>
                    <w:rFonts w:ascii="Cambria Math" w:hAnsi="Cambria Math"/>
                    <w:lang w:val="pt-BR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d>
                  <m:dPr>
                    <m:begChr m:val="|"/>
                    <m:endChr m:val="|"/>
                  </m:dPr>
                  <m:e>
                    <m:f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ℓ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d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θ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∗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&lt;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−6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(28)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δ</w:t>
      </w:r>
      <w:r>
        <w:rPr>
          <w:vertAlign w:val="subscript"/>
          <w:lang w:val="pt-BR"/>
        </w:rPr>
        <w:t xml:space="preserve">marg</w:t>
      </w:r>
      <w:r>
        <w:rPr>
          <w:lang w:val="pt-BR"/>
        </w:rPr>
        <w:t xml:space="preserve"> é uma margem mínima de extensão da mola, nula na formulação estrita. Como critérios complementares, são calculados o pico do torque e o trabalho devolvido ao longo de toda a faixa de operação, integral de −τ em relação à elevação; pela Equação (17), esse trabalho equivale à energia que a mola restitui ao braço. A busca é feita por enumeração, em passo de 0,01 mm, de 8 mm até a fronteira de tração, obtida por bissecção, com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congelados. Uma família de curvas para sete valores de h e seus nós, ângulos em que as curvas quase coincidem, completam a análise.</w:t>
      </w:r>
    </w:p>
    <w:p w14:paraId="40BE510A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3.11 Verificações numéricas e testes automatizados</w:t>
      </w:r>
    </w:p>
    <w:p w14:paraId="6037C99E" w14:textId="77777777" w:rsidR="009C1161" w:rsidRDefault="003B1183">
      <w:pPr>
        <w:rPr>
          <w:lang w:val="pt-BR"/>
        </w:rPr>
      </w:pPr>
      <w:r>
        <w:rPr>
          <w:lang w:val="pt-BR"/>
        </w:rPr>
        <w:t>A cadeia de cálculo é conferida a cada execução do modelo por seis verificações automáticas: os resíduos f</w:t>
      </w:r>
      <w:r>
        <w:rPr>
          <w:vertAlign w:val="subscript"/>
          <w:lang w:val="pt-BR"/>
        </w:rPr>
        <w:t>1</w:t>
      </w:r>
      <w:r>
        <w:rPr>
          <w:lang w:val="pt-BR"/>
        </w:rPr>
        <w:t xml:space="preserve"> e f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 da Equação (6); a identidade τ = −F m/1000 da Equação (20); a coincidência das Equações (10) e (13) para o ponto de tangência; a coincidência da Equação (21) com a raiz de m(θ*) = 0 obtida por bissecção; o resíduo da Equação (17), calculado por diferenças finitas centradas com passo de 10</w:t>
      </w:r>
      <w:r>
        <w:rPr>
          <w:vertAlign w:val="superscript"/>
          <w:lang w:val="pt-BR"/>
        </w:rPr>
        <w:t>−4</w:t>
      </w:r>
      <w:r>
        <w:rPr>
          <w:lang w:val="pt-BR"/>
        </w:rPr>
        <w:t xml:space="preserve"> grau em 2.001 pontos da faixa; e a identidade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L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− L</w:t>
      </w:r>
      <w:r>
        <w:rPr>
          <w:vertAlign w:val="subscript"/>
          <w:lang w:val="pt-BR"/>
        </w:rPr>
        <w:t>livre</w:t>
      </w:r>
      <w:r>
        <w:rPr>
          <w:lang w:val="pt-BR"/>
        </w:rPr>
        <w:t>. Cada verificação tem tolerância declarada, e o modelo interrompe a execução se alguma delas for violada.</w:t>
      </w:r>
    </w:p>
    <w:p w14:paraId="573E9C32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projeto mantém, além disso, testes automatizados executados com o pytest. Eles verificam, entre outros pontos, que os 29 pontos são carregados na ordem da extração, que o torque é linear em K, que a posição da ancoragem é argumento obrigatório de toda a cadeia, que a formulação s − Rψ é a única das testadas que satisfaz o trabalho virtual, que o enrolamento não é usado como critério de validade e que a varredura não reidentifica K por h.</w:t>
      </w:r>
    </w:p>
    <w:p w14:paraId="17FB164A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3.12 Etapas dinâmicas previstas</w:t>
      </w:r>
    </w:p>
    <w:p w14:paraId="1692CC7C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Os objetivos específicos f e g preveem a obtenção da equação de movimento pela formulação de Lagrange, sua integração numérica e o acoplamento do modelo ao MBDyn. Essas etapas não foram executadas nesta fase do trabalho, e o capítulo 4 não apresenta nenhum resultado dinâmico. O procedimento previsto é registrado a seguir.</w:t>
      </w:r>
    </w:p>
    <w:p w14:paraId="18BB5BFC" w14:textId="77777777" w:rsidR="009C1161" w:rsidRDefault="003B1183">
      <w:pPr>
        <w:rPr>
          <w:lang w:val="pt-BR"/>
        </w:rPr>
      </w:pPr>
      <w:r>
        <w:rPr>
          <w:lang w:val="pt-BR"/>
        </w:rPr>
        <w:t>O sistema seria tratado como mecanismo plano de um grau de liberdade, a rotação do conjunto membro–elo distal em torno do eixo da junta, com coordenada generalizada θ*. A energia cinética seria escrita com o momento de inércia I</w:t>
      </w:r>
      <w:r>
        <w:rPr>
          <w:vertAlign w:val="subscript"/>
          <w:lang w:val="pt-BR"/>
        </w:rPr>
        <w:t>O</w:t>
      </w:r>
      <w:r>
        <w:rPr>
          <w:lang w:val="pt-BR"/>
        </w:rPr>
        <w:t xml:space="preserve"> da Equação (1), e a energia potencial reuniria a parcela gravitacional e a parcela elástica V</w:t>
      </w:r>
      <w:r>
        <w:rPr>
          <w:vertAlign w:val="subscript"/>
          <w:lang w:val="pt-BR"/>
        </w:rPr>
        <w:t>e</w:t>
      </w:r>
      <w:r>
        <w:rPr>
          <w:lang w:val="pt-BR"/>
        </w:rPr>
        <w:t xml:space="preserve"> = K δ</w:t>
      </w:r>
      <w:r>
        <w:rPr>
          <w:vertAlign w:val="superscript"/>
          <w:lang w:val="pt-BR"/>
        </w:rPr>
        <w:t>2</w:t>
      </w:r>
      <w:r>
        <w:rPr>
          <w:lang w:val="pt-BR"/>
        </w:rPr>
        <w:t>/2. Pela Equação (17), ∂V</w:t>
      </w:r>
      <w:r>
        <w:rPr>
          <w:vertAlign w:val="subscript"/>
          <w:lang w:val="pt-BR"/>
        </w:rPr>
        <w:t>e</w:t>
      </w:r>
      <w:r>
        <w:rPr>
          <w:lang w:val="pt-BR"/>
        </w:rPr>
        <w:t xml:space="preserve">/∂θ* = K δ m, de modo que a força </w:t>
        <w:lastRenderedPageBreak/>
        <w:t>generalizada elástica coincide, a menos do fator 1/1000, com o torque do cabo da Equação (20). A equação de movimento teria a forma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62D52B1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66C48918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g,s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nc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1CCC408D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(29)</w:t>
            </w:r>
          </w:p>
        </w:tc>
      </w:tr>
    </w:tbl>
    <w:p w14:paraId="26E36208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τ</w:t>
      </w:r>
      <w:r>
        <w:rPr>
          <w:vertAlign w:val="subscript"/>
          <w:lang w:val="pt-BR"/>
        </w:rPr>
        <w:t>g,s</w:t>
      </w:r>
      <w:r>
        <w:rPr>
          <w:lang w:val="pt-BR"/>
        </w:rPr>
        <w:t xml:space="preserve"> é o torque gravitacional com sinal e Q</w:t>
      </w:r>
      <w:r>
        <w:rPr>
          <w:vertAlign w:val="subscript"/>
          <w:lang w:val="pt-BR"/>
        </w:rPr>
        <w:t>nc</w:t>
      </w:r>
      <w:r>
        <w:rPr>
          <w:lang w:val="pt-BR"/>
        </w:rPr>
        <w:t xml:space="preserve"> reúne os esforços não conservativos, como o atrito. A verificação prevista compreende a conservação da energia na ausência de dissipação, a recuperação do resultado estático quando as velocidades tendem a zero e a consistência entre o braço de momento e a derivada do caminho do cabo, esta última já cumprida no modelo estático (seção 4.3). No acoplamento ao MBDyn, que integra o sistema multicorpos pela formulação de Masarati, Morandini e Mantegazza (2014), o gerador de torque entraria como força externa, com troca de configuração e de torque por socket a cada passo de integração, e a comparação com a integração própria, sob as mesmas condições iniciais, serviria de validação cruzada.</w:t>
      </w:r>
    </w:p>
    <w:p w14:paraId="7C34A1B9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As duas etapas dependem de um pré-requisito ainda não satisfeito: a Equação (29) soma o torque do cabo ao torque gravitacional e exige ambos na mesma unidade física. Enquanto K estiver referido à ordenada sem unidade da patente, a integração da equação de movimento não tem significado físico.</w:t>
      </w:r>
    </w:p>
    <w:p w14:paraId="0A2D27BA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3.13 Ferramentas e delimitação</w:t>
      </w:r>
    </w:p>
    <w:p w14:paraId="0159C53E" w14:textId="77777777" w:rsidR="009C1161" w:rsidRDefault="003B1183">
      <w:pPr>
        <w:rPr>
          <w:lang w:val="pt-BR"/>
        </w:rPr>
      </w:pPr>
      <w:r>
        <w:rPr>
          <w:lang w:val="pt-BR"/>
        </w:rPr>
        <w:t xml:space="preserve">Foram empregados o Autodesk Fusion, para a reconstrução geométrica e a extração das propriedades de massa; uma planilha eletrônica, para o transporte de eixos e a composição inercial; e a linguagem Python, com a biblioteca NumPy (HARRIS et al., 2020) para o cálculo vetorizado, a biblioteca Matplotlib (HUNTER, 2007) para as figuras e o pytest para os testes automatizados. A identificação não depende de biblioteca de otimização: K tem forma fechada, Equação (25), e as demais grandezas são obtidas por varredura direta e por bissecção. O MBDyn, previsto para a simulação multicorpos, não foi empregado nesta etapa.</w:t>
      </w:r>
    </w:p>
    <w:p w14:paraId="6BF0979D" w14:textId="77777777" w:rsidR="009C1161" w:rsidRDefault="003B1183">
      <w:pPr>
        <w:rPr>
          <w:lang w:val="pt-BR"/>
        </w:rPr>
      </w:pPr>
      <w:r>
        <w:rPr>
          <w:lang w:val="pt-BR"/>
        </w:rPr>
        <w:t>Não integram o escopo a avaliação experimental com participantes humanos, a eletromiografia, a análise de conforto e usabilidade, a fabricação e o ensaio de protótipo e o dimensionamento estrutural dos elos. O modelo é plano e admite cabo inextensível, tambor sem atrito e mola linear sem tração inicial, F = K δ. Os parâmetros antropométricos correspondem ao indivíduo de referência adotado, e o torque gravitacional é calculado para o membro superior estendido, sem ferramenta na mão. O modelo não representa a protuberância que, na patente, cria a zona neutra após o ângulo de transição.</w:t>
      </w:r>
    </w:p>
    <w:p w14:paraId="07F555CE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 RESULTADOS E DISCUSSÃO</w:t>
      </w:r>
    </w:p>
    <w:p w14:paraId="69E970E9" w14:textId="77777777" w:rsidR="009C1161" w:rsidRDefault="003B1183">
      <w:pPr>
        <w:rPr>
          <w:lang w:val="pt-BR"/>
        </w:rPr>
      </w:pPr>
      <w:r>
        <w:rPr>
          <w:lang w:val="pt-BR"/>
        </w:rPr>
        <w:t>Este capítulo apresenta os resultados das etapas descritas nas seções 3.1 a 3.11, aplicadas ao gerador de torque da US 9.889.554 B2. Salvo indicação em contrário, os números foram obtidos com o modelo vigente e os parâmetros congelados K = 174,68,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= 22,701 mm e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37,383 mm. As etapas dinâmicas da seção 3.12 e a aplicação do procedimento à US 9.737.374 B2 e à EP 3 504 033 B1 não foram executadas.</w:t>
      </w:r>
    </w:p>
    <w:p w14:paraId="3B9D99E0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4.1 Geometria reconstruída e propriedades de massa</w:t>
      </w:r>
    </w:p>
    <w:p w14:paraId="2824EA30" w14:textId="1B8B654B" w:rsidR="009C1161" w:rsidRDefault="003B1183">
      <w:pPr>
        <w:rPr>
          <w:lang w:val="pt-BR"/>
        </w:rPr>
      </w:pPr>
      <w:r>
        <w:rPr>
          <w:lang w:val="pt-BR"/>
        </w:rPr>
        <w:t>A reconstrução da vista em corte do gerador de torque forneceu as grandezas da Tabela 2. O fator de escala único, fixado pela razão entre o comprimento do elo distal reconstruído e o comprimento de segmento do indivíduo de referência, resultou em 0,870.</w:t>
      </w:r>
    </w:p>
    <w:p w14:paraId="2B38F5A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2 — Grandezas medidas na reconstrução em CAD</w:t>
      </w:r>
    </w:p>
    <w:tbl>
      <w:tblPr>
        <w:tblStyle w:val="Tabelacomgrade"/>
        <w:tblW w:w="7060" w:type="dxa"/>
        <w:jc w:val="center"/>
        <w:tblLayout w:type="fixed"/>
        <w:tblLook w:val="0420" w:firstRow="1" w:lastRow="0" w:firstColumn="0" w:lastColumn="0" w:noHBand="0" w:noVBand="1"/>
      </w:tblPr>
      <w:tblGrid>
        <w:gridCol w:w="3260"/>
        <w:gridCol w:w="1300"/>
        <w:gridCol w:w="1200"/>
        <w:gridCol w:w="1300"/>
      </w:tblGrid>
      <w:tr w:rsidR="00F132A8" w14:paraId="34D2DD4A" w14:textId="77777777" w:rsidTr="00F132A8">
        <w:trPr>
          <w:cantSplit/>
          <w:tblHeader/>
          <w:jc w:val="center"/>
        </w:trPr>
        <w:tc>
          <w:tcPr>
            <w:tcW w:w="3260" w:type="dxa"/>
            <w:shd w:val="clear" w:color="auto" w:fill="F2F2F2"/>
            <w:vAlign w:val="center"/>
          </w:tcPr>
          <w:p w14:paraId="4335B734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Grandeza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7EC2190F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Símbolo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7748461D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AB6B581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Unidade</w:t>
            </w:r>
          </w:p>
        </w:tc>
      </w:tr>
      <w:tr w:rsidR="00F132A8" w14:paraId="64FB70B5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1880208C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Componente perpendicular do vetor pivô–ancoragem</w:t>
            </w:r>
          </w:p>
        </w:tc>
        <w:tc>
          <w:tcPr>
            <w:tcW w:w="1300" w:type="dxa"/>
            <w:vAlign w:val="center"/>
          </w:tcPr>
          <w:p w14:paraId="066D6B56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p</w:t>
            </w:r>
          </w:p>
        </w:tc>
        <w:tc>
          <w:tcPr>
            <w:tcW w:w="1200" w:type="dxa"/>
            <w:vAlign w:val="center"/>
          </w:tcPr>
          <w:p w14:paraId="2EBB78DE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3,155</w:t>
            </w:r>
          </w:p>
        </w:tc>
        <w:tc>
          <w:tcPr>
            <w:tcW w:w="1300" w:type="dxa"/>
            <w:vAlign w:val="center"/>
          </w:tcPr>
          <w:p w14:paraId="6918A015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150214E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1D1FC791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Distância do pivô ao centro do tambor</w:t>
            </w:r>
          </w:p>
        </w:tc>
        <w:tc>
          <w:tcPr>
            <w:tcW w:w="1300" w:type="dxa"/>
            <w:vAlign w:val="center"/>
          </w:tcPr>
          <w:p w14:paraId="6737CA28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C</w:t>
            </w:r>
          </w:p>
        </w:tc>
        <w:tc>
          <w:tcPr>
            <w:tcW w:w="1200" w:type="dxa"/>
            <w:vAlign w:val="center"/>
          </w:tcPr>
          <w:p w14:paraId="6253617B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283,438</w:t>
            </w:r>
          </w:p>
        </w:tc>
        <w:tc>
          <w:tcPr>
            <w:tcW w:w="1300" w:type="dxa"/>
            <w:vAlign w:val="center"/>
          </w:tcPr>
          <w:p w14:paraId="33CF9CAD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834971F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4A1A55DF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Raio do tambor</w:t>
            </w:r>
          </w:p>
        </w:tc>
        <w:tc>
          <w:tcPr>
            <w:tcW w:w="1300" w:type="dxa"/>
            <w:vAlign w:val="center"/>
          </w:tcPr>
          <w:p w14:paraId="6F5D301D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</w:t>
            </w:r>
          </w:p>
        </w:tc>
        <w:tc>
          <w:tcPr>
            <w:tcW w:w="1200" w:type="dxa"/>
            <w:vAlign w:val="center"/>
          </w:tcPr>
          <w:p w14:paraId="650BBC26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22,827</w:t>
            </w:r>
          </w:p>
        </w:tc>
        <w:tc>
          <w:tcPr>
            <w:tcW w:w="1300" w:type="dxa"/>
            <w:vAlign w:val="center"/>
          </w:tcPr>
          <w:p w14:paraId="0E3DE223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22E8E1F7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34963649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Defasagem angular do desenho</w:t>
            </w:r>
          </w:p>
        </w:tc>
        <w:tc>
          <w:tcPr>
            <w:tcW w:w="1300" w:type="dxa"/>
            <w:vAlign w:val="center"/>
          </w:tcPr>
          <w:p w14:paraId="01AD66F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α</w:t>
            </w:r>
          </w:p>
        </w:tc>
        <w:tc>
          <w:tcPr>
            <w:tcW w:w="1200" w:type="dxa"/>
            <w:vAlign w:val="center"/>
          </w:tcPr>
          <w:p w14:paraId="7452C58C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20,428</w:t>
            </w:r>
          </w:p>
        </w:tc>
        <w:tc>
          <w:tcPr>
            <w:tcW w:w="1300" w:type="dxa"/>
            <w:vAlign w:val="center"/>
          </w:tcPr>
          <w:p w14:paraId="26718D31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graus</w:t>
            </w:r>
          </w:p>
        </w:tc>
      </w:tr>
      <w:tr w:rsidR="00F132A8" w14:paraId="477EDDC5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5B319147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do mecanismo na pose de referência</w:t>
            </w:r>
          </w:p>
        </w:tc>
        <w:tc>
          <w:tcPr>
            <w:tcW w:w="1300" w:type="dxa"/>
            <w:vAlign w:val="center"/>
          </w:tcPr>
          <w:p w14:paraId="179F34C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θ*</w:t>
            </w:r>
            <w:r>
              <w:rPr>
                <w:vertAlign w:val="subscript"/>
                <w:lang w:val="pt-BR"/>
              </w:rPr>
              <w:t>pose</w:t>
            </w:r>
          </w:p>
        </w:tc>
        <w:tc>
          <w:tcPr>
            <w:tcW w:w="1200" w:type="dxa"/>
            <w:vAlign w:val="center"/>
          </w:tcPr>
          <w:p w14:paraId="51B7691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115,017</w:t>
            </w:r>
          </w:p>
        </w:tc>
        <w:tc>
          <w:tcPr>
            <w:tcW w:w="1300" w:type="dxa"/>
            <w:vAlign w:val="center"/>
          </w:tcPr>
          <w:p w14:paraId="0446775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graus</w:t>
            </w:r>
          </w:p>
        </w:tc>
      </w:tr>
      <w:tr w:rsidR="00F132A8" w14:paraId="5AEDE700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690EAD59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Comprimento da mola na pose</w:t>
            </w:r>
          </w:p>
        </w:tc>
        <w:tc>
          <w:tcPr>
            <w:tcW w:w="1300" w:type="dxa"/>
            <w:vAlign w:val="center"/>
          </w:tcPr>
          <w:p w14:paraId="731D26EA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pose</w:t>
            </w:r>
          </w:p>
        </w:tc>
        <w:tc>
          <w:tcPr>
            <w:tcW w:w="1200" w:type="dxa"/>
            <w:vAlign w:val="center"/>
          </w:tcPr>
          <w:p w14:paraId="406ADB5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91,35</w:t>
            </w:r>
          </w:p>
        </w:tc>
        <w:tc>
          <w:tcPr>
            <w:tcW w:w="1300" w:type="dxa"/>
            <w:vAlign w:val="center"/>
          </w:tcPr>
          <w:p w14:paraId="5E6C7316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23F2239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4EF4E5D4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Posição da ancoragem conforme desenhada</w:t>
            </w:r>
          </w:p>
        </w:tc>
        <w:tc>
          <w:tcPr>
            <w:tcW w:w="1300" w:type="dxa"/>
            <w:vAlign w:val="center"/>
          </w:tcPr>
          <w:p w14:paraId="2421DC98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H</w:t>
            </w:r>
            <w:r>
              <w:rPr>
                <w:vertAlign w:val="subscript"/>
                <w:lang w:val="pt-BR"/>
              </w:rPr>
              <w:t>CAD</w:t>
            </w:r>
          </w:p>
        </w:tc>
        <w:tc>
          <w:tcPr>
            <w:tcW w:w="1200" w:type="dxa"/>
            <w:vAlign w:val="center"/>
          </w:tcPr>
          <w:p w14:paraId="4218803F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34,785</w:t>
            </w:r>
          </w:p>
        </w:tc>
        <w:tc>
          <w:tcPr>
            <w:tcW w:w="1300" w:type="dxa"/>
            <w:vAlign w:val="center"/>
          </w:tcPr>
          <w:p w14:paraId="40FCC03C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23F2239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4EF4E5D4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Maior posição da ancoragem admitida pela geometria</w:t>
            </w:r>
          </w:p>
        </w:tc>
        <w:tc>
          <w:tcPr>
            <w:tcW w:w="1300" w:type="dxa"/>
            <w:vAlign w:val="center"/>
          </w:tcPr>
          <w:p w14:paraId="2421DC98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h</w:t>
            </w:r>
            <w:r>
              <w:rPr>
                <w:vertAlign w:val="subscript"/>
                <w:lang w:val="pt-BR"/>
              </w:rPr>
              <w:t xml:space="preserve">máx</w:t>
            </w:r>
          </w:p>
        </w:tc>
        <w:tc>
          <w:tcPr>
            <w:tcW w:w="1200" w:type="dxa"/>
            <w:vAlign w:val="center"/>
          </w:tcPr>
          <w:p w14:paraId="4218803F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76,846</w:t>
            </w:r>
          </w:p>
        </w:tc>
        <w:tc>
          <w:tcPr>
            <w:tcW w:w="1300" w:type="dxa"/>
            <w:vAlign w:val="center"/>
          </w:tcPr>
          <w:p w14:paraId="40FCC03C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</w:tr>
    </w:tbl>
    <w:p w14:paraId="1B10A4D9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6890DEE3" w14:textId="5625231D" w:rsidR="009C1161" w:rsidRDefault="003B1183">
      <w:pPr>
        <w:rPr>
          <w:lang w:val="pt-BR"/>
        </w:rPr>
      </w:pPr>
      <w:r>
        <w:rPr>
          <w:lang w:val="pt-BR"/>
        </w:rPr>
        <w:t xml:space="preserve">A composição inercial do conjunto braço–exoesqueleto, obtida pelo transporte dos momentos ao eixo da junta, consta da Tabela 3. Os segmentos do membro seguem de Leva (1996) para o indivíduo masculino de referência, de 73,0 kg e 1,741 m, com o cotovelo estendido; as peças do exoesqueleto provêm do modelo em CAD.</w:t>
      </w:r>
    </w:p>
    <w:p w14:paraId="18C3A44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3 — Propriedades de massa do conjunto braço–exoesqueleto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4560"/>
        <w:gridCol w:w="2800"/>
        <w:gridCol w:w="2000"/>
      </w:tblGrid>
      <w:tr w:rsidR="009C1161" w14:paraId="1135EEF1" w14:textId="77777777">
        <w:trPr>
          <w:cantSplit/>
          <w:tblHeader/>
          <w:jc w:val="center"/>
        </w:trPr>
        <w:tc>
          <w:tcPr>
            <w:tcW w:w="4560" w:type="dxa"/>
            <w:shd w:val="clear" w:color="auto" w:fill="F2F2F2"/>
            <w:vAlign w:val="center"/>
          </w:tcPr>
          <w:p w14:paraId="2482DEC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Grandeza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4BA9A36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45EF87B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Unidade</w:t>
            </w:r>
          </w:p>
        </w:tc>
      </w:tr>
      <w:tr w:rsidR="009C1161" w14:paraId="0CB41528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5D1C524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Massa total do conjunto, M</w:t>
            </w:r>
          </w:p>
        </w:tc>
        <w:tc>
          <w:tcPr>
            <w:tcW w:w="2800" w:type="dxa"/>
            <w:vAlign w:val="center"/>
          </w:tcPr>
          <w:p w14:paraId="228CD5D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4,034309</w:t>
            </w:r>
          </w:p>
        </w:tc>
        <w:tc>
          <w:tcPr>
            <w:tcW w:w="2000" w:type="dxa"/>
            <w:vAlign w:val="center"/>
          </w:tcPr>
          <w:p w14:paraId="0FF387F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kg</w:t>
            </w:r>
          </w:p>
        </w:tc>
      </w:tr>
      <w:tr w:rsidR="009C1161" w14:paraId="54DC7C72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739C4DC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Centro de massa na pose de referência, (x</w:t>
            </w:r>
            <w:r>
              <w:rPr>
                <w:vertAlign w:val="subscript"/>
                <w:lang w:val="pt-BR"/>
              </w:rPr>
              <w:t>cm</w:t>
            </w:r>
            <w:r>
              <w:rPr>
                <w:lang w:val="pt-BR"/>
              </w:rPr>
              <w:t xml:space="preserve">; y</w:t>
            </w:r>
            <w:r>
              <w:rPr>
                <w:vertAlign w:val="subscript"/>
                <w:lang w:val="pt-BR"/>
              </w:rPr>
              <w:t>cm</w:t>
            </w:r>
            <w:r>
              <w:rPr>
                <w:lang w:val="pt-BR"/>
              </w:rPr>
              <w:t>)</w:t>
            </w:r>
          </w:p>
        </w:tc>
        <w:tc>
          <w:tcPr>
            <w:tcW w:w="2800" w:type="dxa"/>
            <w:vAlign w:val="center"/>
          </w:tcPr>
          <w:p w14:paraId="4E600E7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(−281,432; −19,812)</w:t>
            </w:r>
          </w:p>
        </w:tc>
        <w:tc>
          <w:tcPr>
            <w:tcW w:w="2000" w:type="dxa"/>
            <w:vAlign w:val="center"/>
          </w:tcPr>
          <w:p w14:paraId="56173F1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9C1161" w14:paraId="601751F3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299EFD8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Distância do centro de massa ao eixo, d</w:t>
            </w:r>
          </w:p>
        </w:tc>
        <w:tc>
          <w:tcPr>
            <w:tcW w:w="2800" w:type="dxa"/>
            <w:vAlign w:val="center"/>
          </w:tcPr>
          <w:p w14:paraId="536FFA6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282,128</w:t>
            </w:r>
          </w:p>
        </w:tc>
        <w:tc>
          <w:tcPr>
            <w:tcW w:w="2000" w:type="dxa"/>
            <w:vAlign w:val="center"/>
          </w:tcPr>
          <w:p w14:paraId="09E638A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9C1161" w14:paraId="28DA1C6F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79AFD2D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Momento de inércia no eixo da junta, I</w:t>
            </w:r>
            <w:r>
              <w:rPr>
                <w:vertAlign w:val="subscript"/>
                <w:lang w:val="pt-BR"/>
              </w:rPr>
              <w:t>O</w:t>
            </w:r>
          </w:p>
        </w:tc>
        <w:tc>
          <w:tcPr>
            <w:tcW w:w="2800" w:type="dxa"/>
            <w:vAlign w:val="center"/>
          </w:tcPr>
          <w:p w14:paraId="6938235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0,448227</w:t>
            </w:r>
          </w:p>
        </w:tc>
        <w:tc>
          <w:tcPr>
            <w:tcW w:w="2000" w:type="dxa"/>
            <w:vAlign w:val="center"/>
          </w:tcPr>
          <w:p w14:paraId="29B1E63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kg·m</w:t>
            </w:r>
            <w:r>
              <w:rPr>
                <w:vertAlign w:val="superscript"/>
                <w:lang w:val="pt-BR"/>
              </w:rPr>
              <w:t>2</w:t>
            </w:r>
          </w:p>
        </w:tc>
      </w:tr>
      <w:tr w:rsidR="009C1161" w14:paraId="5B8FEE43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52818E3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Momento de inércia no centro de massa, I</w:t>
            </w:r>
            <w:r>
              <w:rPr>
                <w:vertAlign w:val="subscript"/>
                <w:lang w:val="pt-BR"/>
              </w:rPr>
              <w:t>cm</w:t>
            </w:r>
          </w:p>
        </w:tc>
        <w:tc>
          <w:tcPr>
            <w:tcW w:w="2800" w:type="dxa"/>
            <w:vAlign w:val="center"/>
          </w:tcPr>
          <w:p w14:paraId="4F3A91A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0,127111</w:t>
            </w:r>
          </w:p>
        </w:tc>
        <w:tc>
          <w:tcPr>
            <w:tcW w:w="2000" w:type="dxa"/>
            <w:vAlign w:val="center"/>
          </w:tcPr>
          <w:p w14:paraId="14F379A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kg·m</w:t>
            </w:r>
            <w:r>
              <w:rPr>
                <w:vertAlign w:val="superscript"/>
                <w:lang w:val="pt-BR"/>
              </w:rPr>
              <w:t>2</w:t>
            </w:r>
          </w:p>
        </w:tc>
      </w:tr>
      <w:tr w:rsidR="009C1161" w14:paraId="7D483774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3BB4695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Amplitude do momento gravitacional, M g d</w:t>
            </w:r>
          </w:p>
        </w:tc>
        <w:tc>
          <w:tcPr>
            <w:tcW w:w="2800" w:type="dxa"/>
            <w:vAlign w:val="center"/>
          </w:tcPr>
          <w:p w14:paraId="13390E4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11,1619</w:t>
            </w:r>
          </w:p>
        </w:tc>
        <w:tc>
          <w:tcPr>
            <w:tcW w:w="2000" w:type="dxa"/>
            <w:vAlign w:val="center"/>
          </w:tcPr>
          <w:p w14:paraId="0EE4DEE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N·m</w:t>
            </w:r>
          </w:p>
        </w:tc>
      </w:tr>
    </w:tbl>
    <w:p w14:paraId="568460CA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2F8204C5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consistência interna da Tabela 3 foi conferida: I</w:t>
      </w:r>
      <w:r>
        <w:rPr>
          <w:vertAlign w:val="subscript"/>
          <w:lang w:val="pt-BR"/>
        </w:rPr>
        <w:t>cm</w:t>
      </w:r>
      <w:r>
        <w:rPr>
          <w:lang w:val="pt-BR"/>
        </w:rPr>
        <w:t xml:space="preserve"> + M d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= 0,127111 + 0,321116 = 0,448227 kg·m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, igual ao momento de inércia no eixo da junta, conforme a Equação (1); e M g d = 11,1619 N·m coincide com o pico do torque gravitacional calculado pela Equação (24) (seção 4.8). O momento de inércia destina-se à etapa dinâmica, não executada, e não participa do cálculo do torque estático.</w:t>
      </w:r>
    </w:p>
    <w:p w14:paraId="29FDB5CF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4.2 Dados extraídos da patente</w:t>
      </w:r>
    </w:p>
    <w:p w14:paraId="0534A18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Tabela 4 reúne os 29 pontos extraídos da curva da patente, na ordem da extração, com os ângulos correspondentes nas convenções da seção 3.3, o torque calculado pelo modelo com os parâmetros congelados e o resíduo. Os pontos cobrem θ* de 42,909° a 193,017°, isto é, elevação de 180,1° a 30,0°, com espaçamento irregular, de 2,87° a 8,03° em θ*. O maior valor extraído, 147,310 u.p., ocorre em θ* = 123,196° (elevação de 99,8°), e a média dos 29 valores é 81,840 u.p. Os valores são expressos em u.p. porque a figura de origem não declara unidade (seção 2.10).</w:t>
      </w:r>
    </w:p>
    <w:p w14:paraId="4F25EEB8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4 — Pontos extraídos da curva da patente e torque calculado pelo modelo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700"/>
        <w:gridCol w:w="1300"/>
        <w:gridCol w:w="1300"/>
        <w:gridCol w:w="1300"/>
        <w:gridCol w:w="1600"/>
        <w:gridCol w:w="1580"/>
        <w:gridCol w:w="1580"/>
      </w:tblGrid>
      <w:tr w:rsidR="009C1161" w14:paraId="66F06311" w14:textId="77777777">
        <w:trPr>
          <w:cantSplit/>
          <w:tblHeader/>
          <w:jc w:val="center"/>
        </w:trPr>
        <w:tc>
          <w:tcPr>
            <w:tcW w:w="700" w:type="dxa"/>
            <w:shd w:val="clear" w:color="auto" w:fill="F2F2F2"/>
            <w:vAlign w:val="center"/>
          </w:tcPr>
          <w:p w14:paraId="7D43DC8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Nº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F706FD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θ* (°)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077FD0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φ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pat</w:t>
            </w:r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4D64B06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θ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el</w:t>
            </w:r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2ACFCC5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Extraído (u.p.)</w:t>
            </w:r>
          </w:p>
        </w:tc>
        <w:tc>
          <w:tcPr>
            <w:tcW w:w="1580" w:type="dxa"/>
            <w:shd w:val="clear" w:color="auto" w:fill="F2F2F2"/>
            <w:vAlign w:val="center"/>
          </w:tcPr>
          <w:p w14:paraId="00DDE6B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Modelo, −τ (u.p.)</w:t>
            </w:r>
          </w:p>
        </w:tc>
        <w:tc>
          <w:tcPr>
            <w:tcW w:w="1580" w:type="dxa"/>
            <w:shd w:val="clear" w:color="auto" w:fill="F2F2F2"/>
            <w:vAlign w:val="center"/>
          </w:tcPr>
          <w:p w14:paraId="5BE7CEA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Resíduo (u.p.)</w:t>
            </w:r>
          </w:p>
        </w:tc>
      </w:tr>
      <w:tr w:rsidR="009C1161" w14:paraId="029EB1C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F156C8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</w:t>
            </w:r>
          </w:p>
        </w:tc>
        <w:tc>
          <w:tcPr>
            <w:tcW w:w="1300" w:type="dxa"/>
            <w:vAlign w:val="center"/>
          </w:tcPr>
          <w:p w14:paraId="63F1395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193,017</w:t>
            </w:r>
          </w:p>
        </w:tc>
        <w:tc>
          <w:tcPr>
            <w:tcW w:w="1300" w:type="dxa"/>
            <w:vAlign w:val="center"/>
          </w:tcPr>
          <w:p w14:paraId="383228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−60,000</w:t>
            </w:r>
          </w:p>
        </w:tc>
        <w:tc>
          <w:tcPr>
            <w:tcW w:w="1300" w:type="dxa"/>
            <w:vAlign w:val="center"/>
          </w:tcPr>
          <w:p w14:paraId="774406A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30,000</w:t>
            </w:r>
          </w:p>
        </w:tc>
        <w:tc>
          <w:tcPr>
            <w:tcW w:w="1600" w:type="dxa"/>
            <w:vAlign w:val="center"/>
          </w:tcPr>
          <w:p w14:paraId="07C0005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0,443</w:t>
            </w:r>
          </w:p>
        </w:tc>
        <w:tc>
          <w:tcPr>
            <w:tcW w:w="1580" w:type="dxa"/>
            <w:vAlign w:val="center"/>
          </w:tcPr>
          <w:p w14:paraId="6BDA1B7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−1,709</w:t>
            </w:r>
          </w:p>
        </w:tc>
        <w:tc>
          <w:tcPr>
            <w:tcW w:w="1580" w:type="dxa"/>
            <w:vAlign w:val="center"/>
          </w:tcPr>
          <w:p w14:paraId="295D7D5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−2,152</w:t>
            </w:r>
          </w:p>
        </w:tc>
      </w:tr>
      <w:tr w:rsidR="009C1161" w14:paraId="71414CF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D15D43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</w:t>
            </w:r>
          </w:p>
        </w:tc>
        <w:tc>
          <w:tcPr>
            <w:tcW w:w="1300" w:type="dxa"/>
            <w:vAlign w:val="center"/>
          </w:tcPr>
          <w:p w14:paraId="697BF8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189,146</w:t>
            </w:r>
          </w:p>
        </w:tc>
        <w:tc>
          <w:tcPr>
            <w:tcW w:w="1300" w:type="dxa"/>
            <w:vAlign w:val="center"/>
          </w:tcPr>
          <w:p w14:paraId="53FB72F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−56,129</w:t>
            </w:r>
          </w:p>
        </w:tc>
        <w:tc>
          <w:tcPr>
            <w:tcW w:w="1300" w:type="dxa"/>
            <w:vAlign w:val="center"/>
          </w:tcPr>
          <w:p w14:paraId="707678F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33,871</w:t>
            </w:r>
          </w:p>
        </w:tc>
        <w:tc>
          <w:tcPr>
            <w:tcW w:w="1600" w:type="dxa"/>
            <w:vAlign w:val="center"/>
          </w:tcPr>
          <w:p w14:paraId="0C0AC87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11,519</w:t>
            </w:r>
          </w:p>
        </w:tc>
        <w:tc>
          <w:tcPr>
            <w:tcW w:w="1580" w:type="dxa"/>
            <w:vAlign w:val="center"/>
          </w:tcPr>
          <w:p w14:paraId="14BA1E8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+11,908</w:t>
            </w:r>
          </w:p>
        </w:tc>
        <w:tc>
          <w:tcPr>
            <w:tcW w:w="1580" w:type="dxa"/>
            <w:vAlign w:val="center"/>
          </w:tcPr>
          <w:p w14:paraId="433206F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+0,389</w:t>
            </w:r>
          </w:p>
        </w:tc>
      </w:tr>
      <w:tr w:rsidR="009C1161" w14:paraId="397D60C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131FAB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</w:t>
            </w:r>
          </w:p>
        </w:tc>
        <w:tc>
          <w:tcPr>
            <w:tcW w:w="1300" w:type="dxa"/>
            <w:vAlign w:val="center"/>
          </w:tcPr>
          <w:p w14:paraId="256C22D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185,849</w:t>
            </w:r>
          </w:p>
        </w:tc>
        <w:tc>
          <w:tcPr>
            <w:tcW w:w="1300" w:type="dxa"/>
            <w:vAlign w:val="center"/>
          </w:tcPr>
          <w:p w14:paraId="4080416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−52,832</w:t>
            </w:r>
          </w:p>
        </w:tc>
        <w:tc>
          <w:tcPr>
            <w:tcW w:w="1300" w:type="dxa"/>
            <w:vAlign w:val="center"/>
          </w:tcPr>
          <w:p w14:paraId="135AF7D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37,168</w:t>
            </w:r>
          </w:p>
        </w:tc>
        <w:tc>
          <w:tcPr>
            <w:tcW w:w="1600" w:type="dxa"/>
            <w:vAlign w:val="center"/>
          </w:tcPr>
          <w:p w14:paraId="23E20B7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23,703</w:t>
            </w:r>
          </w:p>
        </w:tc>
        <w:tc>
          <w:tcPr>
            <w:tcW w:w="1580" w:type="dxa"/>
            <w:vAlign w:val="center"/>
          </w:tcPr>
          <w:p w14:paraId="31DF3F8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+23,428</w:t>
            </w:r>
          </w:p>
        </w:tc>
        <w:tc>
          <w:tcPr>
            <w:tcW w:w="1580" w:type="dxa"/>
            <w:vAlign w:val="center"/>
          </w:tcPr>
          <w:p w14:paraId="5C941F3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−0,274</w:t>
            </w:r>
          </w:p>
        </w:tc>
      </w:tr>
      <w:tr w:rsidR="009C1161" w14:paraId="0F7C090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F6CB8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</w:t>
            </w:r>
          </w:p>
        </w:tc>
        <w:tc>
          <w:tcPr>
            <w:tcW w:w="1300" w:type="dxa"/>
            <w:vAlign w:val="center"/>
          </w:tcPr>
          <w:p w14:paraId="2BEA989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181,691</w:t>
            </w:r>
          </w:p>
        </w:tc>
        <w:tc>
          <w:tcPr>
            <w:tcW w:w="1300" w:type="dxa"/>
            <w:vAlign w:val="center"/>
          </w:tcPr>
          <w:p w14:paraId="61ED9D1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−48,674</w:t>
            </w:r>
          </w:p>
        </w:tc>
        <w:tc>
          <w:tcPr>
            <w:tcW w:w="1300" w:type="dxa"/>
            <w:vAlign w:val="center"/>
          </w:tcPr>
          <w:p w14:paraId="73AF93C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41,326</w:t>
            </w:r>
          </w:p>
        </w:tc>
        <w:tc>
          <w:tcPr>
            <w:tcW w:w="1600" w:type="dxa"/>
            <w:vAlign w:val="center"/>
          </w:tcPr>
          <w:p w14:paraId="31C61EA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38,101</w:t>
            </w:r>
          </w:p>
        </w:tc>
        <w:tc>
          <w:tcPr>
            <w:tcW w:w="1580" w:type="dxa"/>
            <w:vAlign w:val="center"/>
          </w:tcPr>
          <w:p w14:paraId="1891C36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+37,729</w:t>
            </w:r>
          </w:p>
        </w:tc>
        <w:tc>
          <w:tcPr>
            <w:tcW w:w="1580" w:type="dxa"/>
            <w:vAlign w:val="center"/>
          </w:tcPr>
          <w:p w14:paraId="2B023A1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−0,372</w:t>
            </w:r>
          </w:p>
        </w:tc>
      </w:tr>
      <w:tr w:rsidR="009C1161" w14:paraId="6768A8B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4734EF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</w:t>
            </w:r>
          </w:p>
        </w:tc>
        <w:tc>
          <w:tcPr>
            <w:tcW w:w="1300" w:type="dxa"/>
            <w:vAlign w:val="center"/>
          </w:tcPr>
          <w:p w14:paraId="76A982D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177,677</w:t>
            </w:r>
          </w:p>
        </w:tc>
        <w:tc>
          <w:tcPr>
            <w:tcW w:w="1300" w:type="dxa"/>
            <w:vAlign w:val="center"/>
          </w:tcPr>
          <w:p w14:paraId="600D70E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−44,660</w:t>
            </w:r>
          </w:p>
        </w:tc>
        <w:tc>
          <w:tcPr>
            <w:tcW w:w="1300" w:type="dxa"/>
            <w:vAlign w:val="center"/>
          </w:tcPr>
          <w:p w14:paraId="7EB074D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45,340</w:t>
            </w:r>
          </w:p>
        </w:tc>
        <w:tc>
          <w:tcPr>
            <w:tcW w:w="1600" w:type="dxa"/>
            <w:vAlign w:val="center"/>
          </w:tcPr>
          <w:p w14:paraId="527EC3F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50,506</w:t>
            </w:r>
          </w:p>
        </w:tc>
        <w:tc>
          <w:tcPr>
            <w:tcW w:w="1580" w:type="dxa"/>
            <w:vAlign w:val="center"/>
          </w:tcPr>
          <w:p w14:paraId="64313B7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+51,171</w:t>
            </w:r>
          </w:p>
        </w:tc>
        <w:tc>
          <w:tcPr>
            <w:tcW w:w="1580" w:type="dxa"/>
            <w:vAlign w:val="center"/>
          </w:tcPr>
          <w:p w14:paraId="4FC22DE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+0,664</w:t>
            </w:r>
          </w:p>
        </w:tc>
      </w:tr>
      <w:tr w:rsidR="009C1161" w14:paraId="65BDC3C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51CBF6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</w:t>
            </w:r>
          </w:p>
        </w:tc>
        <w:tc>
          <w:tcPr>
            <w:tcW w:w="1300" w:type="dxa"/>
            <w:vAlign w:val="center"/>
          </w:tcPr>
          <w:p w14:paraId="2AE8C81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171,368</w:t>
            </w:r>
          </w:p>
        </w:tc>
        <w:tc>
          <w:tcPr>
            <w:tcW w:w="1300" w:type="dxa"/>
            <w:vAlign w:val="center"/>
          </w:tcPr>
          <w:p w14:paraId="3F50C7C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−38,351</w:t>
            </w:r>
          </w:p>
        </w:tc>
        <w:tc>
          <w:tcPr>
            <w:tcW w:w="1300" w:type="dxa"/>
            <w:vAlign w:val="center"/>
          </w:tcPr>
          <w:p w14:paraId="190C608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51,649</w:t>
            </w:r>
          </w:p>
        </w:tc>
        <w:tc>
          <w:tcPr>
            <w:tcW w:w="1600" w:type="dxa"/>
            <w:vAlign w:val="center"/>
          </w:tcPr>
          <w:p w14:paraId="0ADFE8F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70,000</w:t>
            </w:r>
          </w:p>
        </w:tc>
        <w:tc>
          <w:tcPr>
            <w:tcW w:w="1580" w:type="dxa"/>
            <w:vAlign w:val="center"/>
          </w:tcPr>
          <w:p w14:paraId="4AF9485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+71,259</w:t>
            </w:r>
          </w:p>
        </w:tc>
        <w:tc>
          <w:tcPr>
            <w:tcW w:w="1580" w:type="dxa"/>
            <w:vAlign w:val="center"/>
          </w:tcPr>
          <w:p w14:paraId="5858E7B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+1,259</w:t>
            </w:r>
          </w:p>
        </w:tc>
      </w:tr>
      <w:tr w:rsidR="009C1161" w14:paraId="553E9C9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C0C658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</w:t>
            </w:r>
          </w:p>
        </w:tc>
        <w:tc>
          <w:tcPr>
            <w:tcW w:w="1300" w:type="dxa"/>
            <w:vAlign w:val="center"/>
          </w:tcPr>
          <w:p w14:paraId="42A0141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167,354</w:t>
            </w:r>
          </w:p>
        </w:tc>
        <w:tc>
          <w:tcPr>
            <w:tcW w:w="1300" w:type="dxa"/>
            <w:vAlign w:val="center"/>
          </w:tcPr>
          <w:p w14:paraId="123039C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−34,337</w:t>
            </w:r>
          </w:p>
        </w:tc>
        <w:tc>
          <w:tcPr>
            <w:tcW w:w="1300" w:type="dxa"/>
            <w:vAlign w:val="center"/>
          </w:tcPr>
          <w:p w14:paraId="5F249B2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55,663</w:t>
            </w:r>
          </w:p>
        </w:tc>
        <w:tc>
          <w:tcPr>
            <w:tcW w:w="1600" w:type="dxa"/>
            <w:vAlign w:val="center"/>
          </w:tcPr>
          <w:p w14:paraId="1A61BCB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81,962</w:t>
            </w:r>
          </w:p>
        </w:tc>
        <w:tc>
          <w:tcPr>
            <w:tcW w:w="1580" w:type="dxa"/>
            <w:vAlign w:val="center"/>
          </w:tcPr>
          <w:p w14:paraId="3291177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+83,202</w:t>
            </w:r>
          </w:p>
        </w:tc>
        <w:tc>
          <w:tcPr>
            <w:tcW w:w="1580" w:type="dxa"/>
            <w:vAlign w:val="center"/>
          </w:tcPr>
          <w:p w14:paraId="033CF9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+1,240</w:t>
            </w:r>
          </w:p>
        </w:tc>
      </w:tr>
      <w:tr w:rsidR="009C1161" w14:paraId="41942E0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E095AA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</w:t>
            </w:r>
          </w:p>
        </w:tc>
        <w:tc>
          <w:tcPr>
            <w:tcW w:w="1300" w:type="dxa"/>
            <w:vAlign w:val="center"/>
          </w:tcPr>
          <w:p w14:paraId="27E8237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162,766</w:t>
            </w:r>
          </w:p>
        </w:tc>
        <w:tc>
          <w:tcPr>
            <w:tcW w:w="1300" w:type="dxa"/>
            <w:vAlign w:val="center"/>
          </w:tcPr>
          <w:p w14:paraId="0FA67CA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−29,749</w:t>
            </w:r>
          </w:p>
        </w:tc>
        <w:tc>
          <w:tcPr>
            <w:tcW w:w="1300" w:type="dxa"/>
            <w:vAlign w:val="center"/>
          </w:tcPr>
          <w:p w14:paraId="0108F1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60,251</w:t>
            </w:r>
          </w:p>
        </w:tc>
        <w:tc>
          <w:tcPr>
            <w:tcW w:w="1600" w:type="dxa"/>
            <w:vAlign w:val="center"/>
          </w:tcPr>
          <w:p w14:paraId="4F20E07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94,146</w:t>
            </w:r>
          </w:p>
        </w:tc>
        <w:tc>
          <w:tcPr>
            <w:tcW w:w="1580" w:type="dxa"/>
            <w:vAlign w:val="center"/>
          </w:tcPr>
          <w:p w14:paraId="3B511BD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+95,882</w:t>
            </w:r>
          </w:p>
        </w:tc>
        <w:tc>
          <w:tcPr>
            <w:tcW w:w="1580" w:type="dxa"/>
            <w:vAlign w:val="center"/>
          </w:tcPr>
          <w:p w14:paraId="31A5D2C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+1,736</w:t>
            </w:r>
          </w:p>
        </w:tc>
      </w:tr>
      <w:tr w:rsidR="009C1161" w14:paraId="7AB327F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CB6A78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</w:t>
            </w:r>
          </w:p>
        </w:tc>
        <w:tc>
          <w:tcPr>
            <w:tcW w:w="1300" w:type="dxa"/>
            <w:vAlign w:val="center"/>
          </w:tcPr>
          <w:p w14:paraId="36467A0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155,311</w:t>
            </w:r>
          </w:p>
        </w:tc>
        <w:tc>
          <w:tcPr>
            <w:tcW w:w="1300" w:type="dxa"/>
            <w:vAlign w:val="center"/>
          </w:tcPr>
          <w:p w14:paraId="48C3519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−22,294</w:t>
            </w:r>
          </w:p>
        </w:tc>
        <w:tc>
          <w:tcPr>
            <w:tcW w:w="1300" w:type="dxa"/>
            <w:vAlign w:val="center"/>
          </w:tcPr>
          <w:p w14:paraId="081E679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67,706</w:t>
            </w:r>
          </w:p>
        </w:tc>
        <w:tc>
          <w:tcPr>
            <w:tcW w:w="1600" w:type="dxa"/>
            <w:vAlign w:val="center"/>
          </w:tcPr>
          <w:p w14:paraId="11792C9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111,867</w:t>
            </w:r>
          </w:p>
        </w:tc>
        <w:tc>
          <w:tcPr>
            <w:tcW w:w="1580" w:type="dxa"/>
            <w:vAlign w:val="center"/>
          </w:tcPr>
          <w:p w14:paraId="70AFF4F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+113,925</w:t>
            </w:r>
          </w:p>
        </w:tc>
        <w:tc>
          <w:tcPr>
            <w:tcW w:w="1580" w:type="dxa"/>
            <w:vAlign w:val="center"/>
          </w:tcPr>
          <w:p w14:paraId="29569C3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+2,058</w:t>
            </w:r>
          </w:p>
        </w:tc>
      </w:tr>
      <w:tr w:rsidR="009C1161" w14:paraId="4BB2805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6112DF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</w:t>
            </w:r>
          </w:p>
        </w:tc>
        <w:tc>
          <w:tcPr>
            <w:tcW w:w="1300" w:type="dxa"/>
            <w:vAlign w:val="center"/>
          </w:tcPr>
          <w:p w14:paraId="1C1CFA5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148,429</w:t>
            </w:r>
          </w:p>
        </w:tc>
        <w:tc>
          <w:tcPr>
            <w:tcW w:w="1300" w:type="dxa"/>
            <w:vAlign w:val="center"/>
          </w:tcPr>
          <w:p w14:paraId="1EBC38B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−15,412</w:t>
            </w:r>
          </w:p>
        </w:tc>
        <w:tc>
          <w:tcPr>
            <w:tcW w:w="1300" w:type="dxa"/>
            <w:vAlign w:val="center"/>
          </w:tcPr>
          <w:p w14:paraId="35D79F6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74,588</w:t>
            </w:r>
          </w:p>
        </w:tc>
        <w:tc>
          <w:tcPr>
            <w:tcW w:w="1600" w:type="dxa"/>
            <w:vAlign w:val="center"/>
          </w:tcPr>
          <w:p w14:paraId="2C0B796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125,158</w:t>
            </w:r>
          </w:p>
        </w:tc>
        <w:tc>
          <w:tcPr>
            <w:tcW w:w="1580" w:type="dxa"/>
            <w:vAlign w:val="center"/>
          </w:tcPr>
          <w:p w14:paraId="4F3E353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+127,378</w:t>
            </w:r>
          </w:p>
        </w:tc>
        <w:tc>
          <w:tcPr>
            <w:tcW w:w="1580" w:type="dxa"/>
            <w:vAlign w:val="center"/>
          </w:tcPr>
          <w:p w14:paraId="208C916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+2,220</w:t>
            </w:r>
          </w:p>
        </w:tc>
      </w:tr>
      <w:tr w:rsidR="009C1161" w14:paraId="59246E2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F19F3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</w:t>
            </w:r>
          </w:p>
        </w:tc>
        <w:tc>
          <w:tcPr>
            <w:tcW w:w="1300" w:type="dxa"/>
            <w:vAlign w:val="center"/>
          </w:tcPr>
          <w:p w14:paraId="657590C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143,268</w:t>
            </w:r>
          </w:p>
        </w:tc>
        <w:tc>
          <w:tcPr>
            <w:tcW w:w="1300" w:type="dxa"/>
            <w:vAlign w:val="center"/>
          </w:tcPr>
          <w:p w14:paraId="6A407BB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−10,251</w:t>
            </w:r>
          </w:p>
        </w:tc>
        <w:tc>
          <w:tcPr>
            <w:tcW w:w="1300" w:type="dxa"/>
            <w:vAlign w:val="center"/>
          </w:tcPr>
          <w:p w14:paraId="46D7B9C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79,749</w:t>
            </w:r>
          </w:p>
        </w:tc>
        <w:tc>
          <w:tcPr>
            <w:tcW w:w="1600" w:type="dxa"/>
            <w:vAlign w:val="center"/>
          </w:tcPr>
          <w:p w14:paraId="5CFF095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133,354</w:t>
            </w:r>
          </w:p>
        </w:tc>
        <w:tc>
          <w:tcPr>
            <w:tcW w:w="1580" w:type="dxa"/>
            <w:vAlign w:val="center"/>
          </w:tcPr>
          <w:p w14:paraId="3F17419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+135,260</w:t>
            </w:r>
          </w:p>
        </w:tc>
        <w:tc>
          <w:tcPr>
            <w:tcW w:w="1580" w:type="dxa"/>
            <w:vAlign w:val="center"/>
          </w:tcPr>
          <w:p w14:paraId="7A3B89D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+1,906</w:t>
            </w:r>
          </w:p>
        </w:tc>
      </w:tr>
      <w:tr w:rsidR="009C1161" w14:paraId="58E21FD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5A28EA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</w:t>
            </w:r>
          </w:p>
        </w:tc>
        <w:tc>
          <w:tcPr>
            <w:tcW w:w="1300" w:type="dxa"/>
            <w:vAlign w:val="center"/>
          </w:tcPr>
          <w:p w14:paraId="2848921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135,239</w:t>
            </w:r>
          </w:p>
        </w:tc>
        <w:tc>
          <w:tcPr>
            <w:tcW w:w="1300" w:type="dxa"/>
            <w:vAlign w:val="center"/>
          </w:tcPr>
          <w:p w14:paraId="031A216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−2,222</w:t>
            </w:r>
          </w:p>
        </w:tc>
        <w:tc>
          <w:tcPr>
            <w:tcW w:w="1300" w:type="dxa"/>
            <w:vAlign w:val="center"/>
          </w:tcPr>
          <w:p w14:paraId="1C802F1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87,778</w:t>
            </w:r>
          </w:p>
        </w:tc>
        <w:tc>
          <w:tcPr>
            <w:tcW w:w="1600" w:type="dxa"/>
            <w:vAlign w:val="center"/>
          </w:tcPr>
          <w:p w14:paraId="7C9BEB9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142,437</w:t>
            </w:r>
          </w:p>
        </w:tc>
        <w:tc>
          <w:tcPr>
            <w:tcW w:w="1580" w:type="dxa"/>
            <w:vAlign w:val="center"/>
          </w:tcPr>
          <w:p w14:paraId="04AAB77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+143,561</w:t>
            </w:r>
          </w:p>
        </w:tc>
        <w:tc>
          <w:tcPr>
            <w:tcW w:w="1580" w:type="dxa"/>
            <w:vAlign w:val="center"/>
          </w:tcPr>
          <w:p w14:paraId="244DD49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+1,124</w:t>
            </w:r>
          </w:p>
        </w:tc>
      </w:tr>
      <w:tr w:rsidR="009C1161" w14:paraId="5378E36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5ED4E2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</w:t>
            </w:r>
          </w:p>
        </w:tc>
        <w:tc>
          <w:tcPr>
            <w:tcW w:w="1300" w:type="dxa"/>
            <w:vAlign w:val="center"/>
          </w:tcPr>
          <w:p w14:paraId="2BDC2B7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128,931</w:t>
            </w:r>
          </w:p>
        </w:tc>
        <w:tc>
          <w:tcPr>
            <w:tcW w:w="1300" w:type="dxa"/>
            <w:vAlign w:val="center"/>
          </w:tcPr>
          <w:p w14:paraId="387BA93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+4,086</w:t>
            </w:r>
          </w:p>
        </w:tc>
        <w:tc>
          <w:tcPr>
            <w:tcW w:w="1300" w:type="dxa"/>
            <w:vAlign w:val="center"/>
          </w:tcPr>
          <w:p w14:paraId="7B17F6B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94,086</w:t>
            </w:r>
          </w:p>
        </w:tc>
        <w:tc>
          <w:tcPr>
            <w:tcW w:w="1600" w:type="dxa"/>
            <w:vAlign w:val="center"/>
          </w:tcPr>
          <w:p w14:paraId="6161238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146,202</w:t>
            </w:r>
          </w:p>
        </w:tc>
        <w:tc>
          <w:tcPr>
            <w:tcW w:w="1580" w:type="dxa"/>
            <w:vAlign w:val="center"/>
          </w:tcPr>
          <w:p w14:paraId="669D93F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+146,647</w:t>
            </w:r>
          </w:p>
        </w:tc>
        <w:tc>
          <w:tcPr>
            <w:tcW w:w="1580" w:type="dxa"/>
            <w:vAlign w:val="center"/>
          </w:tcPr>
          <w:p w14:paraId="4641557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+0,445</w:t>
            </w:r>
          </w:p>
        </w:tc>
      </w:tr>
      <w:tr w:rsidR="009C1161" w14:paraId="3E34BEE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FB8446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</w:t>
            </w:r>
          </w:p>
        </w:tc>
        <w:tc>
          <w:tcPr>
            <w:tcW w:w="1300" w:type="dxa"/>
            <w:vAlign w:val="center"/>
          </w:tcPr>
          <w:p w14:paraId="3B24EB6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123,196</w:t>
            </w:r>
          </w:p>
        </w:tc>
        <w:tc>
          <w:tcPr>
            <w:tcW w:w="1300" w:type="dxa"/>
            <w:vAlign w:val="center"/>
          </w:tcPr>
          <w:p w14:paraId="12687D6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+9,821</w:t>
            </w:r>
          </w:p>
        </w:tc>
        <w:tc>
          <w:tcPr>
            <w:tcW w:w="1300" w:type="dxa"/>
            <w:vAlign w:val="center"/>
          </w:tcPr>
          <w:p w14:paraId="4DA0ADB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99,821</w:t>
            </w:r>
          </w:p>
        </w:tc>
        <w:tc>
          <w:tcPr>
            <w:tcW w:w="1600" w:type="dxa"/>
            <w:vAlign w:val="center"/>
          </w:tcPr>
          <w:p w14:paraId="28352DA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147,310</w:t>
            </w:r>
          </w:p>
        </w:tc>
        <w:tc>
          <w:tcPr>
            <w:tcW w:w="1580" w:type="dxa"/>
            <w:vAlign w:val="center"/>
          </w:tcPr>
          <w:p w14:paraId="1B2465C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+146,874</w:t>
            </w:r>
          </w:p>
        </w:tc>
        <w:tc>
          <w:tcPr>
            <w:tcW w:w="1580" w:type="dxa"/>
            <w:vAlign w:val="center"/>
          </w:tcPr>
          <w:p w14:paraId="5E60AF5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−0,436</w:t>
            </w:r>
          </w:p>
        </w:tc>
      </w:tr>
      <w:tr w:rsidR="009C1161" w14:paraId="2AD9BBC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88D8E2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</w:t>
            </w:r>
          </w:p>
        </w:tc>
        <w:tc>
          <w:tcPr>
            <w:tcW w:w="1300" w:type="dxa"/>
            <w:vAlign w:val="center"/>
          </w:tcPr>
          <w:p w14:paraId="3992170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115,168</w:t>
            </w:r>
          </w:p>
        </w:tc>
        <w:tc>
          <w:tcPr>
            <w:tcW w:w="1300" w:type="dxa"/>
            <w:vAlign w:val="center"/>
          </w:tcPr>
          <w:p w14:paraId="348B14C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+17,849</w:t>
            </w:r>
          </w:p>
        </w:tc>
        <w:tc>
          <w:tcPr>
            <w:tcW w:w="1300" w:type="dxa"/>
            <w:vAlign w:val="center"/>
          </w:tcPr>
          <w:p w14:paraId="56A8117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107,849</w:t>
            </w:r>
          </w:p>
        </w:tc>
        <w:tc>
          <w:tcPr>
            <w:tcW w:w="1600" w:type="dxa"/>
            <w:vAlign w:val="center"/>
          </w:tcPr>
          <w:p w14:paraId="08B21A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144,652</w:t>
            </w:r>
          </w:p>
        </w:tc>
        <w:tc>
          <w:tcPr>
            <w:tcW w:w="1580" w:type="dxa"/>
            <w:vAlign w:val="center"/>
          </w:tcPr>
          <w:p w14:paraId="33AADE8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+143,291</w:t>
            </w:r>
          </w:p>
        </w:tc>
        <w:tc>
          <w:tcPr>
            <w:tcW w:w="1580" w:type="dxa"/>
            <w:vAlign w:val="center"/>
          </w:tcPr>
          <w:p w14:paraId="3D2761A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−1,361</w:t>
            </w:r>
          </w:p>
        </w:tc>
      </w:tr>
      <w:tr w:rsidR="009C1161" w14:paraId="19887D7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E067E8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</w:t>
            </w:r>
          </w:p>
        </w:tc>
        <w:tc>
          <w:tcPr>
            <w:tcW w:w="1300" w:type="dxa"/>
            <w:vAlign w:val="center"/>
          </w:tcPr>
          <w:p w14:paraId="5A31508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108,286</w:t>
            </w:r>
          </w:p>
        </w:tc>
        <w:tc>
          <w:tcPr>
            <w:tcW w:w="1300" w:type="dxa"/>
            <w:vAlign w:val="center"/>
          </w:tcPr>
          <w:p w14:paraId="30EAD6C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+24,731</w:t>
            </w:r>
          </w:p>
        </w:tc>
        <w:tc>
          <w:tcPr>
            <w:tcW w:w="1300" w:type="dxa"/>
            <w:vAlign w:val="center"/>
          </w:tcPr>
          <w:p w14:paraId="3C3F8A8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114,731</w:t>
            </w:r>
          </w:p>
        </w:tc>
        <w:tc>
          <w:tcPr>
            <w:tcW w:w="1600" w:type="dxa"/>
            <w:vAlign w:val="center"/>
          </w:tcPr>
          <w:p w14:paraId="6CB25A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138,892</w:t>
            </w:r>
          </w:p>
        </w:tc>
        <w:tc>
          <w:tcPr>
            <w:tcW w:w="1580" w:type="dxa"/>
            <w:vAlign w:val="center"/>
          </w:tcPr>
          <w:p w14:paraId="113D10B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+136,943</w:t>
            </w:r>
          </w:p>
        </w:tc>
        <w:tc>
          <w:tcPr>
            <w:tcW w:w="1580" w:type="dxa"/>
            <w:vAlign w:val="center"/>
          </w:tcPr>
          <w:p w14:paraId="6EB7BAD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−1,950</w:t>
            </w:r>
          </w:p>
        </w:tc>
      </w:tr>
      <w:tr w:rsidR="009C1161" w14:paraId="1760489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441F54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</w:t>
            </w:r>
          </w:p>
        </w:tc>
        <w:tc>
          <w:tcPr>
            <w:tcW w:w="1300" w:type="dxa"/>
            <w:vAlign w:val="center"/>
          </w:tcPr>
          <w:p w14:paraId="116C783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100,831</w:t>
            </w:r>
          </w:p>
        </w:tc>
        <w:tc>
          <w:tcPr>
            <w:tcW w:w="1300" w:type="dxa"/>
            <w:vAlign w:val="center"/>
          </w:tcPr>
          <w:p w14:paraId="094CCFB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+32,186</w:t>
            </w:r>
          </w:p>
        </w:tc>
        <w:tc>
          <w:tcPr>
            <w:tcW w:w="1300" w:type="dxa"/>
            <w:vAlign w:val="center"/>
          </w:tcPr>
          <w:p w14:paraId="62CA65D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122,186</w:t>
            </w:r>
          </w:p>
        </w:tc>
        <w:tc>
          <w:tcPr>
            <w:tcW w:w="1600" w:type="dxa"/>
            <w:vAlign w:val="center"/>
          </w:tcPr>
          <w:p w14:paraId="09B2D82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130,032</w:t>
            </w:r>
          </w:p>
        </w:tc>
        <w:tc>
          <w:tcPr>
            <w:tcW w:w="1580" w:type="dxa"/>
            <w:vAlign w:val="center"/>
          </w:tcPr>
          <w:p w14:paraId="2D1C311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+127,175</w:t>
            </w:r>
          </w:p>
        </w:tc>
        <w:tc>
          <w:tcPr>
            <w:tcW w:w="1580" w:type="dxa"/>
            <w:vAlign w:val="center"/>
          </w:tcPr>
          <w:p w14:paraId="2D93BA5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−2,856</w:t>
            </w:r>
          </w:p>
        </w:tc>
      </w:tr>
      <w:tr w:rsidR="009C1161" w14:paraId="2611203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3CC958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</w:t>
            </w:r>
          </w:p>
        </w:tc>
        <w:tc>
          <w:tcPr>
            <w:tcW w:w="1300" w:type="dxa"/>
            <w:vAlign w:val="center"/>
          </w:tcPr>
          <w:p w14:paraId="3A9228E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94,809</w:t>
            </w:r>
          </w:p>
        </w:tc>
        <w:tc>
          <w:tcPr>
            <w:tcW w:w="1300" w:type="dxa"/>
            <w:vAlign w:val="center"/>
          </w:tcPr>
          <w:p w14:paraId="1436ED5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+38,208</w:t>
            </w:r>
          </w:p>
        </w:tc>
        <w:tc>
          <w:tcPr>
            <w:tcW w:w="1300" w:type="dxa"/>
            <w:vAlign w:val="center"/>
          </w:tcPr>
          <w:p w14:paraId="1A3D20B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128,208</w:t>
            </w:r>
          </w:p>
        </w:tc>
        <w:tc>
          <w:tcPr>
            <w:tcW w:w="1600" w:type="dxa"/>
            <w:vAlign w:val="center"/>
          </w:tcPr>
          <w:p w14:paraId="361DDA9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120,063</w:t>
            </w:r>
          </w:p>
        </w:tc>
        <w:tc>
          <w:tcPr>
            <w:tcW w:w="1580" w:type="dxa"/>
            <w:vAlign w:val="center"/>
          </w:tcPr>
          <w:p w14:paraId="325783D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+117,532</w:t>
            </w:r>
          </w:p>
        </w:tc>
        <w:tc>
          <w:tcPr>
            <w:tcW w:w="1580" w:type="dxa"/>
            <w:vAlign w:val="center"/>
          </w:tcPr>
          <w:p w14:paraId="626A60D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−2,532</w:t>
            </w:r>
          </w:p>
        </w:tc>
      </w:tr>
      <w:tr w:rsidR="009C1161" w14:paraId="14392D6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A0DEC9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</w:t>
            </w:r>
          </w:p>
        </w:tc>
        <w:tc>
          <w:tcPr>
            <w:tcW w:w="1300" w:type="dxa"/>
            <w:vAlign w:val="center"/>
          </w:tcPr>
          <w:p w14:paraId="033969E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88,501</w:t>
            </w:r>
          </w:p>
        </w:tc>
        <w:tc>
          <w:tcPr>
            <w:tcW w:w="1300" w:type="dxa"/>
            <w:vAlign w:val="center"/>
          </w:tcPr>
          <w:p w14:paraId="4CA11DE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+44,516</w:t>
            </w:r>
          </w:p>
        </w:tc>
        <w:tc>
          <w:tcPr>
            <w:tcW w:w="1300" w:type="dxa"/>
            <w:vAlign w:val="center"/>
          </w:tcPr>
          <w:p w14:paraId="5C06313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134,516</w:t>
            </w:r>
          </w:p>
        </w:tc>
        <w:tc>
          <w:tcPr>
            <w:tcW w:w="1600" w:type="dxa"/>
            <w:vAlign w:val="center"/>
          </w:tcPr>
          <w:p w14:paraId="749A0DB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108,987</w:t>
            </w:r>
          </w:p>
        </w:tc>
        <w:tc>
          <w:tcPr>
            <w:tcW w:w="1580" w:type="dxa"/>
            <w:vAlign w:val="center"/>
          </w:tcPr>
          <w:p w14:paraId="550C714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+106,203</w:t>
            </w:r>
          </w:p>
        </w:tc>
        <w:tc>
          <w:tcPr>
            <w:tcW w:w="1580" w:type="dxa"/>
            <w:vAlign w:val="center"/>
          </w:tcPr>
          <w:p w14:paraId="5961B3B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−2,784</w:t>
            </w:r>
          </w:p>
        </w:tc>
      </w:tr>
      <w:tr w:rsidR="009C1161" w14:paraId="223449A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090B1A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20</w:t>
            </w:r>
          </w:p>
        </w:tc>
        <w:tc>
          <w:tcPr>
            <w:tcW w:w="1300" w:type="dxa"/>
            <w:vAlign w:val="center"/>
          </w:tcPr>
          <w:p w14:paraId="79FBFB3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83,340</w:t>
            </w:r>
          </w:p>
        </w:tc>
        <w:tc>
          <w:tcPr>
            <w:tcW w:w="1300" w:type="dxa"/>
            <w:vAlign w:val="center"/>
          </w:tcPr>
          <w:p w14:paraId="52E1DCA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+49,677</w:t>
            </w:r>
          </w:p>
        </w:tc>
        <w:tc>
          <w:tcPr>
            <w:tcW w:w="1300" w:type="dxa"/>
            <w:vAlign w:val="center"/>
          </w:tcPr>
          <w:p w14:paraId="3DDBB5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139,677</w:t>
            </w:r>
          </w:p>
        </w:tc>
        <w:tc>
          <w:tcPr>
            <w:tcW w:w="1600" w:type="dxa"/>
            <w:vAlign w:val="center"/>
          </w:tcPr>
          <w:p w14:paraId="30CA56F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98,354</w:t>
            </w:r>
          </w:p>
        </w:tc>
        <w:tc>
          <w:tcPr>
            <w:tcW w:w="1580" w:type="dxa"/>
            <w:vAlign w:val="center"/>
          </w:tcPr>
          <w:p w14:paraId="5D76AD2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+96,324</w:t>
            </w:r>
          </w:p>
        </w:tc>
        <w:tc>
          <w:tcPr>
            <w:tcW w:w="1580" w:type="dxa"/>
            <w:vAlign w:val="center"/>
          </w:tcPr>
          <w:p w14:paraId="2CDC805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−2,030</w:t>
            </w:r>
          </w:p>
        </w:tc>
      </w:tr>
      <w:tr w:rsidR="009C1161" w14:paraId="48B2B4A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AFB0A9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21</w:t>
            </w:r>
          </w:p>
        </w:tc>
        <w:tc>
          <w:tcPr>
            <w:tcW w:w="1300" w:type="dxa"/>
            <w:vAlign w:val="center"/>
          </w:tcPr>
          <w:p w14:paraId="1BD180F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78,035</w:t>
            </w:r>
          </w:p>
        </w:tc>
        <w:tc>
          <w:tcPr>
            <w:tcW w:w="1300" w:type="dxa"/>
            <w:vAlign w:val="center"/>
          </w:tcPr>
          <w:p w14:paraId="4F4E771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+54,982</w:t>
            </w:r>
          </w:p>
        </w:tc>
        <w:tc>
          <w:tcPr>
            <w:tcW w:w="1300" w:type="dxa"/>
            <w:vAlign w:val="center"/>
          </w:tcPr>
          <w:p w14:paraId="103AF5D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144,982</w:t>
            </w:r>
          </w:p>
        </w:tc>
        <w:tc>
          <w:tcPr>
            <w:tcW w:w="1600" w:type="dxa"/>
            <w:vAlign w:val="center"/>
          </w:tcPr>
          <w:p w14:paraId="40F5D5B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87,500</w:t>
            </w:r>
          </w:p>
        </w:tc>
        <w:tc>
          <w:tcPr>
            <w:tcW w:w="1580" w:type="dxa"/>
            <w:vAlign w:val="center"/>
          </w:tcPr>
          <w:p w14:paraId="321529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+85,889</w:t>
            </w:r>
          </w:p>
        </w:tc>
        <w:tc>
          <w:tcPr>
            <w:tcW w:w="1580" w:type="dxa"/>
            <w:vAlign w:val="center"/>
          </w:tcPr>
          <w:p w14:paraId="70DC263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−1,611</w:t>
            </w:r>
          </w:p>
        </w:tc>
      </w:tr>
      <w:tr w:rsidR="009C1161" w14:paraId="501C266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AC9CFE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22</w:t>
            </w:r>
          </w:p>
        </w:tc>
        <w:tc>
          <w:tcPr>
            <w:tcW w:w="1300" w:type="dxa"/>
            <w:vAlign w:val="center"/>
          </w:tcPr>
          <w:p w14:paraId="7B38905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72,587</w:t>
            </w:r>
          </w:p>
        </w:tc>
        <w:tc>
          <w:tcPr>
            <w:tcW w:w="1300" w:type="dxa"/>
            <w:vAlign w:val="center"/>
          </w:tcPr>
          <w:p w14:paraId="4406AD9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+60,430</w:t>
            </w:r>
          </w:p>
        </w:tc>
        <w:tc>
          <w:tcPr>
            <w:tcW w:w="1300" w:type="dxa"/>
            <w:vAlign w:val="center"/>
          </w:tcPr>
          <w:p w14:paraId="4F3DDB5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150,430</w:t>
            </w:r>
          </w:p>
        </w:tc>
        <w:tc>
          <w:tcPr>
            <w:tcW w:w="1600" w:type="dxa"/>
            <w:vAlign w:val="center"/>
          </w:tcPr>
          <w:p w14:paraId="1315350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75,981</w:t>
            </w:r>
          </w:p>
        </w:tc>
        <w:tc>
          <w:tcPr>
            <w:tcW w:w="1580" w:type="dxa"/>
            <w:vAlign w:val="center"/>
          </w:tcPr>
          <w:p w14:paraId="2FA0613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+75,155</w:t>
            </w:r>
          </w:p>
        </w:tc>
        <w:tc>
          <w:tcPr>
            <w:tcW w:w="1580" w:type="dxa"/>
            <w:vAlign w:val="center"/>
          </w:tcPr>
          <w:p w14:paraId="36BEC86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−0,826</w:t>
            </w:r>
          </w:p>
        </w:tc>
      </w:tr>
      <w:tr w:rsidR="009C1161" w14:paraId="11C0C0A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2FA6D0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23</w:t>
            </w:r>
          </w:p>
        </w:tc>
        <w:tc>
          <w:tcPr>
            <w:tcW w:w="1300" w:type="dxa"/>
            <w:vAlign w:val="center"/>
          </w:tcPr>
          <w:p w14:paraId="3C365C9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68,142</w:t>
            </w:r>
          </w:p>
        </w:tc>
        <w:tc>
          <w:tcPr>
            <w:tcW w:w="1300" w:type="dxa"/>
            <w:vAlign w:val="center"/>
          </w:tcPr>
          <w:p w14:paraId="0C8A268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+64,875</w:t>
            </w:r>
          </w:p>
        </w:tc>
        <w:tc>
          <w:tcPr>
            <w:tcW w:w="1300" w:type="dxa"/>
            <w:vAlign w:val="center"/>
          </w:tcPr>
          <w:p w14:paraId="2AF3F80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154,875</w:t>
            </w:r>
          </w:p>
        </w:tc>
        <w:tc>
          <w:tcPr>
            <w:tcW w:w="1600" w:type="dxa"/>
            <w:vAlign w:val="center"/>
          </w:tcPr>
          <w:p w14:paraId="6C801F1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66,456</w:t>
            </w:r>
          </w:p>
        </w:tc>
        <w:tc>
          <w:tcPr>
            <w:tcW w:w="1580" w:type="dxa"/>
            <w:vAlign w:val="center"/>
          </w:tcPr>
          <w:p w14:paraId="0A3534F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+66,572</w:t>
            </w:r>
          </w:p>
        </w:tc>
        <w:tc>
          <w:tcPr>
            <w:tcW w:w="1580" w:type="dxa"/>
            <w:vAlign w:val="center"/>
          </w:tcPr>
          <w:p w14:paraId="363E5E9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+0,117</w:t>
            </w:r>
          </w:p>
        </w:tc>
      </w:tr>
      <w:tr w:rsidR="009C1161" w14:paraId="6D94AD6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AAB4D5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24</w:t>
            </w:r>
          </w:p>
        </w:tc>
        <w:tc>
          <w:tcPr>
            <w:tcW w:w="1300" w:type="dxa"/>
            <w:vAlign w:val="center"/>
          </w:tcPr>
          <w:p w14:paraId="08C2BC7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62,408</w:t>
            </w:r>
          </w:p>
        </w:tc>
        <w:tc>
          <w:tcPr>
            <w:tcW w:w="1300" w:type="dxa"/>
            <w:vAlign w:val="center"/>
          </w:tcPr>
          <w:p w14:paraId="31C46A4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+70,609</w:t>
            </w:r>
          </w:p>
        </w:tc>
        <w:tc>
          <w:tcPr>
            <w:tcW w:w="1300" w:type="dxa"/>
            <w:vAlign w:val="center"/>
          </w:tcPr>
          <w:p w14:paraId="572F2D1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160,609</w:t>
            </w:r>
          </w:p>
        </w:tc>
        <w:tc>
          <w:tcPr>
            <w:tcW w:w="1600" w:type="dxa"/>
            <w:vAlign w:val="center"/>
          </w:tcPr>
          <w:p w14:paraId="47E0D3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55,158</w:t>
            </w:r>
          </w:p>
        </w:tc>
        <w:tc>
          <w:tcPr>
            <w:tcW w:w="1580" w:type="dxa"/>
            <w:vAlign w:val="center"/>
          </w:tcPr>
          <w:p w14:paraId="1714EB3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+55,955</w:t>
            </w:r>
          </w:p>
        </w:tc>
        <w:tc>
          <w:tcPr>
            <w:tcW w:w="1580" w:type="dxa"/>
            <w:vAlign w:val="center"/>
          </w:tcPr>
          <w:p w14:paraId="1890297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+0,797</w:t>
            </w:r>
          </w:p>
        </w:tc>
      </w:tr>
      <w:tr w:rsidR="009C1161" w14:paraId="2325C1B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BCE029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25</w:t>
            </w:r>
          </w:p>
        </w:tc>
        <w:tc>
          <w:tcPr>
            <w:tcW w:w="1300" w:type="dxa"/>
            <w:vAlign w:val="center"/>
          </w:tcPr>
          <w:p w14:paraId="29464C8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57,820</w:t>
            </w:r>
          </w:p>
        </w:tc>
        <w:tc>
          <w:tcPr>
            <w:tcW w:w="1300" w:type="dxa"/>
            <w:vAlign w:val="center"/>
          </w:tcPr>
          <w:p w14:paraId="08F2794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+75,197</w:t>
            </w:r>
          </w:p>
        </w:tc>
        <w:tc>
          <w:tcPr>
            <w:tcW w:w="1300" w:type="dxa"/>
            <w:vAlign w:val="center"/>
          </w:tcPr>
          <w:p w14:paraId="5923BFB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165,197</w:t>
            </w:r>
          </w:p>
        </w:tc>
        <w:tc>
          <w:tcPr>
            <w:tcW w:w="1600" w:type="dxa"/>
            <w:vAlign w:val="center"/>
          </w:tcPr>
          <w:p w14:paraId="4B7F5D7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46,519</w:t>
            </w:r>
          </w:p>
        </w:tc>
        <w:tc>
          <w:tcPr>
            <w:tcW w:w="1580" w:type="dxa"/>
            <w:vAlign w:val="center"/>
          </w:tcPr>
          <w:p w14:paraId="7030C9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+47,977</w:t>
            </w:r>
          </w:p>
        </w:tc>
        <w:tc>
          <w:tcPr>
            <w:tcW w:w="1580" w:type="dxa"/>
            <w:vAlign w:val="center"/>
          </w:tcPr>
          <w:p w14:paraId="1AB1696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+1,458</w:t>
            </w:r>
          </w:p>
        </w:tc>
      </w:tr>
      <w:tr w:rsidR="009C1161" w14:paraId="43D5E0F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A85DB9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26</w:t>
            </w:r>
          </w:p>
        </w:tc>
        <w:tc>
          <w:tcPr>
            <w:tcW w:w="1300" w:type="dxa"/>
            <w:vAlign w:val="center"/>
          </w:tcPr>
          <w:p w14:paraId="7C45A2E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54,379</w:t>
            </w:r>
          </w:p>
        </w:tc>
        <w:tc>
          <w:tcPr>
            <w:tcW w:w="1300" w:type="dxa"/>
            <w:vAlign w:val="center"/>
          </w:tcPr>
          <w:p w14:paraId="1686F4D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+78,638</w:t>
            </w:r>
          </w:p>
        </w:tc>
        <w:tc>
          <w:tcPr>
            <w:tcW w:w="1300" w:type="dxa"/>
            <w:vAlign w:val="center"/>
          </w:tcPr>
          <w:p w14:paraId="526BF19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168,638</w:t>
            </w:r>
          </w:p>
        </w:tc>
        <w:tc>
          <w:tcPr>
            <w:tcW w:w="1600" w:type="dxa"/>
            <w:vAlign w:val="center"/>
          </w:tcPr>
          <w:p w14:paraId="121FEFA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39,873</w:t>
            </w:r>
          </w:p>
        </w:tc>
        <w:tc>
          <w:tcPr>
            <w:tcW w:w="1580" w:type="dxa"/>
            <w:vAlign w:val="center"/>
          </w:tcPr>
          <w:p w14:paraId="6E3952D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+42,356</w:t>
            </w:r>
          </w:p>
        </w:tc>
        <w:tc>
          <w:tcPr>
            <w:tcW w:w="1580" w:type="dxa"/>
            <w:vAlign w:val="center"/>
          </w:tcPr>
          <w:p w14:paraId="282C3AB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+2,482</w:t>
            </w:r>
          </w:p>
        </w:tc>
      </w:tr>
      <w:tr w:rsidR="009C1161" w14:paraId="08D35BE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F25279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27</w:t>
            </w:r>
          </w:p>
        </w:tc>
        <w:tc>
          <w:tcPr>
            <w:tcW w:w="1300" w:type="dxa"/>
            <w:vAlign w:val="center"/>
          </w:tcPr>
          <w:p w14:paraId="4F6BE7D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50,938</w:t>
            </w:r>
          </w:p>
        </w:tc>
        <w:tc>
          <w:tcPr>
            <w:tcW w:w="1300" w:type="dxa"/>
            <w:vAlign w:val="center"/>
          </w:tcPr>
          <w:p w14:paraId="79A9771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+82,079</w:t>
            </w:r>
          </w:p>
        </w:tc>
        <w:tc>
          <w:tcPr>
            <w:tcW w:w="1300" w:type="dxa"/>
            <w:vAlign w:val="center"/>
          </w:tcPr>
          <w:p w14:paraId="754BC8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172,079</w:t>
            </w:r>
          </w:p>
        </w:tc>
        <w:tc>
          <w:tcPr>
            <w:tcW w:w="1600" w:type="dxa"/>
            <w:vAlign w:val="center"/>
          </w:tcPr>
          <w:p w14:paraId="775A102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34,335</w:t>
            </w:r>
          </w:p>
        </w:tc>
        <w:tc>
          <w:tcPr>
            <w:tcW w:w="1580" w:type="dxa"/>
            <w:vAlign w:val="center"/>
          </w:tcPr>
          <w:p w14:paraId="552AB24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+37,078</w:t>
            </w:r>
          </w:p>
        </w:tc>
        <w:tc>
          <w:tcPr>
            <w:tcW w:w="1580" w:type="dxa"/>
            <w:vAlign w:val="center"/>
          </w:tcPr>
          <w:p w14:paraId="6205853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+2,743</w:t>
            </w:r>
          </w:p>
        </w:tc>
      </w:tr>
      <w:tr w:rsidR="009C1161" w14:paraId="0B4AD87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F79821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28</w:t>
            </w:r>
          </w:p>
        </w:tc>
        <w:tc>
          <w:tcPr>
            <w:tcW w:w="1300" w:type="dxa"/>
            <w:vAlign w:val="center"/>
          </w:tcPr>
          <w:p w14:paraId="63815A2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45,777</w:t>
            </w:r>
          </w:p>
        </w:tc>
        <w:tc>
          <w:tcPr>
            <w:tcW w:w="1300" w:type="dxa"/>
            <w:vAlign w:val="center"/>
          </w:tcPr>
          <w:p w14:paraId="746CEFF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+87,240</w:t>
            </w:r>
          </w:p>
        </w:tc>
        <w:tc>
          <w:tcPr>
            <w:tcW w:w="1300" w:type="dxa"/>
            <w:vAlign w:val="center"/>
          </w:tcPr>
          <w:p w14:paraId="123F00D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177,240</w:t>
            </w:r>
          </w:p>
        </w:tc>
        <w:tc>
          <w:tcPr>
            <w:tcW w:w="1600" w:type="dxa"/>
            <w:vAlign w:val="center"/>
          </w:tcPr>
          <w:p w14:paraId="160F385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27,025</w:t>
            </w:r>
          </w:p>
        </w:tc>
        <w:tc>
          <w:tcPr>
            <w:tcW w:w="1580" w:type="dxa"/>
            <w:vAlign w:val="center"/>
          </w:tcPr>
          <w:p w14:paraId="60F1BA2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+29,845</w:t>
            </w:r>
          </w:p>
        </w:tc>
        <w:tc>
          <w:tcPr>
            <w:tcW w:w="1580" w:type="dxa"/>
            <w:vAlign w:val="center"/>
          </w:tcPr>
          <w:p w14:paraId="347F1B6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+2,819</w:t>
            </w:r>
          </w:p>
        </w:tc>
      </w:tr>
      <w:tr w:rsidR="009C1161" w14:paraId="5B7FA75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1603BB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29</w:t>
            </w:r>
          </w:p>
        </w:tc>
        <w:tc>
          <w:tcPr>
            <w:tcW w:w="1300" w:type="dxa"/>
            <w:vAlign w:val="center"/>
          </w:tcPr>
          <w:p w14:paraId="73DF51B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42,909</w:t>
            </w:r>
          </w:p>
        </w:tc>
        <w:tc>
          <w:tcPr>
            <w:tcW w:w="1300" w:type="dxa"/>
            <w:vAlign w:val="center"/>
          </w:tcPr>
          <w:p w14:paraId="594FA85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+90,108</w:t>
            </w:r>
          </w:p>
        </w:tc>
        <w:tc>
          <w:tcPr>
            <w:tcW w:w="1300" w:type="dxa"/>
            <w:vAlign w:val="center"/>
          </w:tcPr>
          <w:p w14:paraId="5FF9BBA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180,108</w:t>
            </w:r>
          </w:p>
        </w:tc>
        <w:tc>
          <w:tcPr>
            <w:tcW w:w="1600" w:type="dxa"/>
            <w:vAlign w:val="center"/>
          </w:tcPr>
          <w:p w14:paraId="0AA0589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22,816</w:t>
            </w:r>
          </w:p>
        </w:tc>
        <w:tc>
          <w:tcPr>
            <w:tcW w:w="1580" w:type="dxa"/>
            <w:vAlign w:val="center"/>
          </w:tcPr>
          <w:p w14:paraId="4473AD2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+26,188</w:t>
            </w:r>
          </w:p>
        </w:tc>
        <w:tc>
          <w:tcPr>
            <w:tcW w:w="1580" w:type="dxa"/>
            <w:vAlign w:val="center"/>
          </w:tcPr>
          <w:p w14:paraId="24C6037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+3,371</w:t>
            </w:r>
          </w:p>
        </w:tc>
      </w:tr>
    </w:tbl>
    <w:p w14:paraId="4B43E73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autor, a partir da US 9.889.554 B2 (VAN ENGELHOVEN; KAZEROONI, 2018).</w:t>
      </w:r>
    </w:p>
    <w:p w14:paraId="070AC3D7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 xml:space="preserve">Nota: resíduo = modelo − extraído; modelo com K = 174,68, h = 22,701 mm e X</w:t>
      </w:r>
      <w:r>
        <w:rPr>
          <w:sz w:val="20"/>
          <w:szCs w:val="20"/>
          <w:vertAlign w:val="subscript"/>
          <w:lang w:val="pt-BR"/>
        </w:rPr>
        <w:t>pose</w:t>
      </w:r>
      <w:r>
        <w:rPr>
          <w:sz w:val="20"/>
          <w:szCs w:val="20"/>
          <w:lang w:val="pt-BR"/>
        </w:rPr>
        <w:t xml:space="preserve"> = 37,383 mm.</w:t>
      </w:r>
    </w:p>
    <w:p w14:paraId="4307B6D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4.3 Verificação da cadeia de cálculo</w:t>
      </w:r>
    </w:p>
    <w:p w14:paraId="19FD541C" w14:textId="77777777" w:rsidR="009C1161" w:rsidRDefault="003B1183">
      <w:pPr>
        <w:rPr>
          <w:lang w:val="pt-BR"/>
        </w:rPr>
      </w:pPr>
      <w:r>
        <w:rPr>
          <w:lang w:val="pt-BR"/>
        </w:rPr>
        <w:t>As verificações automáticas da seção 3.11 resultaram nos resíduos da Tabela 5, todos da ordem do erro de arredondamento da aritmética de ponto flutuante, exceto o do trabalho virtual, limitado pelo truncamento da diferença finita.</w:t>
      </w:r>
    </w:p>
    <w:p w14:paraId="26906408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5 — Verificações da cadeia de cálculo (h = 22,701 mm)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6260"/>
        <w:gridCol w:w="3100"/>
      </w:tblGrid>
      <w:tr w:rsidR="009C1161" w14:paraId="4DFF7CA2" w14:textId="77777777">
        <w:trPr>
          <w:cantSplit/>
          <w:tblHeader/>
          <w:jc w:val="center"/>
        </w:trPr>
        <w:tc>
          <w:tcPr>
            <w:tcW w:w="6260" w:type="dxa"/>
            <w:shd w:val="clear" w:color="auto" w:fill="F2F2F2"/>
            <w:vAlign w:val="center"/>
          </w:tcPr>
          <w:p w14:paraId="0C5A40A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Verificação</w:t>
            </w:r>
          </w:p>
        </w:tc>
        <w:tc>
          <w:tcPr>
            <w:tcW w:w="3100" w:type="dxa"/>
            <w:shd w:val="clear" w:color="auto" w:fill="F2F2F2"/>
            <w:vAlign w:val="center"/>
          </w:tcPr>
          <w:p w14:paraId="7D70086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Resíduo máximo</w:t>
            </w:r>
          </w:p>
        </w:tc>
      </w:tr>
      <w:tr w:rsidR="009C1161" w14:paraId="503457C3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5D5D409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Equações de fechamento f</w:t>
            </w:r>
            <w:r>
              <w:rPr>
                <w:vertAlign w:val="subscript"/>
                <w:lang w:val="pt-BR"/>
              </w:rPr>
              <w:t>1</w:t>
            </w:r>
            <w:r>
              <w:rPr>
                <w:lang w:val="pt-BR"/>
              </w:rPr>
              <w:t xml:space="preserve"> e f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lang w:val="pt-BR"/>
              </w:rPr>
              <w:t>, Equação (6)</w:t>
            </w:r>
          </w:p>
        </w:tc>
        <w:tc>
          <w:tcPr>
            <w:tcW w:w="3100" w:type="dxa"/>
            <w:vAlign w:val="center"/>
          </w:tcPr>
          <w:p w14:paraId="5D84F19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1,4 × 10</w:t>
            </w:r>
            <w:r>
              <w:rPr>
                <w:vertAlign w:val="superscript"/>
                <w:lang w:val="pt-BR"/>
              </w:rPr>
              <w:t>−13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44FFD5FC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0317B8F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Identidade τ = −F m/1000, Equação (20), com força unitária</w:t>
            </w:r>
          </w:p>
        </w:tc>
        <w:tc>
          <w:tcPr>
            <w:tcW w:w="3100" w:type="dxa"/>
            <w:vAlign w:val="center"/>
          </w:tcPr>
          <w:p w14:paraId="4020CA5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1,6 × 10</w:t>
            </w:r>
            <w:r>
              <w:rPr>
                <w:vertAlign w:val="superscript"/>
                <w:lang w:val="pt-BR"/>
              </w:rPr>
              <w:t>−13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4AD9FA65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25C0F59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Ponto de tangência pelas Equações (10) e (13)</w:t>
            </w:r>
          </w:p>
        </w:tc>
        <w:tc>
          <w:tcPr>
            <w:tcW w:w="3100" w:type="dxa"/>
            <w:vAlign w:val="center"/>
          </w:tcPr>
          <w:p w14:paraId="769B9CC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8,0 × 10</w:t>
            </w:r>
            <w:r>
              <w:rPr>
                <w:vertAlign w:val="superscript"/>
                <w:lang w:val="pt-BR"/>
              </w:rPr>
              <w:t>−13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7F65969A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2767E3D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Ponto morto, Equação (21) contra bissecção</w:t>
            </w:r>
          </w:p>
        </w:tc>
        <w:tc>
          <w:tcPr>
            <w:tcW w:w="3100" w:type="dxa"/>
            <w:vAlign w:val="center"/>
          </w:tcPr>
          <w:p w14:paraId="579B645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1,3 × 10</w:t>
            </w:r>
            <w:r>
              <w:rPr>
                <w:vertAlign w:val="superscript"/>
                <w:lang w:val="pt-BR"/>
              </w:rPr>
              <w:t>−11</w:t>
            </w:r>
            <w:r>
              <w:rPr>
                <w:lang w:val="pt-BR"/>
              </w:rPr>
              <w:t xml:space="preserve"> grau</w:t>
            </w:r>
          </w:p>
        </w:tc>
      </w:tr>
      <w:tr w:rsidR="009C1161" w14:paraId="4E04426A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774F7DD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Trabalho virtual, Equação (17)</w:t>
            </w:r>
          </w:p>
        </w:tc>
        <w:tc>
          <w:tcPr>
            <w:tcW w:w="3100" w:type="dxa"/>
            <w:vAlign w:val="center"/>
          </w:tcPr>
          <w:p w14:paraId="3F9B908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4,7 × 10</w:t>
            </w:r>
            <w:r>
              <w:rPr>
                <w:vertAlign w:val="superscript"/>
                <w:lang w:val="pt-BR"/>
              </w:rPr>
              <w:t>−8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1C39A6BF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1474BF4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Par da mola, X</w:t>
            </w:r>
            <w:r>
              <w:rPr>
                <w:vertAlign w:val="subscript"/>
                <w:lang w:val="pt-BR"/>
              </w:rPr>
              <w:t>pose</w:t>
            </w:r>
            <w:r>
              <w:rPr>
                <w:lang w:val="pt-BR"/>
              </w:rPr>
              <w:t xml:space="preserve"> = L</w:t>
            </w:r>
            <w:r>
              <w:rPr>
                <w:vertAlign w:val="subscript"/>
                <w:lang w:val="pt-BR"/>
              </w:rPr>
              <w:t>pose</w:t>
            </w:r>
            <w:r>
              <w:rPr>
                <w:lang w:val="pt-BR"/>
              </w:rPr>
              <w:t xml:space="preserve"> − L</w:t>
            </w:r>
            <w:r>
              <w:rPr>
                <w:vertAlign w:val="subscript"/>
                <w:lang w:val="pt-BR"/>
              </w:rPr>
              <w:t>livre</w:t>
            </w:r>
          </w:p>
        </w:tc>
        <w:tc>
          <w:tcPr>
            <w:tcW w:w="3100" w:type="dxa"/>
            <w:vAlign w:val="center"/>
          </w:tcPr>
          <w:p w14:paraId="5DDA569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7,1 × 10</w:t>
            </w:r>
            <w:r>
              <w:rPr>
                <w:vertAlign w:val="superscript"/>
                <w:lang w:val="pt-BR"/>
              </w:rPr>
              <w:t>−15</w:t>
            </w:r>
            <w:r>
              <w:rPr>
                <w:lang w:val="pt-BR"/>
              </w:rPr>
              <w:t xml:space="preserve"> mm</w:t>
            </w:r>
          </w:p>
        </w:tc>
      </w:tr>
    </w:tbl>
    <w:p w14:paraId="6ABE9B77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2D5F1945" w14:textId="2ABFA60A" w:rsidR="009C1161" w:rsidRDefault="003B1183">
      <w:pPr>
        <w:rPr>
          <w:lang w:val="pt-BR"/>
        </w:rPr>
      </w:pPr>
      <w:r>
        <w:rPr>
          <w:lang w:val="pt-BR"/>
        </w:rPr>
        <w:t xml:space="preserve">A verificação do trabalho virtual decidiu a formulação do caminho do cabo. Com a extensão da mola acompanhando apenas o vão livre s, como na formulação inicialmente pensada, o resíduo da Equação (17) é de 1,7129 mm; com o arco somado ao vão, s + Rψ, é de 3,4258 mm; somente com ℓ = s − Rψ, Equação (16), ele cai a 4,7 × 10</w:t>
      </w:r>
      <w:r>
        <w:rPr>
          <w:vertAlign w:val="superscript"/>
          <w:lang w:val="pt-BR"/>
        </w:rPr>
        <w:t>−8</w:t>
      </w:r>
      <w:r>
        <w:rPr>
          <w:lang w:val="pt-BR"/>
        </w:rPr>
        <w:t xml:space="preserve"> mm. Um resíduo da ordem do milímetro significa que o modelo entrega torque sem a correspondente variação da energia da mola, violando assim, a conservação de energia em um mecanismo sem atrito.</w:t>
      </w:r>
    </w:p>
    <w:p w14:paraId="34593B44" w14:textId="020B5709" w:rsidR="009C1161" w:rsidRDefault="00E2321D">
      <w:pPr>
        <w:rPr>
          <w:lang w:val="pt-BR"/>
        </w:rPr>
      </w:pPr>
      <w:r>
        <w:rPr>
          <w:lang w:val="pt-BR"/>
        </w:rPr>
        <w:t xml:space="preserve">Embora fora constatado que o efeito do arco é pequeno em valor absoluto. O arco varia 1,862 mm na faixa de operação, contra 42,435 mm de variação do caminho total (4,4%). Com a mesma ancoragem na pose, sua incorporação altera a extensão da mola em até 1,782 mm, em θ* = 193,017° (elevação de 30°), onde a extensão está próxima do máximo e o desvio relativo é de 3,3%. Em termos relativos, o efeito é maior no extremo oposto, em θ* = 42,917° (elevação de 180,1°), onde a extensão cai a 12,044 mm e o desvio chega a 6,3%.</w:t>
      </w:r>
    </w:p>
    <w:p w14:paraId="5E43795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4.4 Parâmetros do modelo e reprodução da identificação</w:t>
      </w:r>
    </w:p>
    <w:p w14:paraId="5D91FB8E" w14:textId="77777777" w:rsidR="009C1161" w:rsidRDefault="003B1183">
      <w:pPr>
        <w:rPr>
          <w:lang w:val="pt-BR"/>
        </w:rPr>
      </w:pPr>
      <w:r>
        <w:rPr>
          <w:lang w:val="pt-BR"/>
        </w:rPr>
        <w:t>A Tabela 6 reúne os parâmetros não publicados pela patente, com seus valores congelados e a situação de cada um nesta revisão.</w:t>
      </w:r>
    </w:p>
    <w:p w14:paraId="446C5C57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6 — Parâmetros não publicados, origem e verificação</w:t>
      </w:r>
    </w:p>
    <w:tbl>
      <w:tblPr>
        <w:tblStyle w:val="Tabelacomgrade"/>
        <w:tblW w:w="7060" w:type="dxa"/>
        <w:jc w:val="center"/>
        <w:tblLayout w:type="fixed"/>
        <w:tblLook w:val="0420" w:firstRow="1" w:lastRow="0" w:firstColumn="0" w:lastColumn="0" w:noHBand="0" w:noVBand="1"/>
      </w:tblPr>
      <w:tblGrid>
        <w:gridCol w:w="1900"/>
        <w:gridCol w:w="1300"/>
        <w:gridCol w:w="1600"/>
        <w:gridCol w:w="2260"/>
      </w:tblGrid>
      <w:tr w:rsidR="00BE1C36" w14:paraId="7243CB72" w14:textId="77777777" w:rsidTr="00BE1C36">
        <w:trPr>
          <w:cantSplit/>
          <w:tblHeader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0C1F42B6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Parâmetro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64EF013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Símbolo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3D5CC5F8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  <w:tc>
          <w:tcPr>
            <w:tcW w:w="2260" w:type="dxa"/>
            <w:shd w:val="clear" w:color="auto" w:fill="F2F2F2"/>
            <w:vAlign w:val="center"/>
          </w:tcPr>
          <w:p w14:paraId="2B23965C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Origem</w:t>
            </w:r>
          </w:p>
        </w:tc>
      </w:tr>
      <w:tr w:rsidR="00BE1C36" w:rsidRPr="00BE1C36" w14:paraId="22B1FC43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2DE0D01F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Calibração angular</w:t>
            </w:r>
          </w:p>
        </w:tc>
        <w:tc>
          <w:tcPr>
            <w:tcW w:w="1300" w:type="dxa"/>
            <w:vAlign w:val="center"/>
          </w:tcPr>
          <w:p w14:paraId="249D0AE8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off</w:t>
            </w:r>
          </w:p>
        </w:tc>
        <w:tc>
          <w:tcPr>
            <w:tcW w:w="1600" w:type="dxa"/>
            <w:vAlign w:val="center"/>
          </w:tcPr>
          <w:p w14:paraId="37B8315C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133,017°</w:t>
            </w:r>
          </w:p>
        </w:tc>
        <w:tc>
          <w:tcPr>
            <w:tcW w:w="2260" w:type="dxa"/>
            <w:vAlign w:val="center"/>
          </w:tcPr>
          <w:p w14:paraId="304A7069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 em etapa anterior</w:t>
            </w:r>
          </w:p>
        </w:tc>
      </w:tr>
      <w:tr w:rsidR="00BE1C36" w14:paraId="7098B227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21276551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Posição da ancoragem</w:t>
            </w:r>
          </w:p>
        </w:tc>
        <w:tc>
          <w:tcPr>
            <w:tcW w:w="1300" w:type="dxa"/>
            <w:vAlign w:val="center"/>
          </w:tcPr>
          <w:p w14:paraId="7F669922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H</w:t>
            </w:r>
            <w:r>
              <w:rPr>
                <w:vertAlign w:val="subscript"/>
                <w:lang w:val="pt-BR"/>
              </w:rPr>
              <w:t>CAL</w:t>
            </w:r>
          </w:p>
        </w:tc>
        <w:tc>
          <w:tcPr>
            <w:tcW w:w="1600" w:type="dxa"/>
            <w:vAlign w:val="center"/>
          </w:tcPr>
          <w:p w14:paraId="1E0D9CD9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22,701 mm</w:t>
            </w:r>
          </w:p>
        </w:tc>
        <w:tc>
          <w:tcPr>
            <w:tcW w:w="2260" w:type="dxa"/>
            <w:vAlign w:val="center"/>
          </w:tcPr>
          <w:p w14:paraId="0B46EF1A" w14:textId="69C0E09B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 em etapa anterior</w:t>
            </w:r>
          </w:p>
        </w:tc>
      </w:tr>
      <w:tr w:rsidR="00BE1C36" w14:paraId="7AFB44FE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2CF78658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Extensão da mola na pose</w:t>
            </w:r>
          </w:p>
        </w:tc>
        <w:tc>
          <w:tcPr>
            <w:tcW w:w="1300" w:type="dxa"/>
            <w:vAlign w:val="center"/>
          </w:tcPr>
          <w:p w14:paraId="2EE9A155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X</w:t>
            </w:r>
            <w:r>
              <w:rPr>
                <w:vertAlign w:val="subscript"/>
                <w:lang w:val="pt-BR"/>
              </w:rPr>
              <w:t>pose</w:t>
            </w:r>
          </w:p>
        </w:tc>
        <w:tc>
          <w:tcPr>
            <w:tcW w:w="1600" w:type="dxa"/>
            <w:vAlign w:val="center"/>
          </w:tcPr>
          <w:p w14:paraId="53DEF8AB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37,383 mm</w:t>
            </w:r>
          </w:p>
        </w:tc>
        <w:tc>
          <w:tcPr>
            <w:tcW w:w="2260" w:type="dxa"/>
            <w:vAlign w:val="center"/>
          </w:tcPr>
          <w:p w14:paraId="2BF69A34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</w:t>
            </w:r>
          </w:p>
        </w:tc>
      </w:tr>
      <w:tr w:rsidR="00BE1C36" w14:paraId="2CF96C82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1492BBB6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Rigidez da mola</w:t>
            </w:r>
          </w:p>
        </w:tc>
        <w:tc>
          <w:tcPr>
            <w:tcW w:w="1300" w:type="dxa"/>
            <w:vAlign w:val="center"/>
          </w:tcPr>
          <w:p w14:paraId="5C37FD46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</w:t>
            </w:r>
          </w:p>
        </w:tc>
        <w:tc>
          <w:tcPr>
            <w:tcW w:w="1600" w:type="dxa"/>
            <w:vAlign w:val="center"/>
          </w:tcPr>
          <w:p w14:paraId="6AFC3D32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174,68</w:t>
            </w:r>
          </w:p>
        </w:tc>
        <w:tc>
          <w:tcPr>
            <w:tcW w:w="2260" w:type="dxa"/>
            <w:vAlign w:val="center"/>
          </w:tcPr>
          <w:p w14:paraId="69C48E0A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</w:t>
            </w:r>
          </w:p>
        </w:tc>
      </w:tr>
    </w:tbl>
    <w:p w14:paraId="097B594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5C1D627E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 xml:space="preserve">Nota: K tem a unidade que faz K δ m/1000 resultar em u.p. (seção 3.6).</w:t>
      </w:r>
    </w:p>
    <w:p w14:paraId="6E586A3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h = 22,701 mm e θ</w:t>
      </w:r>
      <w:r>
        <w:rPr>
          <w:vertAlign w:val="subscript"/>
          <w:lang w:val="pt-BR"/>
        </w:rPr>
        <w:t>off</w:t>
      </w:r>
      <w:r>
        <w:rPr>
          <w:lang w:val="pt-BR"/>
        </w:rPr>
        <w:t xml:space="preserve"> congelados, a varredura de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com K dado pela Equação (25) reproduz o par identificado: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37,383 mm, K = 174,676 e RMSE de 1,8305 u.p., coincidentes com os valores congelados até a resolução da varredura. O valor 174,68 é, portanto, o arredondamento do K de mínimos quadrados no h adotado, e o par (K, h) é consistente.</w:t>
      </w:r>
    </w:p>
    <w:p w14:paraId="00050EA0" w14:textId="5D0EBD4E" w:rsidR="00E2321D" w:rsidRDefault="003B1183">
      <w:pPr>
        <w:rPr>
          <w:lang w:val="pt-BR"/>
        </w:rPr>
      </w:pPr>
      <w:r>
        <w:rPr>
          <w:lang w:val="pt-BR"/>
        </w:rPr>
        <w:t xml:space="preserve">A origem de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= 22,701 mm, ao contrário, não pôde ser reproduzida. Para auditar a identificação de h, foi executada uma análise complementar em que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e K são reidentificados para cada h, de 8 a 60 mm em passo de 0,25 mm. Essa análise não é o procedimento principal deste trabalho, que mantém K congelado (seção 3.10), e serve apenas para essa auditoria. O RMSE resultante apresenta mínimo interior em h ≈ 24,0 mm, com RMSE de 1,682 u.p.,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38,83 mm e K = 160,46, e cresce para valores maiores de h.</w:t>
      </w:r>
    </w:p>
    <w:p w14:paraId="172B6E2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consequência,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é tratado neste trabalho como parâmetro congelado de origem não reproduzida, e não como ótimo identificado. Ele é mantido porque o par (K,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) foi identificado nesse valor e porque o ponto morto correspondente, na elevação de 30,485°, fica a 0,485° do início da zona neutra indicado na patente, ao passo que h = 24,0 mm o deslocaria para 30,909°. A escolha de h que maximiza o torque devolvido é examinada na seção 4.7.</w:t>
      </w:r>
    </w:p>
    <w:p w14:paraId="782D974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comparação entre formulações obedece à regra da seção 3.9. Com o caminho do cabo igual ao vão livre, a formulação anterior alcança RMSE de 1,152 u.p. no mesmo h, com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37,44 mm e K = 175,50 reidentificados; com o caminho completo, o RMSE é de 1,830 u.p. A formulação anterior ajusta melhor a curva publicada, mas viola a conservação de energia (seção 4.3) e, por isso, foi abandonada: o menor RMSE não é critério de validade física.</w:t>
      </w:r>
    </w:p>
    <w:p w14:paraId="0812233E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4.5 Qualidade do ajuste à curva da patente</w:t>
      </w:r>
    </w:p>
    <w:p w14:paraId="57A8ACB1" w14:textId="77777777" w:rsidR="00244E34" w:rsidRDefault="003B1183" w:rsidP="00E2321D">
      <w:pPr>
        <w:jc w:val="center"/>
        <w:rPr>
          <w:noProof/>
          <w:lang w:val="pt-BR"/>
        </w:rPr>
      </w:pPr>
      <w:r>
        <w:rPr>
          <w:lang w:val="pt-BR"/>
        </w:rPr>
        <w:t>A Figura 2 sobrepõe o torque calculado com os parâmetros congelados aos 29 pontos extraídos, e a Tabela 7 reúne os indicadores do ajuste.</w:t>
      </w:r>
      <w:r>
        <w:rPr>
          <w:noProof/>
          <w:lang w:val="pt-BR"/>
        </w:rPr>
        <w:t xml:space="preserve"> </w:t>
      </w:r>
    </w:p>
    <w:p w14:paraId="759E14EF" w14:textId="7CF5DD43" w:rsidR="009C1161" w:rsidRDefault="00244E34" w:rsidP="00E2321D">
      <w:pPr>
        <w:jc w:val="center"/>
        <w:rPr>
          <w:lang w:val="pt-BR"/>
        </w:rPr>
      </w:pPr>
      <w:r>
        <w:rPr>
          <w:b/>
          <w:lang w:val="pt-BR"/>
        </w:rPr>
        <w:t xml:space="preserve">Figura 2 — Torque do cabo calculado (−τ) e pontos extraídos da patente, com os resíduos no painel inferior (K = 174,68; h = 22,701 mm; X</w:t>
      </w:r>
      <w:r>
        <w:rPr>
          <w:b/>
          <w:vertAlign w:val="subscript"/>
          <w:lang w:val="pt-BR"/>
        </w:rPr>
        <w:t>pose</w:t>
      </w:r>
      <w:r>
        <w:rPr>
          <w:b/>
          <w:lang w:val="pt-BR"/>
        </w:rPr>
        <w:t xml:space="preserve"> = 37,383 mm)</w:t>
      </w:r>
      <w:r>
        <w:rPr>
          <w:noProof/>
          <w:lang w:val="pt-BR"/>
        </w:rPr>
        <w:drawing>
          <wp:inline distT="0" distB="0" distL="0" distR="0" wp14:anchorId="6DFD1A9B" wp14:editId="155CE4EA">
            <wp:extent cx="4165600" cy="2915920"/>
            <wp:effectExtent l="0" t="0" r="6350" b="0"/>
            <wp:docPr id="902" name="Figura 2" descr="Torque do cabo calculado e 29 pontos extraídos da patente em função de θ*, com os resíduos em painel inf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igura 2" descr="Torque do cabo calculado e 29 pontos extraídos da patente em função de θ*, com os resíduos em painel inferio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761" cy="292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pt-BR"/>
        </w:rPr>
        <w:t xml:space="preserve"> </w:t>
      </w:r>
    </w:p>
    <w:p w14:paraId="4C95FEE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3161855E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>Nota: resíduo = modelo − extraído.</w:t>
      </w:r>
    </w:p>
    <w:p w14:paraId="054634A1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7 — Indicadores de qualidade do ajuste à curva da patente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4960"/>
        <w:gridCol w:w="4400"/>
      </w:tblGrid>
      <w:tr w:rsidR="009C1161" w14:paraId="1FA97716" w14:textId="77777777">
        <w:trPr>
          <w:cantSplit/>
          <w:tblHeader/>
          <w:jc w:val="center"/>
        </w:trPr>
        <w:tc>
          <w:tcPr>
            <w:tcW w:w="4960" w:type="dxa"/>
            <w:shd w:val="clear" w:color="auto" w:fill="F2F2F2"/>
            <w:vAlign w:val="center"/>
          </w:tcPr>
          <w:p w14:paraId="715DB0E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Indicador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32591C8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</w:tr>
      <w:tr w:rsidR="009C1161" w14:paraId="4F8E1777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434A585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Raiz do erro quadrático médio, RMSE</w:t>
            </w:r>
          </w:p>
        </w:tc>
        <w:tc>
          <w:tcPr>
            <w:tcW w:w="4400" w:type="dxa"/>
            <w:vAlign w:val="center"/>
          </w:tcPr>
          <w:p w14:paraId="162CCBA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1,8305 u.p.</w:t>
            </w:r>
          </w:p>
        </w:tc>
      </w:tr>
      <w:tr w:rsidR="009C1161" w14:paraId="38F67DC5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192720D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Erro absoluto médio, MAE</w:t>
            </w:r>
          </w:p>
        </w:tc>
        <w:tc>
          <w:tcPr>
            <w:tcW w:w="4400" w:type="dxa"/>
            <w:vAlign w:val="center"/>
          </w:tcPr>
          <w:p w14:paraId="0D23FEE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1,5866 u.p.</w:t>
            </w:r>
          </w:p>
        </w:tc>
      </w:tr>
      <w:tr w:rsidR="009C1161" w:rsidRPr="00F132A8" w14:paraId="3590F33A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6343BB9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Erro máximo</w:t>
            </w:r>
          </w:p>
        </w:tc>
        <w:tc>
          <w:tcPr>
            <w:tcW w:w="4400" w:type="dxa"/>
            <w:vAlign w:val="center"/>
          </w:tcPr>
          <w:p w14:paraId="3880859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3,3712 u.p., em θ* = 42,909° (elevação de 180,1°)</w:t>
            </w:r>
          </w:p>
        </w:tc>
      </w:tr>
      <w:tr w:rsidR="009C1161" w14:paraId="4CAA2C49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14CFD2F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Coeficiente de determinação, R</w:t>
            </w:r>
            <w:r>
              <w:rPr>
                <w:vertAlign w:val="superscript"/>
                <w:lang w:val="pt-BR"/>
              </w:rPr>
              <w:t>2</w:t>
            </w:r>
          </w:p>
        </w:tc>
        <w:tc>
          <w:tcPr>
            <w:tcW w:w="4400" w:type="dxa"/>
            <w:vAlign w:val="center"/>
          </w:tcPr>
          <w:p w14:paraId="03DCE78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0,99839</w:t>
            </w:r>
          </w:p>
        </w:tc>
      </w:tr>
      <w:tr w:rsidR="009C1161" w14:paraId="0ADE0E68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3771BFF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MAE relativo à média dos valores extraídos</w:t>
            </w:r>
          </w:p>
        </w:tc>
        <w:tc>
          <w:tcPr>
            <w:tcW w:w="4400" w:type="dxa"/>
            <w:vAlign w:val="center"/>
          </w:tcPr>
          <w:p w14:paraId="21DF341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1,94%</w:t>
            </w:r>
          </w:p>
        </w:tc>
      </w:tr>
      <w:tr w:rsidR="009C1161" w14:paraId="63EFF121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03DB5A2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RMSE relativo ao maior valor extraído</w:t>
            </w:r>
          </w:p>
        </w:tc>
        <w:tc>
          <w:tcPr>
            <w:tcW w:w="4400" w:type="dxa"/>
            <w:vAlign w:val="center"/>
          </w:tcPr>
          <w:p w14:paraId="111EC17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1,24%</w:t>
            </w:r>
          </w:p>
        </w:tc>
      </w:tr>
      <w:tr w:rsidR="009C1161" w14:paraId="4F19D778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07025A1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Resíduo médio</w:t>
            </w:r>
          </w:p>
        </w:tc>
        <w:tc>
          <w:tcPr>
            <w:tcW w:w="4400" w:type="dxa"/>
            <w:vAlign w:val="center"/>
          </w:tcPr>
          <w:p w14:paraId="00476C7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+0,264 u.p.</w:t>
            </w:r>
          </w:p>
        </w:tc>
      </w:tr>
      <w:tr w:rsidR="009C1161" w:rsidRPr="00F132A8" w14:paraId="18CE39DA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2D6BEB3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Pico calculado, curva contínua</w:t>
            </w:r>
          </w:p>
        </w:tc>
        <w:tc>
          <w:tcPr>
            <w:tcW w:w="4400" w:type="dxa"/>
            <w:vAlign w:val="center"/>
          </w:tcPr>
          <w:p w14:paraId="202A7B7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147,072 u.p., em θ* = 125,533° (elevação de 97,48°)</w:t>
            </w:r>
          </w:p>
        </w:tc>
      </w:tr>
      <w:tr w:rsidR="009C1161" w14:paraId="75F84B29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3A8E229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Pico calculado nos pontos extraídos</w:t>
            </w:r>
          </w:p>
        </w:tc>
        <w:tc>
          <w:tcPr>
            <w:tcW w:w="4400" w:type="dxa"/>
            <w:vAlign w:val="center"/>
          </w:tcPr>
          <w:p w14:paraId="79D1856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146,874 u.p., em θ* = 123,196°</w:t>
            </w:r>
          </w:p>
        </w:tc>
      </w:tr>
      <w:tr w:rsidR="009C1161" w14:paraId="3BBF5D7E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5168564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Maior valor extraído</w:t>
            </w:r>
          </w:p>
        </w:tc>
        <w:tc>
          <w:tcPr>
            <w:tcW w:w="4400" w:type="dxa"/>
            <w:vAlign w:val="center"/>
          </w:tcPr>
          <w:p w14:paraId="2AC3FCA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147,310 u.p., em θ* = 123,196°</w:t>
            </w:r>
          </w:p>
        </w:tc>
      </w:tr>
    </w:tbl>
    <w:p w14:paraId="37727CA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3E259A6A" w14:textId="303B1F3D" w:rsidR="009C1161" w:rsidRDefault="003B1183">
      <w:pPr>
        <w:rPr>
          <w:lang w:val="pt-BR"/>
        </w:rPr>
      </w:pPr>
      <w:r>
        <w:rPr>
          <w:lang w:val="pt-BR"/>
        </w:rPr>
        <w:t xml:space="preserve">O coeficiente de determinação de 0,99839 e o erro absoluto médio de 1,94% da média indicam que a forma do perfil é reproduzida com fidelidade, apesar de os parâmetros construtivos não constarem da patente. O resultado deve ser lido com duas ressalvas. Primeiro, os quatro parâmetros não publicados foram identificados contra os mesmos 29 pontos usados na avaliação, de modo que a aderência não constitui validação independente do modelo. A outra é que a incerteza da extração não é conhecida, o que impede afirmar se os resíduos estão ou não dentro dela.</w:t>
      </w:r>
    </w:p>
    <w:p w14:paraId="43A1BCBC" w14:textId="77777777" w:rsidR="009C1161" w:rsidRDefault="003B1183">
      <w:pPr>
        <w:rPr>
          <w:lang w:val="pt-BR"/>
        </w:rPr>
      </w:pPr>
      <w:r>
        <w:rPr>
          <w:lang w:val="pt-BR"/>
        </w:rPr>
        <w:t>Os resíduos não se distribuem aleatoriamente (Tabela 8). Ordenados por θ*, eles formam três zonas extensas de sinal alternado, que reúnem 25 dos 29 pontos, seguidas de quatro pontos próximos ao ponto morto.</w:t>
      </w:r>
    </w:p>
    <w:p w14:paraId="2ED2452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8 — Zonas de sinal dos resíduos (modelo − extraído), em ordem de θ*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900"/>
        <w:gridCol w:w="2700"/>
        <w:gridCol w:w="2300"/>
        <w:gridCol w:w="1260"/>
        <w:gridCol w:w="2200"/>
      </w:tblGrid>
      <w:tr w:rsidR="009C1161" w14:paraId="0442A2F2" w14:textId="77777777">
        <w:trPr>
          <w:cantSplit/>
          <w:tblHeader/>
          <w:jc w:val="center"/>
        </w:trPr>
        <w:tc>
          <w:tcPr>
            <w:tcW w:w="900" w:type="dxa"/>
            <w:shd w:val="clear" w:color="auto" w:fill="F2F2F2"/>
            <w:vAlign w:val="center"/>
          </w:tcPr>
          <w:p w14:paraId="53B490C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Zona</w:t>
            </w:r>
          </w:p>
        </w:tc>
        <w:tc>
          <w:tcPr>
            <w:tcW w:w="2700" w:type="dxa"/>
            <w:shd w:val="clear" w:color="auto" w:fill="F2F2F2"/>
            <w:vAlign w:val="center"/>
          </w:tcPr>
          <w:p w14:paraId="5122524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Faixa de θ* (°)</w:t>
            </w:r>
          </w:p>
        </w:tc>
        <w:tc>
          <w:tcPr>
            <w:tcW w:w="2300" w:type="dxa"/>
            <w:shd w:val="clear" w:color="auto" w:fill="F2F2F2"/>
            <w:vAlign w:val="center"/>
          </w:tcPr>
          <w:p w14:paraId="2CBAFB3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Faixa de elevação (°)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1C43E77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Pontos</w:t>
            </w:r>
          </w:p>
        </w:tc>
        <w:tc>
          <w:tcPr>
            <w:tcW w:w="2200" w:type="dxa"/>
            <w:shd w:val="clear" w:color="auto" w:fill="F2F2F2"/>
            <w:vAlign w:val="center"/>
          </w:tcPr>
          <w:p w14:paraId="74127C9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Resíduo médio (u.p.)</w:t>
            </w:r>
          </w:p>
        </w:tc>
      </w:tr>
      <w:tr w:rsidR="009C1161" w14:paraId="37CBC9DC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B71DB9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700" w:type="dxa"/>
            <w:vAlign w:val="center"/>
          </w:tcPr>
          <w:p w14:paraId="2A01A96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42,909 a 68,142</w:t>
            </w:r>
          </w:p>
        </w:tc>
        <w:tc>
          <w:tcPr>
            <w:tcW w:w="2300" w:type="dxa"/>
            <w:vAlign w:val="center"/>
          </w:tcPr>
          <w:p w14:paraId="1CCD098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180,1 a 154,9</w:t>
            </w:r>
          </w:p>
        </w:tc>
        <w:tc>
          <w:tcPr>
            <w:tcW w:w="1260" w:type="dxa"/>
            <w:vAlign w:val="center"/>
          </w:tcPr>
          <w:p w14:paraId="00F30E2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2200" w:type="dxa"/>
            <w:vAlign w:val="center"/>
          </w:tcPr>
          <w:p w14:paraId="0771E78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+1,970</w:t>
            </w:r>
          </w:p>
        </w:tc>
      </w:tr>
      <w:tr w:rsidR="009C1161" w14:paraId="31B37813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00BDB8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700" w:type="dxa"/>
            <w:vAlign w:val="center"/>
          </w:tcPr>
          <w:p w14:paraId="01F1505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72,587 a 123,196</w:t>
            </w:r>
          </w:p>
        </w:tc>
        <w:tc>
          <w:tcPr>
            <w:tcW w:w="2300" w:type="dxa"/>
            <w:vAlign w:val="center"/>
          </w:tcPr>
          <w:p w14:paraId="21A3D6F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150,4 a 99,8</w:t>
            </w:r>
          </w:p>
        </w:tc>
        <w:tc>
          <w:tcPr>
            <w:tcW w:w="1260" w:type="dxa"/>
            <w:vAlign w:val="center"/>
          </w:tcPr>
          <w:p w14:paraId="257ADF3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2200" w:type="dxa"/>
            <w:vAlign w:val="center"/>
          </w:tcPr>
          <w:p w14:paraId="75D2C3E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−1,821</w:t>
            </w:r>
          </w:p>
        </w:tc>
      </w:tr>
      <w:tr w:rsidR="009C1161" w14:paraId="730D00FB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4D12390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700" w:type="dxa"/>
            <w:vAlign w:val="center"/>
          </w:tcPr>
          <w:p w14:paraId="4F23CB3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128,931 a 177,677</w:t>
            </w:r>
          </w:p>
        </w:tc>
        <w:tc>
          <w:tcPr>
            <w:tcW w:w="2300" w:type="dxa"/>
            <w:vAlign w:val="center"/>
          </w:tcPr>
          <w:p w14:paraId="2B37E3D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94,1 a 45,3</w:t>
            </w:r>
          </w:p>
        </w:tc>
        <w:tc>
          <w:tcPr>
            <w:tcW w:w="1260" w:type="dxa"/>
            <w:vAlign w:val="center"/>
          </w:tcPr>
          <w:p w14:paraId="1A2D317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2200" w:type="dxa"/>
            <w:vAlign w:val="center"/>
          </w:tcPr>
          <w:p w14:paraId="52CF3AB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+1,406</w:t>
            </w:r>
          </w:p>
        </w:tc>
      </w:tr>
      <w:tr w:rsidR="009C1161" w14:paraId="707ABB4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4EB9059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700" w:type="dxa"/>
            <w:vAlign w:val="center"/>
          </w:tcPr>
          <w:p w14:paraId="6C0D873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181,691 a 185,849</w:t>
            </w:r>
          </w:p>
        </w:tc>
        <w:tc>
          <w:tcPr>
            <w:tcW w:w="2300" w:type="dxa"/>
            <w:vAlign w:val="center"/>
          </w:tcPr>
          <w:p w14:paraId="5E091D8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41,3 a 37,2</w:t>
            </w:r>
          </w:p>
        </w:tc>
        <w:tc>
          <w:tcPr>
            <w:tcW w:w="1260" w:type="dxa"/>
            <w:vAlign w:val="center"/>
          </w:tcPr>
          <w:p w14:paraId="1EBD8D2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200" w:type="dxa"/>
            <w:vAlign w:val="center"/>
          </w:tcPr>
          <w:p w14:paraId="68DC8F8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−0,323</w:t>
            </w:r>
          </w:p>
        </w:tc>
      </w:tr>
      <w:tr w:rsidR="009C1161" w14:paraId="71D14F75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F707EF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700" w:type="dxa"/>
            <w:vAlign w:val="center"/>
          </w:tcPr>
          <w:p w14:paraId="09C2DB1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189,146</w:t>
            </w:r>
          </w:p>
        </w:tc>
        <w:tc>
          <w:tcPr>
            <w:tcW w:w="2300" w:type="dxa"/>
            <w:vAlign w:val="center"/>
          </w:tcPr>
          <w:p w14:paraId="135AC3C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33,9</w:t>
            </w:r>
          </w:p>
        </w:tc>
        <w:tc>
          <w:tcPr>
            <w:tcW w:w="1260" w:type="dxa"/>
            <w:vAlign w:val="center"/>
          </w:tcPr>
          <w:p w14:paraId="1C15E11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200" w:type="dxa"/>
            <w:vAlign w:val="center"/>
          </w:tcPr>
          <w:p w14:paraId="0E691ED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+0,389</w:t>
            </w:r>
          </w:p>
        </w:tc>
      </w:tr>
      <w:tr w:rsidR="009C1161" w14:paraId="57584205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5E2398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  <w:tc>
          <w:tcPr>
            <w:tcW w:w="2700" w:type="dxa"/>
            <w:vAlign w:val="center"/>
          </w:tcPr>
          <w:p w14:paraId="52C6045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193,017</w:t>
            </w:r>
          </w:p>
        </w:tc>
        <w:tc>
          <w:tcPr>
            <w:tcW w:w="2300" w:type="dxa"/>
            <w:vAlign w:val="center"/>
          </w:tcPr>
          <w:p w14:paraId="11A0CFE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30,0</w:t>
            </w:r>
          </w:p>
        </w:tc>
        <w:tc>
          <w:tcPr>
            <w:tcW w:w="1260" w:type="dxa"/>
            <w:vAlign w:val="center"/>
          </w:tcPr>
          <w:p w14:paraId="61548C0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200" w:type="dxa"/>
            <w:vAlign w:val="center"/>
          </w:tcPr>
          <w:p w14:paraId="038D1B2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−2,152</w:t>
            </w:r>
          </w:p>
        </w:tc>
      </w:tr>
    </w:tbl>
    <w:p w14:paraId="6FE9AE41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72CED7CA" w14:textId="36826497" w:rsidR="009C1161" w:rsidRDefault="003B1183">
      <w:pPr>
        <w:rPr>
          <w:lang w:val="pt-BR"/>
        </w:rPr>
      </w:pPr>
      <w:r>
        <w:rPr>
          <w:lang w:val="pt-BR"/>
        </w:rPr>
        <w:t xml:space="preserve">O modelo superestima o torque com o braço alto, acima de 155° de elevação (zona 1), e entre 45° e 94° (zona 3), e o subestima entre 100° e 150° (zona 2). Resíduo estruturado dessa natureza indica diferença sistemática de forma entre o modelo e a curva, e não apenas dispersão de digitalização. As causas possíveis: imprecisão da geometria reconstruída, erro sistemático na extração ou diferença entre a formulação do modelo e a que gerou a figura da patente. O fato de a formulação sem o arco reproduzir a curva com RMSE menor é compatível com a última hipótese, mas não o suficiente para provar a hipótese.</w:t>
      </w:r>
    </w:p>
    <w:p w14:paraId="04395B0B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>O último ponto, em θ* = 193,017°, está além do ponto morto calculado (θ*</w:t>
      </w:r>
      <w:r>
        <w:rPr>
          <w:vertAlign w:val="subscript"/>
          <w:lang w:val="pt-BR"/>
        </w:rPr>
        <w:t>pm</w:t>
      </w:r>
      <w:r>
        <w:rPr>
          <w:lang w:val="pt-BR"/>
        </w:rPr>
        <w:t xml:space="preserve"> = 192,532°). Ali o modelo prevê torque de −1,709 u.p., com sinal invertido, ao passo que a curva extraída registra 0,443 u.p. A diferença, que responde pelo resíduo da zona 6, é coerente com a ausência, no modelo, da protuberância que mantém o torque residual aproximadamente nulo no dispositivo real (seção 4.9).</w:t>
      </w:r>
    </w:p>
    <w:p w14:paraId="276675D0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4.6 Comportamento da mola e do mecanismo</w:t>
      </w:r>
    </w:p>
    <w:p w14:paraId="20C2649C" w14:textId="77777777" w:rsidR="009C1161" w:rsidRDefault="003B1183">
      <w:pPr>
        <w:rPr>
          <w:lang w:val="pt-BR"/>
        </w:rPr>
      </w:pPr>
      <w:r>
        <w:rPr>
          <w:lang w:val="pt-BR"/>
        </w:rPr>
        <w:t>A Tabela 9 caracteriza o funcionamento do mecanismo na faixa de operação, de θ* = 42,917° a 193,017°, que corresponde a 150,1° de elevação anatômica, de 30° a 180,1°. As grandezas foram calculadas em malha de 0,001° com os parâmetros congelados.</w:t>
      </w:r>
    </w:p>
    <w:p w14:paraId="5C9A896A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9 — Grandezas do mecanismo na faixa de operação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5160"/>
        <w:gridCol w:w="4200"/>
      </w:tblGrid>
      <w:tr w:rsidR="009C1161" w14:paraId="1E3C0E5F" w14:textId="77777777">
        <w:trPr>
          <w:cantSplit/>
          <w:tblHeader/>
          <w:jc w:val="center"/>
        </w:trPr>
        <w:tc>
          <w:tcPr>
            <w:tcW w:w="5160" w:type="dxa"/>
            <w:shd w:val="clear" w:color="auto" w:fill="F2F2F2"/>
            <w:vAlign w:val="center"/>
          </w:tcPr>
          <w:p w14:paraId="2F96920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Grandeza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3E6E082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</w:tr>
      <w:tr w:rsidR="009C1161" w14:paraId="0741588A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100278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Caminho do cabo na pose de referência, ℓ(θ*</w:t>
            </w:r>
            <w:r>
              <w:rPr>
                <w:vertAlign w:val="subscript"/>
                <w:lang w:val="pt-BR"/>
              </w:rPr>
              <w:t>pose</w:t>
            </w:r>
            <w:r>
              <w:rPr>
                <w:lang w:val="pt-BR"/>
              </w:rPr>
              <w:t>)</w:t>
            </w:r>
          </w:p>
        </w:tc>
        <w:tc>
          <w:tcPr>
            <w:tcW w:w="4200" w:type="dxa"/>
            <w:vAlign w:val="center"/>
          </w:tcPr>
          <w:p w14:paraId="7DFA52A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290,180 mm</w:t>
            </w:r>
          </w:p>
        </w:tc>
      </w:tr>
      <w:tr w:rsidR="009C1161" w14:paraId="15547F85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70EE67F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Referência da extensão, s</w:t>
            </w:r>
            <w:r>
              <w:rPr>
                <w:vertAlign w:val="subscript"/>
                <w:lang w:val="pt-BR"/>
              </w:rPr>
              <w:t>0</w:t>
            </w:r>
          </w:p>
        </w:tc>
        <w:tc>
          <w:tcPr>
            <w:tcW w:w="4200" w:type="dxa"/>
            <w:vAlign w:val="center"/>
          </w:tcPr>
          <w:p w14:paraId="05186E8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252,797 mm</w:t>
            </w:r>
          </w:p>
        </w:tc>
      </w:tr>
      <w:tr w:rsidR="009C1161" w14:paraId="4B2648DE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65ACC25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Comprimento livre da mola, L</w:t>
            </w:r>
            <w:r>
              <w:rPr>
                <w:vertAlign w:val="subscript"/>
                <w:lang w:val="pt-BR"/>
              </w:rPr>
              <w:t>livre</w:t>
            </w:r>
          </w:p>
        </w:tc>
        <w:tc>
          <w:tcPr>
            <w:tcW w:w="4200" w:type="dxa"/>
            <w:vAlign w:val="center"/>
          </w:tcPr>
          <w:p w14:paraId="2FA795B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53,967 mm</w:t>
            </w:r>
          </w:p>
        </w:tc>
      </w:tr>
      <w:tr w:rsidR="009C1161" w14:paraId="569E9906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16C654E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Extensão da mola, δ</w:t>
            </w:r>
          </w:p>
        </w:tc>
        <w:tc>
          <w:tcPr>
            <w:tcW w:w="4200" w:type="dxa"/>
            <w:vAlign w:val="center"/>
          </w:tcPr>
          <w:p w14:paraId="51B2E24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12,044 mm (θ* = 42,917°) a 54,479 mm (θ* = 192,532°)</w:t>
            </w:r>
          </w:p>
        </w:tc>
      </w:tr>
      <w:tr w:rsidR="009C1161" w14:paraId="015730C5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1D616AF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Curso da mola na faixa</w:t>
            </w:r>
          </w:p>
        </w:tc>
        <w:tc>
          <w:tcPr>
            <w:tcW w:w="4200" w:type="dxa"/>
            <w:vAlign w:val="center"/>
          </w:tcPr>
          <w:p w14:paraId="3D51AC99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42,435 mm</w:t>
            </w:r>
          </w:p>
        </w:tc>
      </w:tr>
      <w:tr w:rsidR="009C1161" w14:paraId="7657F5B8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8F6981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Comprimento da mola, L</w:t>
            </w:r>
            <w:r>
              <w:rPr>
                <w:vertAlign w:val="subscript"/>
                <w:lang w:val="pt-BR"/>
              </w:rPr>
              <w:t>livre</w:t>
            </w:r>
            <w:r>
              <w:rPr>
                <w:lang w:val="pt-BR"/>
              </w:rPr>
              <w:t xml:space="preserve"> + δ</w:t>
            </w:r>
          </w:p>
        </w:tc>
        <w:tc>
          <w:tcPr>
            <w:tcW w:w="4200" w:type="dxa"/>
            <w:vAlign w:val="center"/>
          </w:tcPr>
          <w:p w14:paraId="773639E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66,011 a 108,446 mm</w:t>
            </w:r>
          </w:p>
        </w:tc>
      </w:tr>
      <w:tr w:rsidR="009C1161" w14:paraId="07CAD158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1051DCC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Força máxima no cabo, K δ</w:t>
            </w:r>
            <w:r>
              <w:rPr>
                <w:vertAlign w:val="subscript"/>
                <w:lang w:val="pt-BR"/>
              </w:rPr>
              <w:t>máx</w:t>
            </w:r>
          </w:p>
        </w:tc>
        <w:tc>
          <w:tcPr>
            <w:tcW w:w="4200" w:type="dxa"/>
            <w:vAlign w:val="center"/>
          </w:tcPr>
          <w:p w14:paraId="2F8E7928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9.516,5 (unidade de K × mm)</w:t>
            </w:r>
          </w:p>
        </w:tc>
      </w:tr>
      <w:tr w:rsidR="009C1161" w14:paraId="55AF1134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ACDE05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Braço de momento, m</w:t>
            </w:r>
          </w:p>
        </w:tc>
        <w:tc>
          <w:tcPr>
            <w:tcW w:w="4200" w:type="dxa"/>
            <w:vAlign w:val="center"/>
          </w:tcPr>
          <w:p w14:paraId="1723DBA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−0,180 a 22,919 mm</w:t>
            </w:r>
          </w:p>
        </w:tc>
      </w:tr>
      <w:tr w:rsidR="009C1161" w14:paraId="17250EB6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3833C8D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Teto geométrico do braço, |OA| = √(h</w:t>
            </w:r>
            <w:r>
              <w:rPr>
                <w:vertAlign w:val="superscript"/>
                <w:lang w:val="pt-BR"/>
              </w:rPr>
              <w:t>2</w:t>
            </w:r>
            <w:r>
              <w:rPr>
                <w:lang w:val="pt-BR"/>
              </w:rPr>
              <w:t xml:space="preserve"> + p</w:t>
            </w:r>
            <w:r>
              <w:rPr>
                <w:vertAlign w:val="superscript"/>
                <w:lang w:val="pt-BR"/>
              </w:rPr>
              <w:t>2</w:t>
            </w:r>
            <w:r>
              <w:rPr>
                <w:lang w:val="pt-BR"/>
              </w:rPr>
              <w:t>)</w:t>
            </w:r>
          </w:p>
        </w:tc>
        <w:tc>
          <w:tcPr>
            <w:tcW w:w="4200" w:type="dxa"/>
            <w:vAlign w:val="center"/>
          </w:tcPr>
          <w:p w14:paraId="35ABB3F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22,919 mm</w:t>
            </w:r>
          </w:p>
        </w:tc>
      </w:tr>
      <w:tr w:rsidR="009C1161" w14:paraId="53EB5942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3B2242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Distância do pivô ao ponto de tangência, b</w:t>
            </w:r>
          </w:p>
        </w:tc>
        <w:tc>
          <w:tcPr>
            <w:tcW w:w="4200" w:type="dxa"/>
            <w:vAlign w:val="center"/>
          </w:tcPr>
          <w:p w14:paraId="6420A87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282,503 a 284,363 mm</w:t>
            </w:r>
          </w:p>
        </w:tc>
      </w:tr>
      <w:tr w:rsidR="009C1161" w14:paraId="3B6BA117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6CC212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β</w:t>
            </w:r>
          </w:p>
        </w:tc>
        <w:tc>
          <w:tcPr>
            <w:tcW w:w="4200" w:type="dxa"/>
            <w:vAlign w:val="center"/>
          </w:tcPr>
          <w:p w14:paraId="601FB4E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4,604° a 4,619°</w:t>
            </w:r>
          </w:p>
        </w:tc>
      </w:tr>
      <w:tr w:rsidR="009C1161" w14:paraId="6574C79F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2B0FB86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entre o cabo e o elo, ψ</w:t>
            </w:r>
          </w:p>
        </w:tc>
        <w:tc>
          <w:tcPr>
            <w:tcW w:w="4200" w:type="dxa"/>
            <w:vAlign w:val="center"/>
          </w:tcPr>
          <w:p w14:paraId="152271C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−4,656° a +0,019°</w:t>
            </w:r>
          </w:p>
        </w:tc>
      </w:tr>
      <w:tr w:rsidR="009C1161" w14:paraId="6B3B6540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4C1B0C28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Ponto morto, θ*</w:t>
            </w:r>
            <w:r>
              <w:rPr>
                <w:vertAlign w:val="subscript"/>
                <w:lang w:val="pt-BR"/>
              </w:rPr>
              <w:t>pm</w:t>
            </w:r>
          </w:p>
        </w:tc>
        <w:tc>
          <w:tcPr>
            <w:tcW w:w="4200" w:type="dxa"/>
            <w:vAlign w:val="center"/>
          </w:tcPr>
          <w:p w14:paraId="44AE3BD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192,532° (elevação de 30,485°)</w:t>
            </w:r>
          </w:p>
        </w:tc>
      </w:tr>
    </w:tbl>
    <w:p w14:paraId="60A82B87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2E9ACDCF" w14:textId="650EEDBF" w:rsidR="009C1161" w:rsidRDefault="003B1183">
      <w:pPr>
        <w:rPr>
          <w:lang w:val="pt-BR"/>
        </w:rPr>
      </w:pPr>
      <w:r>
        <w:rPr>
          <w:lang w:val="pt-BR"/>
        </w:rPr>
        <w:t xml:space="preserve">A extensão da mola permanece positiva em toda a faixa, o que assegura a condição é que o cabo continua tracionado em todos os pontos avaliados. O máximo da extensão ocorre no ponto morto, como exige a Equação (17): onde m se anula, dℓ/dθ* também se anula, e o caminho do cabo passa por um extremo.</w:t>
      </w:r>
    </w:p>
    <w:p w14:paraId="03D64A08" w14:textId="2AEB04D4" w:rsidR="009C1161" w:rsidRDefault="003B1183">
      <w:pPr>
        <w:rPr>
          <w:lang w:val="pt-BR"/>
        </w:rPr>
      </w:pPr>
      <w:r>
        <w:rPr>
          <w:lang w:val="pt-BR"/>
        </w:rPr>
        <w:t xml:space="preserve">O braço de momento confirma a distinção da seção 3.5. A linha de ação do cabo passa pela ancoragem A, de modo que m não pode exceder |OA| = 22,919 mm em configuração alguma. Ao longo da faixa, m cresce monotonicamente de 12,451 mm em θ* = 42,917° até tocar esse teto em θ* = 97,894°, posição em que o cabo fica perpendicular a OA, e decresce a partir daí, anulando-se no ponto morto; o valor de −0,180 mm no extremo da faixa corresponde ao trecho além desse ponto.</w:t>
      </w:r>
    </w:p>
    <w:p w14:paraId="4EE2C17D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 xml:space="preserve">A força máxima K δ</w:t>
      </w:r>
      <w:r>
        <w:rPr>
          <w:vertAlign w:val="subscript"/>
          <w:lang w:val="pt-BR"/>
        </w:rPr>
        <w:t>máx</w:t>
      </w:r>
      <w:r>
        <w:rPr>
          <w:lang w:val="pt-BR"/>
        </w:rPr>
        <w:t xml:space="preserve"> vale 9.516,5 na unidade de K multiplicada por milímetro. Se a ordenada da patente estivesse em N·m, K estaria em N/mm, a tração no cabo chegaria a 9,5 kN e o pico do torque do cabo, 147,07 N·m, seria 13,2 vezes o pico do torque gravitacional do conjunto, de 11,1619 N·m (seção 4.8). Para equilibrar esse pico gravitacional com o maior braço disponível, 22,919 mm, bastaria uma tração de cerca de 487 N. A leitura da ordenada em N·m conduz, portanto, a valores implausíveis para um dispositivo vestível de apoio ao braço, o que reforça o tratamento da curva publicada como qualitativa quanto à magnitude: o modelo reproduz a forma do torque, mas não sua escala física.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4.7 Otimização de h para o máximo torque devolvido</w:t>
      </w:r>
    </w:p>
    <w:p>
      <w:pPr>
        <w:rPr>
          <w:lang w:val="pt-BR"/>
        </w:rPr>
      </w:pPr>
      <w:r>
        <w:rPr>
          <w:lang w:val="pt-BR"/>
        </w:rPr>
        <w:t xml:space="preserve">A posição da ancoragem h é a grandeza geométrica mais incerta do mecanismo e também a mais fácil de alterar no projeto, por definir apenas onde o cabo é fixado no elo proximal. Esta seção examina como h altera o torque que o mecanismo devolve ao braço e qual h devolve o maior torque com a mesma mola, K = 174,68, e a mesma montagem,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37,383 mm.</w:t>
      </w:r>
    </w:p>
    <w:p>
      <w:pPr>
        <w:rPr>
          <w:lang w:val="pt-BR"/>
        </w:rPr>
      </w:pPr>
      <w:r>
        <w:rPr>
          <w:lang w:val="pt-BR"/>
        </w:rPr>
        <w:t xml:space="preserve">O espaço de busca vai de 8 mm até o limite geométrico do CAD, h</w:t>
      </w:r>
      <w:r>
        <w:rPr>
          <w:vertAlign w:val="subscript"/>
          <w:lang w:val="pt-BR"/>
        </w:rPr>
        <w:t xml:space="preserve">máx</w:t>
      </w:r>
      <w:r>
        <w:rPr>
          <w:lang w:val="pt-BR"/>
        </w:rPr>
        <w:t xml:space="preserve"> = 76,846 mm (Tabela 2), e é restringido pela física. Os critérios de fechamento e de trabalho virtual são atendidos em todos os 13.773 valores varridos, com resíduo de trabalho virtual de no máximo 8,0 × 10</w:t>
      </w:r>
      <w:r>
        <w:rPr>
          <w:vertAlign w:val="superscript"/>
          <w:lang w:val="pt-BR"/>
        </w:rPr>
        <w:t xml:space="preserve">−8</w:t>
      </w:r>
      <w:r>
        <w:rPr>
          <w:lang w:val="pt-BR"/>
        </w:rPr>
        <w:t xml:space="preserve"> mm/rad; o critério decisivo é a tração. Com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congelada, o aumento de h aumenta o curso do cabo — de 28,942 mm em h = 15 mm para 42,435 mm em h = 22,701 mm e 134,626 mm em h = 76,846 mm — e rebaixa a extensão mínima da mola, que ocorre sempre em θ* = 42,917°, com o braço elevado a 180,1°. Essa extensão se anula em h = 32,886 mm; acima desse valor, o cabo afrouxaria no início da faixa. O valor lido no CAD, 34,785 mm, está fora do intervalo viável, com extensão mínima de −2,257 mm.</w:t>
      </w:r>
    </w:p>
    <w:p>
      <w:pPr>
        <w:rPr>
          <w:lang w:val="pt-BR"/>
        </w:rPr>
      </w:pPr>
      <w:r>
        <w:rPr>
          <w:lang w:val="pt-BR"/>
        </w:rPr>
        <w:t xml:space="preserve">O limite geométrico do CAD não é, portanto, o que restringe a busca: com a mola e a montagem atuais, o limite ativo é a tração, h ≤ 32,886 mm. O comportamento do mecanismo entre esse valor e os 76,846 mm admitidos pela geometria é discutido ao final desta seção.</w:t>
      </w:r>
    </w:p>
    <w:p>
      <w:pPr>
        <w:rPr>
          <w:lang w:val="pt-BR"/>
        </w:rPr>
      </w:pPr>
      <w:r>
        <w:rPr>
          <w:lang w:val="pt-BR"/>
        </w:rPr>
        <w:t xml:space="preserve">A Figura 3 mostra a família de curvas de torque para sete valores de h dentro desse intervalo.</w:t>
      </w:r>
    </w:p>
    <w:p w14:paraId="1E80E2F0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3 — Família de curvas de torque do cabo para h de 16 a 32,886 mm, com K = 174,68 e X</w:t>
      </w:r>
      <w:r>
        <w:rPr>
          <w:b/>
          <w:vertAlign w:val="subscript"/>
          <w:lang w:val="pt-BR"/>
        </w:rPr>
        <w:t>pose</w:t>
      </w:r>
      <w:r>
        <w:rPr>
          <w:b/>
          <w:lang w:val="pt-BR"/>
        </w:rPr>
        <w:t xml:space="preserve"> = 37,383 mm congelados, e os 29 pontos extraídos da patente</w:t>
      </w:r>
    </w:p>
    <w:p w14:paraId="518ECEB4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4C59B70" wp14:editId="5BE8FEA3">
            <wp:extent cx="5943600" cy="3169920"/>
            <wp:effectExtent l="0" t="0" r="0" b="0"/>
            <wp:docPr id="903" name="Figura 3" descr="Sete curvas de torque do cabo em função de θ* para valores de h entre 16 e 32,886 mm, com a curva de h = 22,701 mm destacada, os pontos extraídos e dois nós marc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Figura 3" descr="Sete curvas de torque do cabo em função de θ* para valores de h entre 16 e 32,886 mm, com a curva de h = 22,701 mm destacada, os pontos extraídos e dois nós marcad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AE19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>
      <w:pPr>
        <w:rPr>
          <w:lang w:val="pt-BR"/>
        </w:rPr>
      </w:pPr>
      <w:r>
        <w:rPr>
          <w:lang w:val="pt-BR"/>
        </w:rPr>
        <w:t xml:space="preserve">O deslocamento da ancoragem atua como um ganho concentrado na faixa central. As curvas quase coincidem em dois nós, com espalhamento de 9,35 u.p. em θ* = 68,03° (elevação de 155,0°) e de 0,18 u.p. em θ* = 185,71° (elevação de 37,3°), e se abrem ao máximo, 106,79 u.p., em θ* = 130,38° (elevação de 92,6°). Aumentar h eleva, portanto, o torque devolvido entre cerca de 37° e 155° de elevação, justamente na faixa de trabalho, e quase não altera o torque com o braço muito baixo ou muito alto.</w:t>
      </w:r>
    </w:p>
    <w:p>
      <w:pPr>
        <w:rPr>
          <w:lang w:val="pt-BR"/>
        </w:rPr>
      </w:pPr>
      <w:r>
        <w:rPr>
          <w:lang w:val="pt-BR"/>
        </w:rPr>
        <w:t xml:space="preserve">A Figura 4 apresenta o torque devolvido, o trabalho devolvido, a margem de tração e o ponto morto em função de h, e a Tabela 10 detalha valores selecionados.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4 — Torque devolvido em função de h, com K = 174,68 e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= 37,383 mm congelados: pico e média de 90° a 150° de elevação, trabalho devolvido na faixa de operação, extensão mínima da mola e elevação do ponto morto</w:t>
      </w:r>
    </w:p>
    <w:p xmlns:a="http://schemas.openxmlformats.org/drawingml/2006/main" xmlns:pic="http://schemas.openxmlformats.org/drawingml/2006/picture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943600" cy="3803904"/>
            <wp:effectExtent l="0" t="0" r="0" b="0"/>
            <wp:docPr id="904" name="Figura 4" descr="Quatro painéis em função de h, de 8 a 32,886 mm: torque de pico e médio, trabalho devolvido, extensão mínima da mola com as margens de 10, 5 e 2 mm marcadas, e elevação do ponto mor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Figura 4" descr="Quatro painéis em função de h, de 8 a 32,886 mm: torque de pico e médio, trabalho devolvido, extensão mínima da mola com as margens de 10, 5 e 2 mm marcadas, e elevação do ponto morto."/>
                    <pic:cNvPicPr/>
                  </pic:nvPicPr>
                  <pic:blipFill>
                    <a:blip r:embed="rIdTccFi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linha contínua, h adotado; linha tracejada, fronteira de tração; pontos do painel da extensão, margens de 10, 5 e 2 mm; linha pontilhada do painel do ponto morto, início da zona neutra indicado na patente (30°).</w:t>
      </w:r>
    </w:p>
    <w:p>
      <w:pPr>
        <w:rPr>
          <w:lang w:val="pt-BR"/>
        </w:rPr>
      </w:pPr>
      <w:r>
        <w:rPr>
          <w:lang w:val="pt-BR"/>
        </w:rPr>
        <w:t xml:space="preserve">Os três indicadores de torque crescem monotonicamente com h em todo o intervalo viável. Com a mesma mola, o pico passa de 57,4 u.p. em h = 8 mm para 211,9 u.p. na fronteira de tração; o torque médio de 90° a 150°, de 50,3 para 163,6 u.p.; e o trabalho devolvido, de 108,8 para 315,9 u.p.·rad. O motivo é geométrico: o braço de momento é limitado por |OA| = √(h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 + p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), que cresce com h, e o curso do cabo, e com ele a força da mola, cresce junto. Não há, portanto, ótimo interior: o maior torque devolvido ocorre no limite da restrição de tração.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10 — Torque devolvido pelo mecanismo para valores selecionados de h (K e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congelados)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200"/>
        <w:gridCol w:w="1250"/>
        <w:gridCol w:w="1400"/>
        <w:gridCol w:w="1450"/>
        <w:gridCol w:w="1300"/>
        <w:gridCol w:w="1400"/>
        <w:gridCol w:w="1360"/>
      </w:tblGrid>
      <w:tr>
        <w:trPr>
          <w:cantSplit/>
          <w:tblHeader/>
        </w:trPr>
        <w:tc>
          <w:tcPr>
            <w:tcW w:w="12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h (mm)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Pico (u.p.)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Média 90°–150° (u.p.)</w:t>
            </w:r>
          </w:p>
        </w:tc>
        <w:tc>
          <w:tcPr>
            <w:tcW w:w="145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Trabalho (u.p.·rad)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mín</w:t>
            </w:r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Ponto morto (°)</w:t>
            </w:r>
          </w:p>
        </w:tc>
        <w:tc>
          <w:tcPr>
            <w:tcW w:w="13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K 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máx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57,4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50,3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108,8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29,20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16,87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8.001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81,4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72,1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150,4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24,56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23,67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8.424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105,7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92,4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189,0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19,90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27,24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8.839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20,000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130,3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111,5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224,5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15,22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29,43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9.246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22,701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147,1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123,6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246,5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12,04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30,49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9.516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25,000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161,5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133,4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264,1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9,34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31,20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9.745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180,5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145,5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285,4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5,79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31,97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10.039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30,000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193,3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153,2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298,5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3,42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32,39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10.234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32,886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211,9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163,6</w:t>
            </w:r>
          </w:p>
        </w:tc>
        <w:tc>
          <w:tcPr>
            <w:tcW w:w="14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315,9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0,00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32,92</w:t>
            </w:r>
          </w:p>
        </w:tc>
        <w:tc>
          <w:tcPr>
            <w:tcW w:w="13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10.511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22,701 mm é o h adotado; 32,886 mm, a fronteira de tração. K δ</w:t>
      </w:r>
      <w:r>
        <w:rPr>
          <w:sz w:val="20"/>
          <w:szCs w:val="20"/>
          <w:vertAlign w:val="subscript"/>
          <w:lang w:val="pt-BR"/>
        </w:rPr>
        <w:t xml:space="preserve">máx</w:t>
      </w:r>
      <w:r>
        <w:rPr>
          <w:sz w:val="20"/>
          <w:szCs w:val="20"/>
          <w:lang w:val="pt-BR"/>
        </w:rPr>
        <w:t xml:space="preserve"> na unidade de K multiplicada por milímetro.</w:t>
      </w:r>
    </w:p>
    <w:p>
      <w:pPr>
        <w:rPr>
          <w:lang w:val="pt-BR"/>
        </w:rPr>
      </w:pPr>
      <w:r>
        <w:rPr>
          <w:lang w:val="pt-BR"/>
        </w:rPr>
        <w:t xml:space="preserve">O ótimo estrito, h* = 32,886 mm, devolve 32% mais torque médio na faixa de trabalho que o h adotado, 44% mais torque de pico e 28% mais trabalho. Ele tem, porém, extensão mínima nula: com o braço elevado a 180,1°, a mola chega ao comprimento livre e o cabo fica no limite do afrouxamento, sem pré-tensão. Qualquer tolerância de montagem, folga do cabo ou relaxação da mola faria o cabo afrouxar nessa postura. Por isso, o ótimo de projeto é o h que maximiza o torque mantendo uma margem mínima de extensão, δ</w:t>
      </w:r>
      <w:r>
        <w:rPr>
          <w:vertAlign w:val="subscript"/>
          <w:lang w:val="pt-BR"/>
        </w:rPr>
        <w:t xml:space="preserve">marg</w:t>
      </w:r>
      <w:r>
        <w:rPr>
          <w:lang w:val="pt-BR"/>
        </w:rPr>
        <w:t xml:space="preserve"> na Equação (28).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11 — Ótimo de h para margens mínimas de extensão da mola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700"/>
        <w:gridCol w:w="1500"/>
        <w:gridCol w:w="1500"/>
        <w:gridCol w:w="1900"/>
        <w:gridCol w:w="1660"/>
        <w:gridCol w:w="1100"/>
      </w:tblGrid>
      <w:tr>
        <w:trPr>
          <w:cantSplit/>
          <w:tblHeader/>
        </w:trPr>
        <w:tc>
          <w:tcPr>
            <w:tcW w:w="17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Margem 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marg</w:t>
            </w:r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h* (mm)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Pico (u.p.)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Média 90°–150° (u.p.)</w:t>
            </w:r>
          </w:p>
        </w:tc>
        <w:tc>
          <w:tcPr>
            <w:tcW w:w="16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Ganho sobre o h adotado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Ponto morto (°)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24,437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157,9</w:t>
            </w:r>
          </w:p>
        </w:tc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131,0</w:t>
            </w:r>
          </w:p>
        </w:tc>
        <w:tc>
          <w:tcPr>
            <w:tcW w:w="16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+6,0%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31,04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28,670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184,8</w:t>
            </w:r>
          </w:p>
        </w:tc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148,1</w:t>
            </w:r>
          </w:p>
        </w:tc>
        <w:tc>
          <w:tcPr>
            <w:tcW w:w="16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+19,9%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32,12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31,201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201,0</w:t>
            </w:r>
          </w:p>
        </w:tc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157,6</w:t>
            </w:r>
          </w:p>
        </w:tc>
        <w:tc>
          <w:tcPr>
            <w:tcW w:w="16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+27,5%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32,62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 (estrito)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32,886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211,9</w:t>
            </w:r>
          </w:p>
        </w:tc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163,6</w:t>
            </w:r>
          </w:p>
        </w:tc>
        <w:tc>
          <w:tcPr>
            <w:tcW w:w="16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+32,4%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32,92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Como a extensão mínima decresce linearmente com h, cada milímetro de margem custa cerca de 0,85 mm de ancoragem. Com margem de 5 mm, o ótimo fica em h* = 28,67 mm e devolve 20% mais torque médio que o h adotado; com margem de 10 mm, em h* = 24,44 mm, o ganho cai a 6%. O h adotado corresponde a uma margem de 12,04 mm. A escolha da margem é decisão de projeto, que depende da tolerância de montagem e da especificação da mola, e não pode ser fixada pela análise.</w:t>
      </w:r>
    </w:p>
    <w:p>
      <w:pPr>
        <w:rPr>
          <w:lang w:val="pt-BR"/>
        </w:rPr>
      </w:pPr>
      <w:r>
        <w:rPr>
          <w:lang w:val="pt-BR"/>
        </w:rPr>
        <w:t xml:space="preserve">O ganho de torque tem duas contrapartidas. A primeira é a carga na mola: a tração máxima, K δ</w:t>
      </w:r>
      <w:r>
        <w:rPr>
          <w:vertAlign w:val="subscript"/>
          <w:lang w:val="pt-BR"/>
        </w:rPr>
        <w:t xml:space="preserve">máx</w:t>
      </w:r>
      <w:r>
        <w:rPr>
          <w:lang w:val="pt-BR"/>
        </w:rPr>
        <w:t xml:space="preserve">, cresce 10,5% do h adotado à fronteira de tração. A segunda é o ponto morto, que se desloca de 30,49° para 32,92° de elevação: o braço passa a ser liberado 2,4° mais cedo ao ser abaixado, afastando-se do início da zona neutra indicado na patente. O pico também se desloca, de 97,5° para 94,9° de elevação, aproximando-se do pico gravitacional, a 89,44°.</w:t>
      </w:r>
    </w:p>
    <w:p>
      <w:pPr>
        <w:rPr>
          <w:lang w:val="pt-BR"/>
        </w:rPr>
      </w:pPr>
      <w:r>
        <w:rPr>
          <w:lang w:val="pt-BR"/>
        </w:rPr>
        <w:t xml:space="preserve">Acima da fronteira de tração, e até o limite geométrico de 76,846 mm, o mecanismo continua a funcionar com a mesma mola e a mesma montagem, mas o cabo afrouxa no início da faixa. Com o braço muito elevado, o caminho do cabo encurta mais do que a pré-extensão da pose comporta, a mola volta ao comprimento livre e, pela Equação (19), a força e o torque se anulam nesse trecho. A Tabela 12 mostra o efeito.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12 — Torque devolvido com folga de cabo, para h acima da fronteira de tração (K e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congelados)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150"/>
        <w:gridCol w:w="1700"/>
        <w:gridCol w:w="1400"/>
        <w:gridCol w:w="1300"/>
        <w:gridCol w:w="1500"/>
        <w:gridCol w:w="1310"/>
        <w:gridCol w:w="1000"/>
      </w:tblGrid>
      <w:tr>
        <w:trPr>
          <w:cantSplit/>
          <w:tblHeader/>
        </w:trPr>
        <w:tc>
          <w:tcPr>
            <w:tcW w:w="115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h (mm)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Sem assistência, elevação (°)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Peso no início da folga (N·m)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Pico (u.p.)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Média 90°–150° (u.p.)</w:t>
            </w:r>
          </w:p>
        </w:tc>
        <w:tc>
          <w:tcPr>
            <w:tcW w:w="131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Torque a 150° (u.p.)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Ponto morto (°)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32,886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nenhuma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211,9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163,6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73,9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32,92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35,000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173,8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1,09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225,7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170,8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70,3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33,25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40,000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163,8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3,02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258,7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186,4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57,5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33,89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45,000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157,0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4,27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292,3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199,9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38,6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34,39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50,000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151,9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5,15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326,5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211,3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13,7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34,79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60,000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144,9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6,33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396,2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230,5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0,0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35,39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70,000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140,1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7,08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467,4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249,4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0,0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35,82</w:t>
            </w:r>
          </w:p>
        </w:tc>
      </w:tr>
      <w:tr>
        <w:trPr>
          <w:cantSplit/>
        </w:trPr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76,846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137,6 a 180,1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7,45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516,7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262,3</w:t>
            </w:r>
          </w:p>
        </w:tc>
        <w:tc>
          <w:tcPr>
            <w:tcW w:w="131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0,0</w:t>
            </w:r>
          </w:p>
        </w:tc>
        <w:tc>
          <w:tcPr>
            <w:tcW w:w="1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36,05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32,886 mm é a fronteira de tração; 76,846 mm, o limite geométrico do CAD. Torque do peso em N·m, pela Equação (24).</w:t>
      </w:r>
    </w:p>
    <w:p>
      <w:pPr>
        <w:rPr>
          <w:lang w:val="pt-BR"/>
        </w:rPr>
      </w:pPr>
      <w:r>
        <w:rPr>
          <w:lang w:val="pt-BR"/>
        </w:rPr>
        <w:t xml:space="preserve">O torque total continua a crescer: o pico, a média de 90° a 150° e o trabalho devolvido aumentam monotonicamente até o limite do CAD, onde o pico chega a 516,7 u.p., 3,5 vezes o do h adotado. O ganho, porém, troca de lugar. A zona sem assistência começa em 173,8° de elevação para h = 35 mm, em 163,8° para h = 40 mm e em 137,6° no limite do CAD; nesse ponto, o peso do braço ainda vale 7,45 N·m, 67% do pico gravitacional. O pico do torque migra para cerca de 89°, sobre o pico gravitacional, e o ponto morto sobe a 36,0°. O mecanismo deixa de ser um apoio para trabalho acima da cabeça e passa a apoiar o braço próximo da horizontal, abandonando-o justamente nas posturas elevadas que a patente pretende atender.</w:t>
      </w:r>
    </w:p>
    <w:p>
      <w:pPr>
        <w:rPr>
          <w:lang w:val="pt-BR"/>
        </w:rPr>
      </w:pPr>
      <w:r>
        <w:rPr>
          <w:lang w:val="pt-BR"/>
        </w:rPr>
        <w:t xml:space="preserve">Esses valores de h são alternativas de projeto, e não identificações do dispositivo da patente. Com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congelados, apenas o h adotado reproduz a curva publicada (seção 4.5); os demais descrevem o mesmo conjunto de mola e montagem com a ancoragem deslocada. O resultado indica que, para a mola identificada, a ancoragem pode ser afastada do pivô até cerca de 28 a 31 mm, conforme a margem exigida, com ganho de 20 a 28% no torque médio devolvido na faixa de trabalho, sem perda de assistência em nenhuma postura; além da fronteira de tração, o ganho de torque total é obtido à custa da assistência acima da cabeça.</w:t>
      </w:r>
    </w:p>
    <w:p w14:paraId="39EFC3D7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4.8 Confronto entre o torque do cabo e o torque gravitacional</w:t>
      </w:r>
    </w:p>
    <w:p w14:paraId="3E38D876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torque gravitacional do conjunto, calculado pela Equação (24) de forma independente da cadeia do cabo, atinge o máximo de 11,1619 N·m na elevação de 89,44°, o que corrobora a previsão da seção 2.1, de momento gravitacional máximo com o segmento perpendicular à gravidade. O desvio de 0,56° em relação a 90° indica que a linha que une o pivô ao centro de massa do conjunto forma esse ângulo com a direção do braço adotada na convenção da patente. O valor do pico coincide com M g d da Tabela 3. O módulo da Equação (24) oculta a troca de sentido do torque em θ* = 43,579° (elevação de 179,44°), que afeta apenas os 0,66° iniciais da faixa, com torque inferior a 0,13 N·m.</w:t>
      </w:r>
    </w:p>
    <w:p w14:paraId="25D4FA0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comparação entre as duas curvas exige cautela metodológica. Como a ordenada da curva publicada não tem unidade declarada e a seção 4.6 mostrou que sua leitura em N·m é implausível, as magnitudes não são comparáveis. O que se pode confrontar é a forma dos perfis, apresentados na Figura 5 normalizados pelos respectivos valores de pico, em função da elevação anatômica. Como a </w:t>
        <w:lastRenderedPageBreak/>
        <w:t>normalização elimina a escala, o confronto não informa que fração do torque gravitacional o mecanismo compensa.</w:t>
      </w:r>
    </w:p>
    <w:p w14:paraId="76891CEF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5 — Torque do cabo e torque gravitacional normalizados pelos respectivos picos, em função da elevação anatômica (K = 174,68; h = 22,701 mm; X</w:t>
      </w:r>
      <w:r>
        <w:rPr>
          <w:b/>
          <w:vertAlign w:val="subscript"/>
          <w:lang w:val="pt-BR"/>
        </w:rPr>
        <w:t>pose</w:t>
      </w:r>
      <w:r>
        <w:rPr>
          <w:b/>
          <w:lang w:val="pt-BR"/>
        </w:rPr>
        <w:t xml:space="preserve"> = 37,383 mm)</w:t>
      </w:r>
    </w:p>
    <w:p w14:paraId="0527EBB9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2681281" wp14:editId="6FCA352D">
            <wp:extent cx="5914573" cy="3105150"/>
            <wp:effectExtent l="0" t="0" r="0" b="0"/>
            <wp:docPr id="905" name="Figura 5" descr="Curvas normalizadas do torque do cabo e do torque gravitacional em função da elevação, de 30° a 180°, com o cruzamento em 93,96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Figura 5" descr="Curvas normalizadas do torque do cabo e do torque gravitacional em função da elevação, de 30° a 180°, com o cruzamento em 93,96°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090" cy="31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C516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51B7D5A0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>Nota: a linha pontilhada marca o cruzamento das curvas normalizadas.</w:t>
      </w:r>
    </w:p>
    <w:p w14:paraId="148B45E7" w14:textId="77777777" w:rsidR="009C1161" w:rsidRDefault="003B1183">
      <w:pPr>
        <w:rPr>
          <w:lang w:val="pt-BR"/>
        </w:rPr>
      </w:pPr>
      <w:r>
        <w:rPr>
          <w:lang w:val="pt-BR"/>
        </w:rPr>
        <w:t>Três características emergem do confronto. O pico do torque do cabo ocorre na elevação de 97,48°, e o do torque gravitacional, em 89,44°, com defasagem de 8,05°. O mecanismo entrega sua assistência máxima acima da posição de maior demanda gravitacional, configuração compatível com dispositivo projetado para trabalho acima da cabeça.</w:t>
      </w:r>
    </w:p>
    <w:p w14:paraId="3E055C2D" w14:textId="77777777" w:rsidR="009C1161" w:rsidRDefault="003B1183">
      <w:pPr>
        <w:rPr>
          <w:lang w:val="pt-BR"/>
        </w:rPr>
      </w:pPr>
      <w:r>
        <w:rPr>
          <w:lang w:val="pt-BR"/>
        </w:rPr>
        <w:t>As curvas normalizadas cruzam-se na elevação de 93,96°. Entre 94° e 160°, as diferenças normalizadas (cabo menos peso) são positivas e pequenas, de 0,000 a +0,055; acima de 160°, crescem até +0,184 em 179,44°. Entre 105° e 150°, as duas curvas diferem em no máximo 0,027, o que indica que o perfil elástico reproduz a forma da demanda gravitacional na faixa de maior interesse para o trabalho acima da cabeça.</w:t>
      </w:r>
    </w:p>
    <w:p w14:paraId="6EADF918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Abaixo de 94°, as diferenças tornam-se negativas e crescentes em módulo, até −0,520 na elevação de 30°. No ponto morto, na elevação de 30,485°, o torque gravitacional ainda vale 5,757 N·m, 51,6% de seu pico, enquanto o torque do cabo se anula; em 30°, o torque gravitacional é de 5,675 N·m, 50,8% do pico. Trata-se de característica da arquitetura, e não de deficiência do ajuste: conforme a seção 2.3, a patente prevê que o dispositivo libere o braço nas posturas de não trabalho, em que o usuário precisa de mobilidade para alcançar ferramentas ou repousar o membro.</w:t>
      </w:r>
    </w:p>
    <w:p w14:paraId="233A0A40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confronto ilustra, em termos quantitativos, a limitação apontada por Nasr, Ferguson e McPhee (2022) e discutida na seção 2.4: um mecanismo passivo entrega torque determinado para cada ângulo, de modo que o ajuste favorável em uma faixa implica desvio em outra. No caso analisado, o compromisso </w:t>
        <w:lastRenderedPageBreak/>
        <w:t xml:space="preserve">privilegia a faixa acima da horizontal, onde a exposição postural concentra o risco documentado por van der Molen et al. (2017) e Seidler et al. (2020), à custa de subcompensação na faixa inferior. É também a limitação que motiva as soluções semipassivas de assistência regulável referidas na seção 2.4.</w:t>
      </w:r>
    </w:p>
    <w:p w14:paraId="04A80EE6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4.9 Limitações dos resultados</w:t>
      </w:r>
    </w:p>
    <w:p w14:paraId="3E503245" w14:textId="77777777" w:rsidR="009C1161" w:rsidRDefault="003B1183">
      <w:pPr>
        <w:rPr>
          <w:lang w:val="pt-BR"/>
        </w:rPr>
      </w:pPr>
      <w:r>
        <w:rPr>
          <w:lang w:val="pt-BR"/>
        </w:rPr>
        <w:t>Além das limitações de escopo da seção 3.13, os resultados comportam as ressalvas a seguir.</w:t>
      </w:r>
    </w:p>
    <w:p w14:paraId="25A55B0F" w14:textId="77777777" w:rsidR="009C1161" w:rsidRDefault="003B1183">
      <w:pPr>
        <w:rPr>
          <w:lang w:val="pt-BR"/>
        </w:rPr>
      </w:pPr>
      <w:r>
        <w:rPr>
          <w:lang w:val="pt-BR"/>
        </w:rPr>
        <w:t>O ponto morto do mecanismo situa-se em θ* = 192,5317°, equivalente à elevação de 30,485°, e a patente indica a zona neutra a partir de 30°, diferença de 0,485°. A protuberância que, no dispositivo real, restringe o gerador de força além desse ângulo não integra o modelo; em consequência, o modelo prevê inversão de sinal do torque após o ponto morto, ao passo que o dispositivo mantém torque residual aproximadamente nulo. A ressalva restringe-se aos 0,485° finais da faixa e ao último ponto extraído.</w:t>
      </w:r>
    </w:p>
    <w:p w14:paraId="53A307B2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ausência de unidade declarada na ordenada da curva publicada impede a conversão do torque do cabo para N·m e, por conseguinte, o cálculo do torque resultante sobre a articulação e a integração da equação de movimento. Essa conversão exige dado independente, como a especificação de rigidez de uma mola comercial compatível com o mecanismo ou fonte documentada que estabeleça a escala da figura original.</w:t>
      </w:r>
    </w:p>
    <w:p w14:paraId="306B08D0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identificação foi reproduzida apenas em parte. K e X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foram reproduzidos no h adotado, mas a origem de θ</w:t>
      </w:r>
      <w:r>
        <w:rPr>
          <w:vertAlign w:val="subscript"/>
          <w:lang w:val="pt-BR"/>
        </w:rPr>
        <w:t>off</w:t>
      </w:r>
      <w:r>
        <w:rPr>
          <w:lang w:val="pt-BR"/>
        </w:rPr>
        <w:t xml:space="preserve"> e de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não pôde ser reconstituída, e os quatro parâmetros foram identificados e avaliados contra os mesmos 29 pontos, cuja incerteza de extração não está documentada. O valor documental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 é incompatível com os demais parâmetros congelados, pois viola o critério de tração.</w:t>
      </w:r>
    </w:p>
    <w:p w14:paraId="153DE28A" w14:textId="77777777" w:rsidR="009C1161" w:rsidRDefault="003B1183">
      <w:pPr>
        <w:rPr>
          <w:lang w:val="pt-BR"/>
        </w:rPr>
      </w:pPr>
      <w:r>
        <w:rPr>
          <w:lang w:val="pt-BR"/>
        </w:rPr>
        <w:t>O fator de escala de 0,870, fixado pela comparação entre o comprimento do elo distal e o comprimento de segmento do indivíduo de referência, propaga-se a todas as grandezas dimensionais e de massa, e duas cotas do modelo em CAD permanecem a confirmar. Alterações nessas grandezas exigem a reexecução integral da identificação.</w:t>
      </w:r>
    </w:p>
    <w:p>
      <w:pPr>
        <w:rPr>
          <w:lang w:val="pt-BR"/>
        </w:rPr>
      </w:pPr>
      <w:r>
        <w:rPr>
          <w:lang w:val="pt-BR"/>
        </w:rPr>
        <w:t xml:space="preserve">As grandezas da mola ligadas ao desenho — o comprimento útil do alojamento, 131,37 mm, e a deflexão relativa da mola, razão entre sua extensão máxima e seu comprimento livre, de 1,0095 no h adotado — dependem da escala e da precisão do desenho da patente, que não são conhecidas. Por isso, não foram usadas como restrição na seção 4.7. Se confirmadas, o comprimento máximo da mola atingiria o alojamento em h = 66,94 mm, e a deflexão relativa, que cresce com h até 1,115 na fronteira de tração, precisaria ser confrontada com a deflexão admissível da mola a especificar.</w:t>
      </w:r>
    </w:p>
    <w:p>
      <w:pPr>
        <w:rPr>
          <w:lang w:val="pt-BR"/>
        </w:rPr>
      </w:pPr>
      <w:r>
        <w:rPr>
          <w:lang w:val="pt-BR"/>
        </w:rPr>
        <w:t xml:space="preserve">O cenário com folga de cabo, para h acima da fronteira de tração, é tratado de forma estática: o modelo anula a força onde a extensão seria negativa, mas mantém o cabo alinhado ao tambor. Ele não representa a saída do cabo do tambor quando frouxo nem o impacto na retomada da tração ao abaixar o braço, que exigiriam análise dinâmica.</w:t>
      </w:r>
    </w:p>
    <w:p w14:paraId="02288CD9" w14:textId="77777777" w:rsidR="009C1161" w:rsidRDefault="003B1183">
      <w:pPr>
        <w:rPr>
          <w:lang w:val="pt-BR"/>
        </w:rPr>
      </w:pPr>
      <w:r>
        <w:rPr>
          <w:lang w:val="pt-BR"/>
        </w:rPr>
        <w:t>Por fim, os resultados referem-se a um único dispositivo, ao indivíduo de referência adotado e ao membro superior estendido sem ferramenta na mão, e limitam-se à análise estática. A generalização a outros percentis antropométricos, a outras configurações de cotovelo e à presença de carga na mão demanda a reexecução do procedimento com os parâmetros correspondentes.</w:t>
      </w:r>
    </w:p>
    <w:p w14:paraId="68B00399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5 CONCLUSÃO</w:t>
      </w:r>
    </w:p>
    <w:p w14:paraId="4386E937" w14:textId="77777777" w:rsidR="009C1161" w:rsidRDefault="003B1183">
      <w:pPr>
        <w:rPr>
          <w:lang w:val="pt-BR"/>
        </w:rPr>
      </w:pPr>
      <w:r>
        <w:rPr>
          <w:lang w:val="pt-BR"/>
        </w:rPr>
        <w:t>Este trabalho reconstruiu, a partir da documentação de patente, o gerador de torque de mola da US 9.889.554 B2 e formulou um modelo estático do torque que ele entrega em função do ângulo. A cinemática foi resolvida em forma fechada a partir da equação de fechamento do circuito vetorial, e cada etapa da cadeia de cálculo foi conferida por verificações independentes, com resíduos da ordem de 10</w:t>
      </w:r>
      <w:r>
        <w:rPr>
          <w:vertAlign w:val="superscript"/>
          <w:lang w:val="pt-BR"/>
        </w:rPr>
        <w:t>−13</w:t>
      </w:r>
      <w:r>
        <w:rPr>
          <w:lang w:val="pt-BR"/>
        </w:rPr>
        <w:t xml:space="preserve"> mm nas relações geométricas.</w:t>
      </w:r>
    </w:p>
    <w:p w14:paraId="29ADAB4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princípio dos trabalhos virtuais mostrou-se o critério decisivo na formulação. Ele revelou que a extensão da mola deve acompanhar o caminho completo do cabo, ℓ = s − Rψ, e não apenas o vão livre, que violava a conservação de energia com resíduo de 1,71 mm. A mesma verificação distinguiu o braço </w:t>
        <w:lastRenderedPageBreak/>
        <w:t>de momento perpendicular, limitado a 22,919 mm, da distância do pivô ao ponto de tangência, próxima de 283 mm, cuja confusão superestimaria o torque por um fator superior a 12.</w:t>
      </w:r>
    </w:p>
    <w:p w14:paraId="0690F43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os parâmetros congelados, o modelo reproduz a forma da curva publicada com coeficiente de determinação de 0,99839 e RMSE de 1,83 u.p., equivalente a 1,24% do maior valor extraído. Os resíduos, contudo, organizam-se em zonas de sinal alternado, o que indica diferença sistemática de forma, e a formulação anterior, fisicamente inconsistente, ajustava melhor a curva. A adoção da formulação consistente, apesar do RMSE maior, reflete o critério de que a escolha entre modelos se faz por validade física, e não pelo indicador de erro.</w:t>
      </w:r>
    </w:p>
    <w:p w14:paraId="01F60D58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otimização da ancoragem mostrou que, com a mesma mola, o torque devolvido cresce monotonicamente com h. O cabo permanece tracionado em toda a faixa somente para h ≤ 32,886 mm, o que exclui a cota de 34,785 mm lida no CAD. Nesse limite, o torque médio devolvido de 90° a 150° de elevação seria 32% maior que no h adotado, mas sem pré-tensão com o braço elevado; com margem de 5 mm de extensão, o ótimo de projeto fica em 28,7 mm, com ganho de 20%. Até os 76,846 mm admitidos pela geometria, o torque total continua a crescer, mas o cabo afrouxa nas posturas elevadas e a assistência desaparece acima de cerca de 138° a 174° de elevação, conforme h, o que contraria o uso previsto para o trabalho acima da cabeça. O valor adotado, 22,701 mm, mantém margem de 12 mm, e sua origem, ao contrário de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, não pôde ser reproduzida pela auditoria.</w:t>
      </w:r>
    </w:p>
    <w:p w14:paraId="576AAC41" w14:textId="77777777" w:rsidR="009C1161" w:rsidRDefault="003B1183">
      <w:pPr>
        <w:rPr>
          <w:lang w:val="pt-BR"/>
        </w:rPr>
      </w:pPr>
      <w:r>
        <w:rPr>
          <w:lang w:val="pt-BR"/>
        </w:rPr>
        <w:t xml:space="preserve">No confronto com o torque gravitacional do conjunto braço–exoesqueleto, cujo pico de 11,16 N·m ocorre a 89,4° de elevação, as curvas normalizadas diferem em no máximo 0,027 entre 105° e 150° de elevação. O pico do torque do cabo, a 97,5°, fica 8,05° acima do pico gravitacional, e o ponto morto, a 30,5°, libera o braço nas posturas de não trabalho, à custa de subcompensação abaixo de 94°. O resultado quantifica o compromisso de um mecanismo passivo de torque fixo por ângulo, que favorece o trabalho acima da cabeça.</w:t>
      </w:r>
    </w:p>
    <w:p w14:paraId="325F17CD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objetivo geral foi atingido em sua parte estática e para um dos três dispositivos previstos. Os objetivos específicos a, b, c e e foram cumpridos; o objetivo d, parcialmente, pois a rigidez e a extensão da mola na pose foram reproduzidas, mas a origem da posição da ancoragem e da calibração angular não. Os objetivos f e g, referentes à equação de movimento e ao acoplamento com o MBDyn, não foram executados. A principal restrição é a ausência de unidade na ordenada da curva da patente: o torque do cabo permanece em unidade da patente, e a leitura em N·m conduz a forças implausíveis, de modo que o modelo determina a forma do torque, mas não sua escala física.</w:t>
      </w:r>
    </w:p>
    <w:p w14:paraId="0520EA52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Como continuidade, recomenda-se obter um dado independente que fixe a escala do torque, como a especificação de uma mola comercial compatível; conferir no CAD a cota de ancoragem, o comprimento do alojamento e o comprimento da mola na pose, confrontando a deflexão relativa exigida com a admissível da mola especificada; documentar o procedimento de extração dos pontos e sua incerteza; representar a protuberância responsável pela zona neutra; e, com o torque em unidade física, executar as etapas dinâmicas pela formulação de Lagrange e no MBDyn e estender o procedimento à US 9.737.374 B2 e à EP 3 504 033 B1.</w:t>
      </w:r>
    </w:p>
    <w:p w14:paraId="5AC9ECE8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REFERÊNCIAS</w:t>
      </w:r>
    </w:p>
    <w:p w14:paraId="0F926510" w14:textId="77777777" w:rsidR="00FD1B34" w:rsidRDefault="003B1183">
      <w:r>
        <w:rPr>
          <w:lang w:val="pt-BR"/>
        </w:rPr>
        <w:t xml:space="preserve">AGÊNCIA BRASIL. </w:t>
      </w:r>
      <w:r>
        <w:rPr>
          <w:b/>
          <w:lang w:val="pt-BR"/>
        </w:rPr>
        <w:t>Doenças afastaram 4,1 milhões de trabalhadores de suas funções em 2025</w:t>
      </w:r>
      <w:r>
        <w:rPr>
          <w:lang w:val="pt-BR"/>
        </w:rPr>
        <w:t xml:space="preserve">. Brasília, 2026. Disponível em: </w:t>
      </w:r>
      <w:hyperlink r:id="rId10" w:history="1">
        <w:r>
          <w:rPr>
            <w:rStyle w:val="Hyperlink"/>
            <w:lang w:val="pt-BR"/>
          </w:rPr>
          <w:t>https://agenciabrasil.ebc.com.br/saude/noticia/2026-01/doencas-afastaram-41-milhoes-de-trabalhadores-de-suas-funcoes-em-2025</w:t>
        </w:r>
      </w:hyperlink>
      <w:r>
        <w:rPr>
          <w:lang w:val="pt-BR"/>
        </w:rPr>
        <w:t xml:space="preserve">. </w:t>
      </w:r>
      <w:r>
        <w:t xml:space="preserve">Acesso em: 26 set. 2026.</w:t>
      </w:r>
    </w:p>
    <w:p w14:paraId="7E3BD60C" w14:textId="77777777" w:rsidR="00FD1B34" w:rsidRDefault="003B1183">
      <w:r>
        <w:t xml:space="preserve">ARAKELIAN, V. Gravity compensation in robotics. </w:t>
      </w:r>
      <w:r>
        <w:rPr>
          <w:b/>
        </w:rPr>
        <w:t>Advanced Robotics</w:t>
      </w:r>
      <w:r>
        <w:t xml:space="preserve">, [S.l.], v. 30, n. 2, p. 79-96, 2016. DOI: </w:t>
      </w:r>
      <w:hyperlink r:id="rId11" w:history="1">
        <w:r>
          <w:rPr>
            <w:rStyle w:val="Hyperlink"/>
          </w:rPr>
          <w:t>10.1080/01691864.2015.1090334</w:t>
        </w:r>
      </w:hyperlink>
      <w:r>
        <w:t>.</w:t>
      </w:r>
    </w:p>
    <w:p w14:paraId="588F9640" w14:textId="77777777" w:rsidR="00FD1B34" w:rsidRDefault="003B1183">
      <w:r>
        <w:rPr>
          <w:lang w:val="pt-BR"/>
        </w:rPr>
        <w:lastRenderedPageBreak/>
        <w:t xml:space="preserve">ATIA, M. G. B. et al. </w:t>
      </w:r>
      <w:r>
        <w:t xml:space="preserve">Design and analysis of low cost upper limb exoskeleton. In: INTERNATIONAL CONFERENCE ON COMPUTER ENGINEERING AND SYSTEMS (ICCES), 12., 2017, Cairo. </w:t>
      </w:r>
      <w:r>
        <w:rPr>
          <w:b/>
        </w:rPr>
        <w:t>Proceedings</w:t>
      </w:r>
      <w:r>
        <w:t xml:space="preserve"> [...]. [S.l.]: IEEE, 2018. DOI: </w:t>
      </w:r>
      <w:hyperlink r:id="rId12" w:history="1">
        <w:r>
          <w:rPr>
            <w:rStyle w:val="Hyperlink"/>
          </w:rPr>
          <w:t>10.1109/ICCES.2017.8275281</w:t>
        </w:r>
      </w:hyperlink>
      <w:r>
        <w:t>.</w:t>
      </w:r>
    </w:p>
    <w:p w14:paraId="1783F3E3" w14:textId="77777777" w:rsidR="00FD1B34" w:rsidRDefault="003B1183">
      <w:r>
        <w:t xml:space="preserve">BÄR, M. et al. The influence of using exoskeletons during occupational tasks on acute physical stress and strain compared to no exoskeleton: a systematic review and meta-analysis. </w:t>
      </w:r>
      <w:r>
        <w:rPr>
          <w:b/>
        </w:rPr>
        <w:t>Applied Ergonomics</w:t>
      </w:r>
      <w:r>
        <w:t xml:space="preserve">, [S.l.], v. 94, art. 103385, jul. 2021. DOI: </w:t>
      </w:r>
      <w:hyperlink r:id="rId13" w:history="1">
        <w:r>
          <w:rPr>
            <w:rStyle w:val="Hyperlink"/>
          </w:rPr>
          <w:t>10.1016/j.apergo.2021.103385</w:t>
        </w:r>
      </w:hyperlink>
      <w:r>
        <w:t>.</w:t>
      </w:r>
    </w:p>
    <w:p w14:paraId="3C300EC0" w14:textId="77777777" w:rsidR="00FD1B34" w:rsidRDefault="003B1183">
      <w:r>
        <w:t xml:space="preserve">BARSOTTI, M. et al. A full upper limb robotic exoskeleton for reaching and grasping rehabilitation triggered by MI-BCI. In: INTERNATIONAL CONFERENCE ON REHABILITATION ROBOTICS (ICORR), 2015, Singapura. </w:t>
      </w:r>
      <w:r>
        <w:rPr>
          <w:b/>
        </w:rPr>
        <w:t>Proceedings</w:t>
      </w:r>
      <w:r>
        <w:t xml:space="preserve"> [...]. [S.l.]: IEEE, 2015. p. 49-54. DOI: </w:t>
      </w:r>
      <w:hyperlink r:id="rId14" w:history="1">
        <w:r>
          <w:rPr>
            <w:rStyle w:val="Hyperlink"/>
          </w:rPr>
          <w:t>10.1109/ICORR.2015.7281174</w:t>
        </w:r>
      </w:hyperlink>
      <w:r>
        <w:t>.</w:t>
      </w:r>
    </w:p>
    <w:p w14:paraId="1AB2B9F0" w14:textId="77777777" w:rsidR="00FD1B34" w:rsidRDefault="003B1183">
      <w:r>
        <w:t xml:space="preserve">BOUTERAA, Y.; BEN ABDALLAH, I. Exoskeleton robots for upper-limb rehabilitation. In: INTERNATIONAL MULTI-CONFERENCE ON SYSTEMS, SIGNALS &amp; DEVICES (SSD), 13., 2016, Leipzig. </w:t>
      </w:r>
      <w:r>
        <w:rPr>
          <w:b/>
        </w:rPr>
        <w:t>Proceedings</w:t>
      </w:r>
      <w:r>
        <w:t xml:space="preserve"> [...]. [S.l.]: IEEE, 2016. DOI: </w:t>
      </w:r>
      <w:hyperlink r:id="rId15" w:history="1">
        <w:r>
          <w:rPr>
            <w:rStyle w:val="Hyperlink"/>
          </w:rPr>
          <w:t>10.1109/SSD.2016.7473769</w:t>
        </w:r>
      </w:hyperlink>
      <w:r>
        <w:t>.</w:t>
      </w:r>
    </w:p>
    <w:p w14:paraId="5593EC07" w14:textId="77777777" w:rsidR="00FD1B34" w:rsidRDefault="003B1183">
      <w:r>
        <w:t xml:space="preserve">DE LEVA, P. Adjustments to Zatsiorsky-Seluyanov's segment inertia parameters. </w:t>
      </w:r>
      <w:r>
        <w:rPr>
          <w:b/>
        </w:rPr>
        <w:t>Journal of Biomechanics</w:t>
      </w:r>
      <w:r>
        <w:t xml:space="preserve">, [S.l.], v. 29, n. 9, p. 1223-1230, 1996. DOI: </w:t>
      </w:r>
      <w:hyperlink r:id="rId16" w:history="1">
        <w:r>
          <w:rPr>
            <w:rStyle w:val="Hyperlink"/>
          </w:rPr>
          <w:t>10.1016/0021-9290(95)00178-6</w:t>
        </w:r>
      </w:hyperlink>
      <w:r>
        <w:t>.</w:t>
      </w:r>
    </w:p>
    <w:p w14:paraId="26D29918" w14:textId="77777777" w:rsidR="00FD1B34" w:rsidRDefault="003B1183">
      <w:r>
        <w:rPr>
          <w:lang w:val="pt-BR"/>
        </w:rPr>
        <w:t xml:space="preserve">DE LOOZE, M. P. et al. </w:t>
      </w:r>
      <w:r>
        <w:t xml:space="preserve">Exoskeletons for industrial application and their potential effects on physical work load. </w:t>
      </w:r>
      <w:r>
        <w:rPr>
          <w:b/>
        </w:rPr>
        <w:t>Ergonomics</w:t>
      </w:r>
      <w:r>
        <w:t xml:space="preserve">, [S.l.], v. 59, n. 5, p. 671-681, 2016. DOI: </w:t>
      </w:r>
      <w:hyperlink r:id="rId17" w:history="1">
        <w:r>
          <w:rPr>
            <w:rStyle w:val="Hyperlink"/>
          </w:rPr>
          <w:t>10.1080/00140139.2015.1081988</w:t>
        </w:r>
      </w:hyperlink>
      <w:r>
        <w:t>.</w:t>
      </w:r>
    </w:p>
    <w:p w14:paraId="7847EB4F" w14:textId="77777777" w:rsidR="00FD1B34" w:rsidRPr="00BE1C36" w:rsidRDefault="003B1183">
      <w:pPr>
        <w:rPr>
          <w:lang w:val="pt-BR"/>
        </w:rPr>
      </w:pPr>
      <w:r>
        <w:t xml:space="preserve">DOYLE, M. C. </w:t>
      </w:r>
      <w:r>
        <w:rPr>
          <w:b/>
        </w:rPr>
        <w:t>Adaptive arm support systems and methods for use</w:t>
      </w:r>
      <w:r>
        <w:t xml:space="preserve">. </w:t>
      </w:r>
      <w:r>
        <w:rPr>
          <w:lang w:val="pt-BR"/>
        </w:rPr>
        <w:t xml:space="preserve">Depositante e titular: Levitate Technologies, Inc. US 9,737,374 B2. Depósito: 10 dez. 2013. Prioridade: 11 dez. 2012. Concessão: 22 ago. 2017.</w:t>
      </w:r>
    </w:p>
    <w:p w14:paraId="7A1B1B60" w14:textId="77777777" w:rsidR="00FD1B34" w:rsidRDefault="003B1183">
      <w:r>
        <w:rPr>
          <w:lang w:val="pt-BR"/>
        </w:rPr>
        <w:t xml:space="preserve">FOROUTANNIA, A.; MOHAMMADIAN, M. A comprehensive survey of lower limb assistive exoskeleton robots: models, dynamics, mechanics, and control. </w:t>
      </w:r>
      <w:r>
        <w:rPr>
          <w:b/>
        </w:rPr>
        <w:t>Robotics and Autonomous Systems</w:t>
      </w:r>
      <w:r>
        <w:t xml:space="preserve">, [S.l.], v. 195, art. 105232, 2026. DOI: </w:t>
      </w:r>
      <w:hyperlink r:id="rId18" w:history="1">
        <w:r>
          <w:rPr>
            <w:rStyle w:val="Hyperlink"/>
          </w:rPr>
          <w:t>10.1016/j.robot.2025.105232</w:t>
        </w:r>
      </w:hyperlink>
      <w:r>
        <w:t>.</w:t>
      </w:r>
    </w:p>
    <w:p w14:paraId="7CF61E71" w14:textId="77777777" w:rsidR="00FD1B34" w:rsidRDefault="003B1183">
      <w:r>
        <w:t xml:space="preserve">GOPURA, R. A. R. C.; KIGUCHI, K. Mechanical designs of active upper-limb exoskeleton robots: state-of-the-art and design difficulties. In: INTERNATIONAL CONFERENCE ON REHABILITATION ROBOTICS (ICORR), 2009, Kyoto. </w:t>
      </w:r>
      <w:r>
        <w:rPr>
          <w:b/>
        </w:rPr>
        <w:t>Proceedings</w:t>
      </w:r>
      <w:r>
        <w:t xml:space="preserve"> [...]. [S.l.]: IEEE, 2009. p. 178-187. DOI: </w:t>
      </w:r>
      <w:hyperlink r:id="rId19" w:history="1">
        <w:r>
          <w:rPr>
            <w:rStyle w:val="Hyperlink"/>
          </w:rPr>
          <w:t>10.1109/ICORR.2009.5209630</w:t>
        </w:r>
      </w:hyperlink>
      <w:r>
        <w:t>.</w:t>
      </w:r>
    </w:p>
    <w:p w14:paraId="08FADCE6" w14:textId="77777777" w:rsidR="00FD1B34" w:rsidRDefault="003B1183">
      <w:r>
        <w:t xml:space="preserve">GRAZI, L. et al. Design and experimental evaluation of a semi-passive upper-limb exoskeleton for workers with motorized tuning of assistance. </w:t>
      </w:r>
      <w:r>
        <w:rPr>
          <w:b/>
        </w:rPr>
        <w:t>IEEE Transactions on Neural Systems and Rehabilitation Engineering</w:t>
      </w:r>
      <w:r>
        <w:t xml:space="preserve">, [S.l.], v. 28, n. 10, p. 2276-2285, 2020. DOI: </w:t>
      </w:r>
      <w:hyperlink r:id="rId20" w:history="1">
        <w:r>
          <w:rPr>
            <w:rStyle w:val="Hyperlink"/>
          </w:rPr>
          <w:t>10.1109/TNSRE.2020.3014408</w:t>
        </w:r>
      </w:hyperlink>
      <w:r>
        <w:t>.</w:t>
      </w:r>
    </w:p>
    <w:p w14:paraId="1AF9232C" w14:textId="77777777" w:rsidR="00FD1B34" w:rsidRDefault="003B1183">
      <w:r>
        <w:t xml:space="preserve">GRAZI, L. et al. Kinematics-based adaptive assistance of a semi-passive upper-limb exoskeleton for workers in static and dynamic tasks. </w:t>
      </w:r>
      <w:r>
        <w:rPr>
          <w:b/>
        </w:rPr>
        <w:t>IEEE Robotics and Automation Letters</w:t>
      </w:r>
      <w:r>
        <w:t xml:space="preserve">, [S.l.], v. 7, n. 4, p. 8675-8682, out. 2022. DOI: </w:t>
      </w:r>
      <w:hyperlink r:id="rId21" w:history="1">
        <w:r>
          <w:rPr>
            <w:rStyle w:val="Hyperlink"/>
          </w:rPr>
          <w:t>10.1109/LRA.2022.3188402</w:t>
        </w:r>
      </w:hyperlink>
      <w:r>
        <w:t>.</w:t>
      </w:r>
    </w:p>
    <w:p w14:paraId="62C70AA0" w14:textId="77777777" w:rsidR="00FD1B34" w:rsidRDefault="003B1183">
      <w:r>
        <w:t xml:space="preserve">GULL, M. A.; BAI, S.; BAK, T. A review on design of upper limb exoskeletons. </w:t>
      </w:r>
      <w:r>
        <w:rPr>
          <w:b/>
        </w:rPr>
        <w:t>Robotics</w:t>
      </w:r>
      <w:r>
        <w:t xml:space="preserve">, [S.l.], v. 9, n. 1, art. 16, 2020. DOI: </w:t>
      </w:r>
      <w:hyperlink r:id="rId22" w:history="1">
        <w:r>
          <w:rPr>
            <w:rStyle w:val="Hyperlink"/>
          </w:rPr>
          <w:t>10.3390/robotics9010016</w:t>
        </w:r>
      </w:hyperlink>
      <w:r>
        <w:t>.</w:t>
      </w:r>
    </w:p>
    <w:p w14:paraId="08EF8C72" w14:textId="77777777" w:rsidR="009C1161" w:rsidRDefault="003B1183">
      <w:r>
        <w:t xml:space="preserve">HARRIS, C. R. et al. Array programming with NumPy. </w:t>
      </w:r>
      <w:r>
        <w:rPr>
          <w:b/>
        </w:rPr>
        <w:t>Nature</w:t>
      </w:r>
      <w:r>
        <w:t xml:space="preserve">, [S.l.], v. 585, n. 7825, p. 357-362, 2020. DOI: </w:t>
      </w:r>
      <w:hyperlink r:id="rId23" w:history="1">
        <w:r>
          <w:rPr>
            <w:rStyle w:val="Hyperlink"/>
          </w:rPr>
          <w:t>10.1038/s41586-020-2649-2</w:t>
        </w:r>
      </w:hyperlink>
      <w:r>
        <w:t>.</w:t>
      </w:r>
    </w:p>
    <w:p w14:paraId="68EBAF9A" w14:textId="77777777" w:rsidR="00FD1B34" w:rsidRDefault="003B1183">
      <w:r>
        <w:t xml:space="preserve">HERDER, J. L. </w:t>
      </w:r>
      <w:r>
        <w:rPr>
          <w:b/>
        </w:rPr>
        <w:t>Energy-free systems</w:t>
      </w:r>
      <w:r>
        <w:t xml:space="preserve">: theory, conception and design of statically balanced spring mechanisms. 2001. Tese (Doutorado) — Delft University of Technology, Delft, 2001.</w:t>
      </w:r>
    </w:p>
    <w:p w14:paraId="34BC9E02" w14:textId="77777777" w:rsidR="009C1161" w:rsidRDefault="003B1183">
      <w:r>
        <w:lastRenderedPageBreak/>
        <w:t xml:space="preserve">HUNTER, J. D. Matplotlib: a 2D graphics environment. </w:t>
      </w:r>
      <w:r>
        <w:rPr>
          <w:b/>
        </w:rPr>
        <w:t>Computing in Science &amp; Engineering</w:t>
      </w:r>
      <w:r>
        <w:t xml:space="preserve">, [S.l.], v. 9, n. 3, p. 90-95, 2007. DOI: </w:t>
      </w:r>
      <w:hyperlink r:id="rId24" w:history="1">
        <w:r>
          <w:rPr>
            <w:rStyle w:val="Hyperlink"/>
          </w:rPr>
          <w:t>10.1109/MCSE.2007.55</w:t>
        </w:r>
      </w:hyperlink>
      <w:r>
        <w:t>.</w:t>
      </w:r>
    </w:p>
    <w:p w14:paraId="43067E41" w14:textId="77777777" w:rsidR="00FD1B34" w:rsidRPr="00BE1C36" w:rsidRDefault="003B1183">
      <w:pPr>
        <w:rPr>
          <w:lang w:val="en-ZA"/>
        </w:rPr>
      </w:pPr>
      <w:r>
        <w:t xml:space="preserve">KIM, H. et al. Redundancy resolution of the human arm and an upper limb exoskeleton. </w:t>
      </w:r>
      <w:r>
        <w:rPr>
          <w:b/>
        </w:rPr>
        <w:t>IEEE Transactions on Biomedical Engineering</w:t>
      </w:r>
      <w:r>
        <w:t xml:space="preserve">, [S.l.], v. 59, n. 6, p. 1770-1779, 2012. </w:t>
      </w:r>
      <w:r>
        <w:rPr>
          <w:lang w:val="en-ZA"/>
        </w:rPr>
        <w:t xml:space="preserve">DOI: </w:t>
      </w:r>
      <w:hyperlink r:id="rId25" w:history="1">
        <w:r>
          <w:rPr>
            <w:rStyle w:val="Hyperlink"/>
            <w:lang w:val="en-ZA"/>
          </w:rPr>
          <w:t>10.1109/TBME.2012.2194489</w:t>
        </w:r>
      </w:hyperlink>
      <w:r>
        <w:rPr>
          <w:lang w:val="en-ZA"/>
        </w:rPr>
        <w:t>.</w:t>
      </w:r>
    </w:p>
    <w:p w14:paraId="6B26610C" w14:textId="77777777" w:rsidR="00FD1B34" w:rsidRDefault="003B1183">
      <w:r>
        <w:t xml:space="preserve">KIM, S. et al. Assessing the influence of a passive, upper extremity exoskeletal vest for tasks requiring arm elevation: part I — "expected" effects on discomfort, shoulder muscle activity, and work task performance. </w:t>
      </w:r>
      <w:r>
        <w:rPr>
          <w:b/>
        </w:rPr>
        <w:t>Applied Ergonomics</w:t>
      </w:r>
      <w:r>
        <w:t xml:space="preserve">, [S.l.], v. 70, p. 315-322, 2018a. DOI: </w:t>
      </w:r>
      <w:hyperlink r:id="rId26" w:history="1">
        <w:r>
          <w:rPr>
            <w:rStyle w:val="Hyperlink"/>
          </w:rPr>
          <w:t>10.1016/j.apergo.2018.02.025</w:t>
        </w:r>
      </w:hyperlink>
      <w:r>
        <w:t>.</w:t>
      </w:r>
    </w:p>
    <w:p w14:paraId="3A65F69B" w14:textId="77777777" w:rsidR="00FD1B34" w:rsidRDefault="003B1183">
      <w:r>
        <w:t xml:space="preserve">KIM, S. et al. Assessing the influence of a passive, upper extremity exoskeletal vest for tasks requiring arm elevation: part II — "unexpected" effects on shoulder motion, balance, and spine loading. </w:t>
      </w:r>
      <w:r>
        <w:rPr>
          <w:b/>
        </w:rPr>
        <w:t>Applied Ergonomics</w:t>
      </w:r>
      <w:r>
        <w:t xml:space="preserve">, [S.l.], v. 70, p. 323-330, 2018b. DOI: </w:t>
      </w:r>
      <w:hyperlink r:id="rId27" w:history="1">
        <w:r>
          <w:rPr>
            <w:rStyle w:val="Hyperlink"/>
          </w:rPr>
          <w:t>10.1016/j.apergo.2018.02.024</w:t>
        </w:r>
      </w:hyperlink>
      <w:r>
        <w:t>.</w:t>
      </w:r>
    </w:p>
    <w:p w14:paraId="74B26BD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MANOEL, A. V.; CAVALCANTE, D. F. B. Benefícios concedidos e gastos previdenciários por distúrbios osteomusculares relacionados ao trabalho, Brasil, 2008-2018. </w:t>
      </w:r>
      <w:r>
        <w:rPr>
          <w:b/>
          <w:lang w:val="pt-BR"/>
        </w:rPr>
        <w:t>Cadernos Saúde Coletiva</w:t>
      </w:r>
      <w:r>
        <w:rPr>
          <w:lang w:val="pt-BR"/>
        </w:rPr>
        <w:t xml:space="preserve">, Rio de Janeiro, v. 33, n. 4, 2025. DOI: </w:t>
      </w:r>
      <w:hyperlink r:id="rId28" w:history="1">
        <w:r>
          <w:rPr>
            <w:rStyle w:val="Hyperlink"/>
            <w:lang w:val="pt-BR"/>
          </w:rPr>
          <w:t>10.1590/1414-462x202533040384</w:t>
        </w:r>
      </w:hyperlink>
      <w:r>
        <w:rPr>
          <w:lang w:val="pt-BR"/>
        </w:rPr>
        <w:t>.</w:t>
      </w:r>
    </w:p>
    <w:p w14:paraId="7BE07856" w14:textId="77777777" w:rsidR="00FD1B34" w:rsidRDefault="003B1183">
      <w:r>
        <w:t xml:space="preserve">MASARATI, P.; MORANDINI, M.; MANTEGAZZA, P. An efficient formulation for general-purpose multibody/multiphysics analysis. </w:t>
      </w:r>
      <w:r>
        <w:rPr>
          <w:b/>
        </w:rPr>
        <w:t>Journal of Computational and Nonlinear Dynamics</w:t>
      </w:r>
      <w:r>
        <w:t xml:space="preserve">, [S.l.], v. 9, n. 4, art. 041001, 2014. DOI: </w:t>
      </w:r>
      <w:hyperlink r:id="rId29" w:history="1">
        <w:r>
          <w:rPr>
            <w:rStyle w:val="Hyperlink"/>
          </w:rPr>
          <w:t>10.1115/1.4025628</w:t>
        </w:r>
      </w:hyperlink>
      <w:r>
        <w:t>.</w:t>
      </w:r>
    </w:p>
    <w:p w14:paraId="6D757C0B" w14:textId="77777777" w:rsidR="00FD1B34" w:rsidRDefault="003B1183">
      <w:r>
        <w:t xml:space="preserve">MOELLER, T. et al. Effects of upper-limb exoskeletons designed for use in the working environment: a literature review. </w:t>
      </w:r>
      <w:r>
        <w:rPr>
          <w:b/>
        </w:rPr>
        <w:t>Frontiers in Robotics and AI</w:t>
      </w:r>
      <w:r>
        <w:t xml:space="preserve">, [S.l.], v. 9, art. 858893, 2022. DOI: </w:t>
      </w:r>
      <w:hyperlink r:id="rId30" w:history="1">
        <w:r>
          <w:rPr>
            <w:rStyle w:val="Hyperlink"/>
          </w:rPr>
          <w:t>10.3389/frobt.2022.858893</w:t>
        </w:r>
      </w:hyperlink>
      <w:r>
        <w:t>.</w:t>
      </w:r>
    </w:p>
    <w:p w14:paraId="4F249520" w14:textId="77777777" w:rsidR="00FD1B34" w:rsidRDefault="003B1183">
      <w:r>
        <w:t xml:space="preserve">MUSSO, M.; OLIVEIRA, A. S.; BAI, S. Modeling of a non-rigid passive exoskeleton: mathematical description and musculoskeletal simulations. </w:t>
      </w:r>
      <w:r>
        <w:rPr>
          <w:b/>
        </w:rPr>
        <w:t>Robotics</w:t>
      </w:r>
      <w:r>
        <w:t xml:space="preserve">, [S.l.], v. 11, n. 6, art. 147, 2022. DOI: </w:t>
      </w:r>
      <w:hyperlink r:id="rId31" w:history="1">
        <w:r>
          <w:rPr>
            <w:rStyle w:val="Hyperlink"/>
          </w:rPr>
          <w:t>10.3390/robotics11060147</w:t>
        </w:r>
      </w:hyperlink>
      <w:r>
        <w:t>.</w:t>
      </w:r>
    </w:p>
    <w:p w14:paraId="4979D274" w14:textId="77777777" w:rsidR="00FD1B34" w:rsidRDefault="003B1183">
      <w:r>
        <w:t xml:space="preserve">NÄF, M. B. et al. Misalignment compensation for full human-exoskeleton kinematic compatibility: state of the art and evaluation. </w:t>
      </w:r>
      <w:r>
        <w:rPr>
          <w:b/>
        </w:rPr>
        <w:t>Applied Mechanics Reviews</w:t>
      </w:r>
      <w:r>
        <w:t xml:space="preserve">, [S.l.], v. 70, n. 5, art. 050802, 2018. DOI: </w:t>
      </w:r>
      <w:hyperlink r:id="rId32" w:history="1">
        <w:r>
          <w:rPr>
            <w:rStyle w:val="Hyperlink"/>
          </w:rPr>
          <w:t>10.1115/1.4042523</w:t>
        </w:r>
      </w:hyperlink>
      <w:r>
        <w:t>.</w:t>
      </w:r>
    </w:p>
    <w:p w14:paraId="618B8035" w14:textId="77777777" w:rsidR="00FD1B34" w:rsidRDefault="003B1183">
      <w:r>
        <w:t xml:space="preserve">NASR, A.; BELL, S.; McPHEE, J. Optimal design of active-passive shoulder exoskeletons: a computational modeling of human-robot interaction. </w:t>
      </w:r>
      <w:r>
        <w:rPr>
          <w:b/>
        </w:rPr>
        <w:t>Multibody System Dynamics</w:t>
      </w:r>
      <w:r>
        <w:t xml:space="preserve">, [S.l.], v. 57, p. 73-106, 2023. DOI: </w:t>
      </w:r>
      <w:hyperlink r:id="rId33" w:history="1">
        <w:r>
          <w:rPr>
            <w:rStyle w:val="Hyperlink"/>
          </w:rPr>
          <w:t>10.1007/s11044-022-09855-8</w:t>
        </w:r>
      </w:hyperlink>
      <w:r>
        <w:t>.</w:t>
      </w:r>
    </w:p>
    <w:p w14:paraId="3FC269D0" w14:textId="77777777" w:rsidR="00FD1B34" w:rsidRDefault="003B1183">
      <w:r>
        <w:t xml:space="preserve">NASR, A.; FERGUSON, S.; McPHEE, J. Model-based design and optimization of passive shoulder exoskeletons. </w:t>
      </w:r>
      <w:r>
        <w:rPr>
          <w:b/>
        </w:rPr>
        <w:t>Journal of Computational and Nonlinear Dynamics</w:t>
      </w:r>
      <w:r>
        <w:t xml:space="preserve">, [S.l.], v. 17, n. 5, art. 051004, 2022. DOI: </w:t>
      </w:r>
      <w:hyperlink r:id="rId34" w:history="1">
        <w:r>
          <w:rPr>
            <w:rStyle w:val="Hyperlink"/>
          </w:rPr>
          <w:t>10.1115/1.4053405</w:t>
        </w:r>
      </w:hyperlink>
      <w:r>
        <w:t>.</w:t>
      </w:r>
    </w:p>
    <w:p w14:paraId="2062345F" w14:textId="77777777" w:rsidR="00FD1B34" w:rsidRDefault="003B1183">
      <w:r>
        <w:t xml:space="preserve">NGUYEN, V. L. Passive gravity compensation in mechanisms and robots: methods, advances, and challenges. </w:t>
      </w:r>
      <w:r>
        <w:rPr>
          <w:b/>
        </w:rPr>
        <w:t>Mechanism and Machine Theory</w:t>
      </w:r>
      <w:r>
        <w:t xml:space="preserve">, [S.l.], v. 220, art. 106345, 2026. DOI: </w:t>
      </w:r>
      <w:hyperlink r:id="rId35" w:history="1">
        <w:r>
          <w:rPr>
            <w:rStyle w:val="Hyperlink"/>
          </w:rPr>
          <w:t>10.1016/j.mechmachtheory.2025.106345</w:t>
        </w:r>
      </w:hyperlink>
      <w:r>
        <w:t>.</w:t>
      </w:r>
    </w:p>
    <w:p w14:paraId="727FD1E3" w14:textId="77777777" w:rsidR="00FD1B34" w:rsidRDefault="003B1183">
      <w:r>
        <w:t xml:space="preserve">NING, Y. et al. Design and analysis of upper limb passive exoskeleton robot for lift assist. </w:t>
      </w:r>
      <w:r>
        <w:rPr>
          <w:b/>
        </w:rPr>
        <w:t>Journal of Physics: Conference Series</w:t>
      </w:r>
      <w:r>
        <w:t xml:space="preserve">, [S.l.], v. 2410, art. 012020, 2022. DOI: </w:t>
      </w:r>
      <w:hyperlink r:id="rId36" w:history="1">
        <w:r>
          <w:rPr>
            <w:rStyle w:val="Hyperlink"/>
          </w:rPr>
          <w:t>10.1088/1742-6596/2410/1/012020</w:t>
        </w:r>
      </w:hyperlink>
      <w:r>
        <w:t>.</w:t>
      </w:r>
    </w:p>
    <w:p w14:paraId="2CA3E634" w14:textId="77777777" w:rsidR="00FD1B34" w:rsidRDefault="003B1183">
      <w:r>
        <w:lastRenderedPageBreak/>
        <w:t xml:space="preserve">NING, Y. et al. Structure design and analysis of upper limb wearable passive power-assisted exoskeleton robot. </w:t>
      </w:r>
      <w:r>
        <w:rPr>
          <w:b/>
        </w:rPr>
        <w:t>Journal of Physics: Conference Series</w:t>
      </w:r>
      <w:r>
        <w:t xml:space="preserve">, [S.l.], v. 2489, art. 012008, 2023. DOI: </w:t>
      </w:r>
      <w:hyperlink r:id="rId37" w:history="1">
        <w:r>
          <w:rPr>
            <w:rStyle w:val="Hyperlink"/>
          </w:rPr>
          <w:t>10.1088/1742-6596/2489/1/012008</w:t>
        </w:r>
      </w:hyperlink>
      <w:r>
        <w:t>.</w:t>
      </w:r>
    </w:p>
    <w:p w14:paraId="26C332BB" w14:textId="77777777" w:rsidR="00FD1B34" w:rsidRDefault="003B1183">
      <w:r>
        <w:t xml:space="preserve">OBUKHOV, A. et al. Development of a system for recognising and classifying motor activity to control an upper-limb exoskeleton. </w:t>
      </w:r>
      <w:r>
        <w:rPr>
          <w:b/>
        </w:rPr>
        <w:t>Applied System Innovation</w:t>
      </w:r>
      <w:r>
        <w:t xml:space="preserve">, [S.l.], v. 8, n. 4, art. 114, 2025. DOI: </w:t>
      </w:r>
      <w:hyperlink r:id="rId38" w:history="1">
        <w:r>
          <w:rPr>
            <w:rStyle w:val="Hyperlink"/>
          </w:rPr>
          <w:t>10.3390/asi8040114</w:t>
        </w:r>
      </w:hyperlink>
      <w:r>
        <w:t>.</w:t>
      </w:r>
    </w:p>
    <w:p w14:paraId="297E019B" w14:textId="77777777" w:rsidR="00FD1B34" w:rsidRPr="00955B75" w:rsidRDefault="003B1183">
      <w:pPr>
        <w:rPr>
          <w:lang w:val="pt-BR"/>
        </w:rPr>
      </w:pPr>
      <w:r>
        <w:t xml:space="preserve">OTTOBOCK SE &amp; CO. KGAA. Oliver Mizera et al. </w:t>
      </w:r>
      <w:r>
        <w:rPr>
          <w:b/>
        </w:rPr>
        <w:t xml:space="preserve">Vorrichtung zum Unterstützen wenigstens eines Armes eines Benutzers</w:t>
      </w:r>
      <w:r>
        <w:t xml:space="preserve">. </w:t>
      </w:r>
      <w:r>
        <w:rPr>
          <w:lang w:val="pt-BR"/>
        </w:rPr>
        <w:t>EP 3 504 033 B1. Depósito: 6 jun. 2018. Concessão: 29 mar. 2023.</w:t>
      </w:r>
    </w:p>
    <w:p w14:paraId="621070B2" w14:textId="77777777" w:rsidR="00FD1B34" w:rsidRDefault="003B1183">
      <w:r>
        <w:rPr>
          <w:lang w:val="pt-BR"/>
        </w:rPr>
        <w:t xml:space="preserve">PALAZZI, E. et al. </w:t>
      </w:r>
      <w:r>
        <w:t xml:space="preserve">An affordable upper-limb exoskeleton concept for rehabilitation applications. </w:t>
      </w:r>
      <w:r>
        <w:rPr>
          <w:b/>
        </w:rPr>
        <w:t>Technologies</w:t>
      </w:r>
      <w:r>
        <w:t xml:space="preserve">, [S.l.], v. 10, n. 1, art. 22, 2022. DOI: </w:t>
      </w:r>
      <w:hyperlink r:id="rId39" w:history="1">
        <w:r>
          <w:rPr>
            <w:rStyle w:val="Hyperlink"/>
          </w:rPr>
          <w:t>10.3390/technologies10010022</w:t>
        </w:r>
      </w:hyperlink>
      <w:r>
        <w:t>.</w:t>
      </w:r>
    </w:p>
    <w:p w14:paraId="2BC05141" w14:textId="77777777" w:rsidR="00FD1B34" w:rsidRDefault="003B1183">
      <w:r>
        <w:t xml:space="preserve">PERRY, J. C.; ROSEN, J.; BURNS, S. Upper-limb powered exoskeleton design. </w:t>
      </w:r>
      <w:r>
        <w:rPr>
          <w:b/>
        </w:rPr>
        <w:t>IEEE/ASME Transactions on Mechatronics</w:t>
      </w:r>
      <w:r>
        <w:t xml:space="preserve">, [S.l.], v. 12, n. 4, p. 408-417, ago. 2007. DOI: </w:t>
      </w:r>
      <w:hyperlink r:id="rId40" w:history="1">
        <w:r>
          <w:rPr>
            <w:rStyle w:val="Hyperlink"/>
          </w:rPr>
          <w:t>10.1109/TMECH.2007.901934</w:t>
        </w:r>
      </w:hyperlink>
      <w:r>
        <w:t>.</w:t>
      </w:r>
    </w:p>
    <w:p w14:paraId="0BF9F65F" w14:textId="77777777" w:rsidR="00FD1B34" w:rsidRDefault="003B1183">
      <w:r>
        <w:t xml:space="preserve">RAHMAN, M. H. et al. Development of a whole arm wearable robotic exoskeleton for rehabilitation and to assist upper limb movements. </w:t>
      </w:r>
      <w:r>
        <w:rPr>
          <w:b/>
        </w:rPr>
        <w:t>Robotica</w:t>
      </w:r>
      <w:r>
        <w:t xml:space="preserve">, [S.l.], v. 33, n. 1, p. 19-39, 2015. DOI: </w:t>
      </w:r>
      <w:hyperlink r:id="rId41" w:history="1">
        <w:r>
          <w:rPr>
            <w:rStyle w:val="Hyperlink"/>
          </w:rPr>
          <w:t>10.1017/S0263574714000034</w:t>
        </w:r>
      </w:hyperlink>
      <w:r>
        <w:t>.</w:t>
      </w:r>
    </w:p>
    <w:p w14:paraId="0F6D4021" w14:textId="77777777" w:rsidR="00FD1B34" w:rsidRDefault="003B1183">
      <w:r>
        <w:t xml:space="preserve">REYES, F. A. et al. Shoulder-support exoskeletons for overhead work: current state, challenges and future directions. </w:t>
      </w:r>
      <w:r>
        <w:rPr>
          <w:b/>
        </w:rPr>
        <w:t>IEEE Transactions on Medical Robotics and Bionics</w:t>
      </w:r>
      <w:r>
        <w:t xml:space="preserve">, [S.l.], v. 5, n. 3, p. 516-527, ago. 2023. DOI: </w:t>
      </w:r>
      <w:hyperlink r:id="rId42" w:history="1">
        <w:r>
          <w:rPr>
            <w:rStyle w:val="Hyperlink"/>
          </w:rPr>
          <w:t>10.1109/TMRB.2023.3275761</w:t>
        </w:r>
      </w:hyperlink>
      <w:r>
        <w:t>.</w:t>
      </w:r>
    </w:p>
    <w:p w14:paraId="6D41EC81" w14:textId="77777777" w:rsidR="00FD1B34" w:rsidRDefault="003B1183">
      <w:r>
        <w:t xml:space="preserve">SEIDLER, A. et al. Dose-response relationship between physical workload and specific shoulder diseases: a systematic review with meta-analysis. </w:t>
      </w:r>
      <w:r>
        <w:rPr>
          <w:b/>
        </w:rPr>
        <w:t>International Journal of Environmental Research and Public Health</w:t>
      </w:r>
      <w:r>
        <w:t xml:space="preserve">, [S.l.], v. 17, n. 4, art. 1243, 2020. DOI: </w:t>
      </w:r>
      <w:hyperlink r:id="rId43" w:history="1">
        <w:r>
          <w:rPr>
            <w:rStyle w:val="Hyperlink"/>
          </w:rPr>
          <w:t>10.3390/ijerph17041243</w:t>
        </w:r>
      </w:hyperlink>
      <w:r>
        <w:t>.</w:t>
      </w:r>
    </w:p>
    <w:p w14:paraId="151B0BC0" w14:textId="77777777" w:rsidR="00FD1B34" w:rsidRDefault="003B1183">
      <w:r>
        <w:t xml:space="preserve">SHEN, Y.; FERGUSON, P. W.; ROSEN, J. Upper limb exoskeleton systems: overview. In: ROSEN, J.; FERGUSON, P. W. (ed.). </w:t>
      </w:r>
      <w:r>
        <w:rPr>
          <w:b/>
        </w:rPr>
        <w:t>Wearable robotics</w:t>
      </w:r>
      <w:r>
        <w:t xml:space="preserve">: systems and applications. [S.l.]: Academic Press, 2020. p. 1-22. DOI: </w:t>
      </w:r>
      <w:hyperlink r:id="rId44" w:history="1">
        <w:r>
          <w:rPr>
            <w:rStyle w:val="Hyperlink"/>
          </w:rPr>
          <w:t>10.1016/B978-0-12-814659-0.00001-1</w:t>
        </w:r>
      </w:hyperlink>
      <w:r>
        <w:t>.</w:t>
      </w:r>
    </w:p>
    <w:p w14:paraId="499E7408" w14:textId="77777777" w:rsidR="00FD1B34" w:rsidRDefault="003B1183">
      <w:r>
        <w:t xml:space="preserve">SPADA, S. et al. Investigation into the applicability of a passive upper-limb exoskeleton in automotive industry. </w:t>
      </w:r>
      <w:r>
        <w:rPr>
          <w:b/>
        </w:rPr>
        <w:t>Procedia Manufacturing</w:t>
      </w:r>
      <w:r>
        <w:t xml:space="preserve">, [S.l.], v. 11, p. 1255-1262, 2017. DOI: </w:t>
      </w:r>
      <w:hyperlink r:id="rId45" w:history="1">
        <w:r>
          <w:rPr>
            <w:rStyle w:val="Hyperlink"/>
          </w:rPr>
          <w:t>10.1016/j.promfg.2017.07.252</w:t>
        </w:r>
      </w:hyperlink>
      <w:r>
        <w:t>.</w:t>
      </w:r>
    </w:p>
    <w:p w14:paraId="5ED621FC" w14:textId="77777777" w:rsidR="00FD1B34" w:rsidRDefault="003B1183">
      <w:r>
        <w:t xml:space="preserve">VAN DER MOLEN, H. F. et al. Work-related risk factors for specific shoulder disorders: a systematic review and meta-analysis. </w:t>
      </w:r>
      <w:r>
        <w:rPr>
          <w:b/>
        </w:rPr>
        <w:t>Occupational and Environmental Medicine</w:t>
      </w:r>
      <w:r>
        <w:t xml:space="preserve">, [S.l.], v. 74, n. 10, p. 745-755, 2017. DOI: </w:t>
      </w:r>
      <w:hyperlink r:id="rId46" w:history="1">
        <w:r>
          <w:rPr>
            <w:rStyle w:val="Hyperlink"/>
          </w:rPr>
          <w:t>10.1136/oemed-2017-104339</w:t>
        </w:r>
      </w:hyperlink>
      <w:r>
        <w:t>.</w:t>
      </w:r>
    </w:p>
    <w:p w14:paraId="57E29A89" w14:textId="77777777" w:rsidR="00FD1B34" w:rsidRPr="00955B75" w:rsidRDefault="003B1183">
      <w:pPr>
        <w:rPr>
          <w:lang w:val="pt-BR"/>
        </w:rPr>
      </w:pPr>
      <w:r>
        <w:t xml:space="preserve">VAN ENGELHOVEN, L.; KAZEROONI, H. </w:t>
      </w:r>
      <w:r>
        <w:rPr>
          <w:b/>
        </w:rPr>
        <w:t>Apparatus for human arm supporting exoskeleton</w:t>
      </w:r>
      <w:r>
        <w:t xml:space="preserve">. Depositante e titular: The Regents of the University of California. </w:t>
      </w:r>
      <w:r>
        <w:rPr>
          <w:lang w:val="pt-BR"/>
        </w:rPr>
        <w:t>US 9,889,554 B2. Depósito: 18 maio 2016. Concessão: 13 fev. 2018.</w:t>
      </w:r>
    </w:p>
    <w:p w14:paraId="2B4F5961" w14:textId="77777777" w:rsidR="00FD1B34" w:rsidRDefault="003B1183">
      <w:r>
        <w:rPr>
          <w:lang w:val="pt-BR"/>
        </w:rPr>
        <w:t xml:space="preserve">WANG, Y. et al. </w:t>
      </w:r>
      <w:r>
        <w:t xml:space="preserve">Extracting human-exoskeleton interaction torque for cable-driven upper-limb exoskeleton equipped with torque sensors. </w:t>
      </w:r>
      <w:r>
        <w:rPr>
          <w:b/>
        </w:rPr>
        <w:t>IEEE/ASME Transactions on Mechatronics</w:t>
      </w:r>
      <w:r>
        <w:t xml:space="preserve">, [S.l.], v. 27, n. 6, p. 4269-4280, dez. 2022. DOI: </w:t>
      </w:r>
      <w:hyperlink r:id="rId47" w:history="1">
        <w:r>
          <w:rPr>
            <w:rStyle w:val="Hyperlink"/>
          </w:rPr>
          <w:t>10.1109/TMECH.2022.3154087</w:t>
        </w:r>
      </w:hyperlink>
      <w:r>
        <w:t>.</w:t>
      </w:r>
    </w:p>
    <w:p w14:paraId="1E24AF63" w14:textId="77777777" w:rsidR="00FD1B34" w:rsidRDefault="003B1183">
      <w:r>
        <w:t xml:space="preserve">WU, Q.; WANG, X.; DU, F. Development and analysis of a gravity-balanced exoskeleton for active rehabilitation training of upper limb. </w:t>
      </w:r>
      <w:r>
        <w:rPr>
          <w:b/>
        </w:rPr>
        <w:t xml:space="preserve">Proceedings of the Institution of Mechanical Engineers, Part C: </w:t>
        <w:lastRenderedPageBreak/>
        <w:t>Journal of Mechanical Engineering Science</w:t>
      </w:r>
      <w:r>
        <w:t xml:space="preserve">, [S.l.], v. 230, n. 20, p. 3777-3790, 2016. DOI: </w:t>
      </w:r>
      <w:hyperlink r:id="rId48" w:history="1">
        <w:r>
          <w:rPr>
            <w:rStyle w:val="Hyperlink"/>
          </w:rPr>
          <w:t>10.1177/0954406215616415</w:t>
        </w:r>
      </w:hyperlink>
      <w:r>
        <w:t>.</w:t>
      </w:r>
    </w:p>
    <w:p w14:paraId="006937F2" w14:textId="77777777" w:rsidR="00FD1B34" w:rsidRPr="00930288" w:rsidRDefault="003B1183">
      <w:pPr>
        <w:rPr>
          <w:lang w:val="en-ZA"/>
        </w:rPr>
      </w:pPr>
      <w:r>
        <w:t xml:space="preserve">YOON, J. et al. Minimizing misalignment and frame protrusion of shoulder exoskeleton via optimization for reducing interaction force and minimizing volume. </w:t>
      </w:r>
      <w:r>
        <w:rPr>
          <w:b/>
          <w:lang w:val="en-ZA"/>
        </w:rPr>
        <w:t>Machines</w:t>
      </w:r>
      <w:r>
        <w:rPr>
          <w:lang w:val="en-ZA"/>
        </w:rPr>
        <w:t xml:space="preserve">, [S.l.], v. 10, n. 12, art. 1223, 2022. DOI: </w:t>
      </w:r>
      <w:hyperlink r:id="rId49" w:history="1">
        <w:r>
          <w:rPr>
            <w:rStyle w:val="Hyperlink"/>
            <w:lang w:val="en-ZA"/>
          </w:rPr>
          <w:t>10.3390/machines10121223</w:t>
        </w:r>
      </w:hyperlink>
      <w:r>
        <w:rPr>
          <w:lang w:val="en-ZA"/>
        </w:rPr>
        <w:t>.</w:t>
      </w:r>
    </w:p>
    <w:sectPr w:rsidR="00FD1B34" w:rsidRPr="009302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67117"/>
    <w:multiLevelType w:val="hybridMultilevel"/>
    <w:tmpl w:val="A9F2571A"/>
    <w:lvl w:ilvl="0" w:tplc="F4FCF87E">
      <w:start w:val="1"/>
      <w:numFmt w:val="decimal"/>
      <w:lvlText w:val="%1."/>
      <w:lvlJc w:val="left"/>
      <w:pPr>
        <w:ind w:left="720" w:hanging="360"/>
      </w:pPr>
    </w:lvl>
    <w:lvl w:ilvl="1" w:tplc="92CE9316">
      <w:start w:val="1"/>
      <w:numFmt w:val="lowerLetter"/>
      <w:lvlText w:val="%2."/>
      <w:lvlJc w:val="left"/>
      <w:pPr>
        <w:ind w:left="1440" w:hanging="360"/>
      </w:pPr>
    </w:lvl>
    <w:lvl w:ilvl="2" w:tplc="46CED9CE">
      <w:start w:val="1"/>
      <w:numFmt w:val="lowerRoman"/>
      <w:lvlText w:val="%3."/>
      <w:lvlJc w:val="left"/>
      <w:pPr>
        <w:ind w:left="2160" w:hanging="360"/>
      </w:pPr>
    </w:lvl>
    <w:lvl w:ilvl="3" w:tplc="345864B2">
      <w:start w:val="1"/>
      <w:numFmt w:val="decimal"/>
      <w:lvlText w:val="%4."/>
      <w:lvlJc w:val="left"/>
      <w:pPr>
        <w:ind w:left="2880" w:hanging="360"/>
      </w:pPr>
    </w:lvl>
    <w:lvl w:ilvl="4" w:tplc="84344F6C">
      <w:start w:val="1"/>
      <w:numFmt w:val="lowerLetter"/>
      <w:lvlText w:val="%5."/>
      <w:lvlJc w:val="left"/>
      <w:pPr>
        <w:ind w:left="3600" w:hanging="360"/>
      </w:pPr>
    </w:lvl>
    <w:lvl w:ilvl="5" w:tplc="4948A154">
      <w:start w:val="1"/>
      <w:numFmt w:val="lowerRoman"/>
      <w:lvlText w:val="%6."/>
      <w:lvlJc w:val="left"/>
      <w:pPr>
        <w:ind w:left="4320" w:hanging="360"/>
      </w:pPr>
    </w:lvl>
    <w:lvl w:ilvl="6" w:tplc="BC5A7438">
      <w:start w:val="1"/>
      <w:numFmt w:val="decimal"/>
      <w:lvlText w:val="%7."/>
      <w:lvlJc w:val="left"/>
      <w:pPr>
        <w:ind w:left="5040" w:hanging="360"/>
      </w:pPr>
    </w:lvl>
    <w:lvl w:ilvl="7" w:tplc="EEB41DC0">
      <w:start w:val="1"/>
      <w:numFmt w:val="lowerLetter"/>
      <w:lvlText w:val="%8."/>
      <w:lvlJc w:val="left"/>
      <w:pPr>
        <w:ind w:left="5760" w:hanging="360"/>
      </w:pPr>
    </w:lvl>
    <w:lvl w:ilvl="8" w:tplc="C2F264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F7B7723"/>
    <w:multiLevelType w:val="hybridMultilevel"/>
    <w:tmpl w:val="440CDFDC"/>
    <w:lvl w:ilvl="0" w:tplc="8D4C44DA">
      <w:start w:val="1"/>
      <w:numFmt w:val="bullet"/>
      <w:lvlText w:val="•"/>
      <w:lvlJc w:val="left"/>
      <w:pPr>
        <w:ind w:left="720" w:hanging="360"/>
      </w:pPr>
    </w:lvl>
    <w:lvl w:ilvl="1" w:tplc="DD68973A">
      <w:start w:val="1"/>
      <w:numFmt w:val="bullet"/>
      <w:lvlText w:val="o"/>
      <w:lvlJc w:val="left"/>
      <w:pPr>
        <w:ind w:left="1440" w:hanging="360"/>
      </w:pPr>
    </w:lvl>
    <w:lvl w:ilvl="2" w:tplc="04D4B0EA">
      <w:start w:val="1"/>
      <w:numFmt w:val="bullet"/>
      <w:lvlText w:val="▪"/>
      <w:lvlJc w:val="left"/>
      <w:pPr>
        <w:ind w:left="2160" w:hanging="360"/>
      </w:pPr>
    </w:lvl>
    <w:lvl w:ilvl="3" w:tplc="B8CE2588">
      <w:start w:val="1"/>
      <w:numFmt w:val="bullet"/>
      <w:lvlText w:val="•"/>
      <w:lvlJc w:val="left"/>
      <w:pPr>
        <w:ind w:left="2880" w:hanging="360"/>
      </w:pPr>
    </w:lvl>
    <w:lvl w:ilvl="4" w:tplc="3CC600A8">
      <w:start w:val="1"/>
      <w:numFmt w:val="bullet"/>
      <w:lvlText w:val="o"/>
      <w:lvlJc w:val="left"/>
      <w:pPr>
        <w:ind w:left="3600" w:hanging="360"/>
      </w:pPr>
    </w:lvl>
    <w:lvl w:ilvl="5" w:tplc="740C54F0">
      <w:start w:val="1"/>
      <w:numFmt w:val="bullet"/>
      <w:lvlText w:val="▪"/>
      <w:lvlJc w:val="left"/>
      <w:pPr>
        <w:ind w:left="4320" w:hanging="360"/>
      </w:pPr>
    </w:lvl>
    <w:lvl w:ilvl="6" w:tplc="F7482688">
      <w:start w:val="1"/>
      <w:numFmt w:val="bullet"/>
      <w:lvlText w:val="•"/>
      <w:lvlJc w:val="left"/>
      <w:pPr>
        <w:ind w:left="5040" w:hanging="360"/>
      </w:pPr>
    </w:lvl>
    <w:lvl w:ilvl="7" w:tplc="A93621D6">
      <w:start w:val="1"/>
      <w:numFmt w:val="bullet"/>
      <w:lvlText w:val="o"/>
      <w:lvlJc w:val="left"/>
      <w:pPr>
        <w:ind w:left="5760" w:hanging="360"/>
      </w:pPr>
    </w:lvl>
    <w:lvl w:ilvl="8" w:tplc="4F6AFEE6">
      <w:start w:val="1"/>
      <w:numFmt w:val="bullet"/>
      <w:lvlText w:val="▪"/>
      <w:lvlJc w:val="left"/>
      <w:pPr>
        <w:ind w:left="6480" w:hanging="360"/>
      </w:pPr>
    </w:lvl>
  </w:abstractNum>
  <w:num w:numId="1" w16cid:durableId="444926496">
    <w:abstractNumId w:val="1"/>
  </w:num>
  <w:num w:numId="2" w16cid:durableId="951591884">
    <w:abstractNumId w:val="0"/>
    <w:lvlOverride w:ilvl="0">
      <w:startOverride w:val="1"/>
    </w:lvlOverride>
  </w:num>
  <w:num w:numId="3" w16cid:durableId="19956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34"/>
    <w:rsid w:val="000A7051"/>
    <w:rsid w:val="00151E3D"/>
    <w:rsid w:val="00244E34"/>
    <w:rsid w:val="00362CE5"/>
    <w:rsid w:val="003B1183"/>
    <w:rsid w:val="003B4AE4"/>
    <w:rsid w:val="00484427"/>
    <w:rsid w:val="004F5828"/>
    <w:rsid w:val="00736385"/>
    <w:rsid w:val="009025B3"/>
    <w:rsid w:val="00930288"/>
    <w:rsid w:val="00952A81"/>
    <w:rsid w:val="00955B75"/>
    <w:rsid w:val="009C1161"/>
    <w:rsid w:val="00A029F4"/>
    <w:rsid w:val="00B45904"/>
    <w:rsid w:val="00BB4859"/>
    <w:rsid w:val="00BC4DC9"/>
    <w:rsid w:val="00BE1C36"/>
    <w:rsid w:val="00BE2F11"/>
    <w:rsid w:val="00BF7A18"/>
    <w:rsid w:val="00C62A36"/>
    <w:rsid w:val="00D93382"/>
    <w:rsid w:val="00E2321D"/>
    <w:rsid w:val="00F132A8"/>
    <w:rsid w:val="00F20F9E"/>
    <w:rsid w:val="00FB2031"/>
    <w:rsid w:val="00FD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DF63"/>
  <w15:docId w15:val="{7865051B-8316-4F30-A9DB-292F6438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F11"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55B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1016/j.apergo.2021.103385" TargetMode="External"/><Relationship Id="rId18" Type="http://schemas.openxmlformats.org/officeDocument/2006/relationships/hyperlink" Target="https://doi.org/10.1016/j.robot.2025.105232" TargetMode="External"/><Relationship Id="rId26" Type="http://schemas.openxmlformats.org/officeDocument/2006/relationships/hyperlink" Target="https://doi.org/10.1016/j.apergo.2018.02.025" TargetMode="External"/><Relationship Id="rId39" Type="http://schemas.openxmlformats.org/officeDocument/2006/relationships/hyperlink" Target="https://doi.org/10.3390/technologies10010022" TargetMode="External"/><Relationship Id="rId21" Type="http://schemas.openxmlformats.org/officeDocument/2006/relationships/hyperlink" Target="https://doi.org/10.1109/LRA.2022.3188402" TargetMode="External"/><Relationship Id="rId34" Type="http://schemas.openxmlformats.org/officeDocument/2006/relationships/hyperlink" Target="https://doi.org/10.1115/1.4053405" TargetMode="External"/><Relationship Id="rId42" Type="http://schemas.openxmlformats.org/officeDocument/2006/relationships/hyperlink" Target="https://doi.org/10.1109/TMRB.2023.3275761" TargetMode="External"/><Relationship Id="rId47" Type="http://schemas.openxmlformats.org/officeDocument/2006/relationships/hyperlink" Target="https://doi.org/10.1109/TMECH.2022.3154087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oi.org/10.1016/0021-9290%2895%2900178-6" TargetMode="External"/><Relationship Id="rId29" Type="http://schemas.openxmlformats.org/officeDocument/2006/relationships/hyperlink" Target="https://doi.org/10.1115/1.4025628" TargetMode="External"/><Relationship Id="rId11" Type="http://schemas.openxmlformats.org/officeDocument/2006/relationships/hyperlink" Target="https://doi.org/10.1080/01691864.2015.1090334" TargetMode="External"/><Relationship Id="rId24" Type="http://schemas.openxmlformats.org/officeDocument/2006/relationships/hyperlink" Target="https://doi.org/10.1109/MCSE.2007.55" TargetMode="External"/><Relationship Id="rId32" Type="http://schemas.openxmlformats.org/officeDocument/2006/relationships/hyperlink" Target="https://doi.org/10.1115/1.4042523" TargetMode="External"/><Relationship Id="rId37" Type="http://schemas.openxmlformats.org/officeDocument/2006/relationships/hyperlink" Target="https://doi.org/10.1088/1742-6596/2489/1/012008" TargetMode="External"/><Relationship Id="rId40" Type="http://schemas.openxmlformats.org/officeDocument/2006/relationships/hyperlink" Target="https://doi.org/10.1109/TMECH.2007.901934" TargetMode="External"/><Relationship Id="rId45" Type="http://schemas.openxmlformats.org/officeDocument/2006/relationships/hyperlink" Target="https://doi.org/10.1016/j.promfg.2017.07.25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1109/SSD.2016.7473769" TargetMode="External"/><Relationship Id="rId23" Type="http://schemas.openxmlformats.org/officeDocument/2006/relationships/hyperlink" Target="https://doi.org/10.1038/s41586-020-2649-2" TargetMode="External"/><Relationship Id="rId28" Type="http://schemas.openxmlformats.org/officeDocument/2006/relationships/hyperlink" Target="https://doi.org/10.1590/1414-462x202533040384" TargetMode="External"/><Relationship Id="rId36" Type="http://schemas.openxmlformats.org/officeDocument/2006/relationships/hyperlink" Target="https://doi.org/10.1088/1742-6596/2410/1/012020" TargetMode="External"/><Relationship Id="rId49" Type="http://schemas.openxmlformats.org/officeDocument/2006/relationships/hyperlink" Target="https://doi.org/10.3390/machines10121223" TargetMode="External"/><Relationship Id="rId10" Type="http://schemas.openxmlformats.org/officeDocument/2006/relationships/hyperlink" Target="https://agenciabrasil.ebc.com.br/saude/noticia/2026-01/doencas-afastaram-41-milhoes-de-trabalhadores-de-suas-funcoes-em-2025" TargetMode="External"/><Relationship Id="rId19" Type="http://schemas.openxmlformats.org/officeDocument/2006/relationships/hyperlink" Target="https://doi.org/10.1109/ICORR.2009.5209630" TargetMode="External"/><Relationship Id="rId31" Type="http://schemas.openxmlformats.org/officeDocument/2006/relationships/hyperlink" Target="https://doi.org/10.3390/robotics11060147" TargetMode="External"/><Relationship Id="rId44" Type="http://schemas.openxmlformats.org/officeDocument/2006/relationships/hyperlink" Target="https://doi.org/10.1016/B978-0-12-814659-0.00001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i.org/10.1109/ICORR.2015.7281174" TargetMode="External"/><Relationship Id="rId22" Type="http://schemas.openxmlformats.org/officeDocument/2006/relationships/hyperlink" Target="https://doi.org/10.3390/robotics9010016" TargetMode="External"/><Relationship Id="rId27" Type="http://schemas.openxmlformats.org/officeDocument/2006/relationships/hyperlink" Target="https://doi.org/10.1016/j.apergo.2018.02.024" TargetMode="External"/><Relationship Id="rId30" Type="http://schemas.openxmlformats.org/officeDocument/2006/relationships/hyperlink" Target="https://doi.org/10.3389/frobt.2022.858893" TargetMode="External"/><Relationship Id="rId35" Type="http://schemas.openxmlformats.org/officeDocument/2006/relationships/hyperlink" Target="https://doi.org/10.1016/j.mechmachtheory.2025.106345" TargetMode="External"/><Relationship Id="rId43" Type="http://schemas.openxmlformats.org/officeDocument/2006/relationships/hyperlink" Target="https://doi.org/10.3390/ijerph17041243" TargetMode="External"/><Relationship Id="rId48" Type="http://schemas.openxmlformats.org/officeDocument/2006/relationships/hyperlink" Target="https://doi.org/10.1177/0954406215616415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i.org/10.1109/ICCES.2017.8275281" TargetMode="External"/><Relationship Id="rId17" Type="http://schemas.openxmlformats.org/officeDocument/2006/relationships/hyperlink" Target="https://doi.org/10.1080/00140139.2015.1081988" TargetMode="External"/><Relationship Id="rId25" Type="http://schemas.openxmlformats.org/officeDocument/2006/relationships/hyperlink" Target="https://doi.org/10.1109/TBME.2012.2194489" TargetMode="External"/><Relationship Id="rId33" Type="http://schemas.openxmlformats.org/officeDocument/2006/relationships/hyperlink" Target="https://doi.org/10.1007/s11044-022-09855-8" TargetMode="External"/><Relationship Id="rId38" Type="http://schemas.openxmlformats.org/officeDocument/2006/relationships/hyperlink" Target="https://doi.org/10.3390/asi8040114" TargetMode="External"/><Relationship Id="rId46" Type="http://schemas.openxmlformats.org/officeDocument/2006/relationships/hyperlink" Target="https://doi.org/10.1136/oemed-2017-104339" TargetMode="External"/><Relationship Id="rId20" Type="http://schemas.openxmlformats.org/officeDocument/2006/relationships/hyperlink" Target="https://doi.org/10.1109/TNSRE.2020.3014408" TargetMode="External"/><Relationship Id="rId41" Type="http://schemas.openxmlformats.org/officeDocument/2006/relationships/hyperlink" Target="https://doi.org/10.1017/S026357471400003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TccFig4" Target="media/tcc_fig4_efeito_h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13154</Words>
  <Characters>71034</Characters>
  <Application>Microsoft Office Word</Application>
  <DocSecurity>0</DocSecurity>
  <Lines>591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Modelagem e simulação de mecanismos passivos de apoio ao braço</vt:lpstr>
    </vt:vector>
  </TitlesOfParts>
  <Company/>
  <LinksUpToDate>false</LinksUpToDate>
  <CharactersWithSpaces>84020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e simulação de mecanismos passivos de apoio ao braço</dc:title>
  <dc:subject/>
  <dc:creator>Pedro Brito</dc:creator>
  <cp:keywords/>
  <dc:description/>
  <cp:lastModifiedBy>Pedro Brito</cp:lastModifiedBy>
  <cp:revision>2</cp:revision>
  <dcterms:created xsi:type="dcterms:W3CDTF">2026-10-14T13:45:00Z</dcterms:created>
  <dcterms:modified xsi:type="dcterms:W3CDTF">2026-10-14T13:45:00Z</dcterms:modified>
</cp:coreProperties>
</file>