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3B.13 aplicam à EP 3 504 033 B1 (OTTOBOCK, 2023)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3B.2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(39)</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3B.4 Equação de fechamento do circuito vetorial</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pStyle w:val="Ttulo2"/>
        <w:rPr>
          <w:lang w:val="pt-BR"/>
        </w:rPr>
      </w:pPr>
      <w:r>
        <w:rPr>
          <w:lang w:val="pt-BR"/>
        </w:rPr>
        <w:t xml:space="preserve">3B.5 Ponto de contato e troca de regime</w:t>
      </w:r>
    </w:p>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keepNext/>
        <w:spacing w:before="120" w:after="60"/>
        <w:rPr>
          <w:lang w:val="pt-BR"/>
        </w:rPr>
      </w:pPr>
      <w:r>
        <w:rPr>
          <w:b/>
          <w:lang w:val="pt-BR"/>
        </w:rPr>
        <w:t xml:space="preserve">Figura 2: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1"/>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|OP|.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OP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OP, p e x (OP tracejado); o elemento 78, na ponta de p, só entra depois do contato. As linhas pontilhadas indicam o eixo do braço.</w:t>
      </w:r>
    </w:p>
    <w:p>
      <w:pPr>
        <w:pStyle w:val="Ttulo2"/>
        <w:rPr>
          <w:lang w:val="pt-BR"/>
        </w:rPr>
      </w:pPr>
      <w:r>
        <w:rPr>
          <w:lang w:val="pt-BR"/>
        </w:rPr>
        <w:t xml:space="preserve">3B.6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3B.7 Faixa sem torque com o braço baixado</w:t>
      </w:r>
    </w:p>
    <w:p>
      <w:pPr>
        <w:rPr>
          <w:lang w:val="pt-BR"/>
        </w:rPr>
      </w:pPr>
      <w:r>
        <w:rPr>
          <w:lang w:val="pt-BR"/>
        </w:rPr>
        <w:t xml:space="preserve">Esta seção faz o papel da seção 3A.7: indica onde o modelo libera o braço. Pela Equação (41), m</w:t>
      </w:r>
      <w:r>
        <w:rPr>
          <w:vertAlign w:val="subscript"/>
          <w:lang w:val="pt-BR"/>
        </w:rPr>
        <w:t xml:space="preserve">II</w:t>
      </w:r>
      <w:r>
        <w:rPr>
          <w:lang w:val="pt-BR"/>
        </w:rPr>
        <w:t xml:space="preserve"> é proporcional a p</w:t>
      </w:r>
      <w:r>
        <w:rPr>
          <w:vertAlign w:val="subscript"/>
          <w:lang w:val="pt-BR"/>
        </w:rPr>
        <w:t xml:space="preserve">78</w:t>
      </w:r>
      <w:r>
        <w:rPr>
          <w:lang w:val="pt-BR"/>
        </w:rPr>
        <w:t xml:space="preserve">, de modo que, abaixo da transição, o torque só se anula se o elemento 78 estiver sobre o eixo. Com o elemento 78 sobre o eixo (p</w:t>
      </w:r>
      <w:r>
        <w:rPr>
          <w:vertAlign w:val="subscript"/>
          <w:lang w:val="pt-BR"/>
        </w:rPr>
        <w:t xml:space="preserve">78</w:t>
      </w:r>
      <w:r>
        <w:rPr>
          <w:lang w:val="pt-BR"/>
        </w:rPr>
        <w:t xml:space="preserve"> = 0), configuração preferida pela patente,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(43)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O conjunto reúne o membro humano e o braço do exoesqueleto (elemento 8), cujo centro de massa é referido ao eixo da articulação 20 pela posição desse eixo no modelo em CAD (seção 4B.1). Com o membro humano, alinhado ao eixo do braço, a</w:t>
      </w:r>
      <w:r>
        <w:rPr>
          <w:vertAlign w:val="subscript"/>
          <w:lang w:val="pt-BR"/>
        </w:rPr>
        <w:t xml:space="preserve">CG</w:t>
      </w:r>
      <w:r>
        <w:rPr>
          <w:lang w:val="pt-BR"/>
        </w:rPr>
        <w:t xml:space="preserve"> seria nulo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o braço do exoesqueleto desloca o centro de massa do conjunto em a</w:t>
      </w:r>
      <w:r>
        <w:rPr>
          <w:vertAlign w:val="subscript"/>
          <w:lang w:val="pt-BR"/>
        </w:rPr>
        <w:t xml:space="preserve">CG</w:t>
      </w:r>
      <w:r>
        <w:rPr>
          <w:lang w:val="pt-BR"/>
        </w:rPr>
        <w:t xml:space="preserve"> = 0,287°, e o máximo de τ</w:t>
      </w:r>
      <w:r>
        <w:rPr>
          <w:vertAlign w:val="subscript"/>
          <w:lang w:val="pt-BR"/>
        </w:rPr>
        <w:t xml:space="preserve">g</w:t>
      </w:r>
      <w:r>
        <w:rPr>
          <w:lang w:val="pt-BR"/>
        </w:rPr>
        <w:t xml:space="preserve">, 10,604 N·m, ocorre em θ</w:t>
      </w:r>
      <w:r>
        <w:rPr>
          <w:vertAlign w:val="subscript"/>
          <w:lang w:val="pt-BR"/>
        </w:rPr>
        <w:t xml:space="preserve">el</w:t>
      </w:r>
      <w:r>
        <w:rPr>
          <w:lang w:val="pt-BR"/>
        </w:rPr>
        <w:t xml:space="preserve"> = 89,7°.</w:t>
      </w:r>
    </w:p>
    <w:p>
      <w:pPr>
        <w:pStyle w:val="Ttulo2"/>
        <w:rPr>
          <w:lang w:val="pt-BR"/>
        </w:rPr>
      </w:pPr>
      <w:r>
        <w:rPr>
          <w:lang w:val="pt-BR"/>
        </w:rPr>
        <w:t xml:space="preserve">3B.9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4B.8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ℓ decresce com θ</w:t>
      </w:r>
      <w:r>
        <w:rPr>
          <w:vertAlign w:val="subscript"/>
          <w:lang w:val="pt-BR"/>
        </w:rPr>
        <w:t xml:space="preserve">el</w:t>
      </w:r>
      <w:r>
        <w:rPr>
          <w:lang w:val="pt-BR"/>
        </w:rPr>
        <w:t xml:space="preserve">, Equação (42),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3B.10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e objeto da Figura 17 da patente.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1,46670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2"/>
        <w:rPr>
          <w:lang w:val="pt-BR"/>
        </w:rPr>
      </w:pPr>
      <w:r>
        <w:rPr>
          <w:lang w:val="pt-BR"/>
        </w:rPr>
        <w:t xml:space="preserve">3B.12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(42),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(41);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0,436010 kg·m</w:t>
      </w:r>
      <w:r>
        <w:rPr>
          <w:vertAlign w:val="superscript"/>
          <w:lang w:val="pt-BR"/>
        </w:rPr>
        <w:t xml:space="preserve">2</w:t>
      </w:r>
      <w:r>
        <w:rPr>
          <w:lang w:val="pt-BR"/>
        </w:rP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o membro humano estendido, sem ferramenta na mão, e o braço do exoesqueleto; a alavanca, o elemento 78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3B.1 a 3B.11,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1,46670 N/mm, hipótese de projeto. As etapas dinâmicas da seção 3B.12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(43)</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3B.3).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as consequências dessa diferença são tratadas nas seções 3B.7 e 4B.9.</w:t>
      </w:r>
    </w:p>
    <w:p>
      <w:pPr>
        <w:keepNext/>
        <w:spacing w:before="120" w:after="60"/>
        <w:rPr>
          <w:lang w:val="pt-BR"/>
        </w:rPr>
      </w:pPr>
      <w:r>
        <w:rPr>
          <w:b/>
          <w:lang w:val="pt-BR"/>
        </w:rPr>
        <w:t xml:space="preserve">Tabela 15: Propriedades de massa do conjunto que gira com o braço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r>
        <w:trPr>
          <w:cantSplit/>
          <w:jc w:val="center"/>
        </w:trPr>
        <w:tc>
          <w:tcPr>
            <w:tcW w:w="1660" w:type="dxa"/>
            <w:vAlign w:val="center"/>
          </w:tcPr>
          <w:p>
            <w:pPr>
              <w:keepNext/>
              <w:spacing w:before="20" w:after="20" w:line="240" w:lineRule="auto"/>
              <w:rPr>
                <w:lang w:val="pt-BR"/>
              </w:rPr>
            </w:pPr>
            <w:r>
              <w:rPr>
                <w:lang w:val="pt-BR"/>
              </w:rPr>
              <w:t xml:space="preserve">Braço do exoesqueleto (elemento 8)</w:t>
            </w:r>
          </w:p>
        </w:tc>
        <w:tc>
          <w:tcPr>
            <w:tcW w:w="1300" w:type="dxa"/>
            <w:vAlign w:val="center"/>
          </w:tcPr>
          <w:p>
            <w:pPr>
              <w:keepNext/>
              <w:spacing w:before="20" w:after="20" w:line="240" w:lineRule="auto"/>
              <w:jc w:val="center"/>
              <w:rPr>
                <w:lang w:val="pt-BR"/>
              </w:rPr>
            </w:pPr>
            <w:r>
              <w:rPr>
                <w:lang w:val="pt-BR"/>
              </w:rPr>
              <w:t xml:space="preserve">0,1640</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47,362</w:t>
            </w:r>
          </w:p>
        </w:tc>
        <w:tc>
          <w:tcPr>
            <w:tcW w:w="1600" w:type="dxa"/>
            <w:vAlign w:val="center"/>
          </w:tcPr>
          <w:p>
            <w:pPr>
              <w:keepNext/>
              <w:spacing w:before="20" w:after="20" w:line="240" w:lineRule="auto"/>
              <w:jc w:val="center"/>
              <w:rPr>
                <w:lang w:val="pt-BR"/>
              </w:rPr>
            </w:pPr>
            <w:r>
              <w:rPr>
                <w:lang w:val="pt-BR"/>
              </w:rPr>
              <w:t xml:space="preserve">0,000966</w:t>
            </w:r>
          </w:p>
        </w:tc>
        <w:tc>
          <w:tcPr>
            <w:tcW w:w="1600" w:type="dxa"/>
            <w:vAlign w:val="center"/>
          </w:tcPr>
          <w:p>
            <w:pPr>
              <w:keepNext/>
              <w:spacing w:before="20" w:after="20" w:line="240" w:lineRule="auto"/>
              <w:jc w:val="center"/>
              <w:rPr>
                <w:lang w:val="pt-BR"/>
              </w:rPr>
            </w:pPr>
            <w:r>
              <w:rPr>
                <w:lang w:val="pt-BR"/>
              </w:rPr>
              <w:t xml:space="preserve">0,001334</w:t>
            </w:r>
          </w:p>
        </w:tc>
      </w:tr>
      <w:tr>
        <w:trPr>
          <w:cantSplit/>
          <w:jc w:val="center"/>
        </w:trPr>
        <w:tc>
          <w:tcPr>
            <w:tcW w:w="1660" w:type="dxa"/>
            <w:vAlign w:val="center"/>
          </w:tcPr>
          <w:p>
            <w:pPr>
              <w:keepNext/>
              <w:spacing w:before="20" w:after="20" w:line="240" w:lineRule="auto"/>
              <w:rPr>
                <w:lang w:val="pt-BR"/>
              </w:rPr>
            </w:pPr>
            <w:r>
              <w:rPr>
                <w:lang w:val="pt-BR"/>
              </w:rPr>
              <w:t xml:space="preserve">Conjunto</w:t>
            </w:r>
          </w:p>
        </w:tc>
        <w:tc>
          <w:tcPr>
            <w:tcW w:w="1300" w:type="dxa"/>
            <w:vAlign w:val="center"/>
          </w:tcPr>
          <w:p>
            <w:pPr>
              <w:keepNext/>
              <w:spacing w:before="20" w:after="20" w:line="240" w:lineRule="auto"/>
              <w:jc w:val="center"/>
              <w:rPr>
                <w:lang w:val="pt-BR"/>
              </w:rPr>
            </w:pPr>
            <w:r>
              <w:rPr>
                <w:lang w:val="pt-BR"/>
              </w:rPr>
              <w:t xml:space="preserve">3,7702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286,819</w:t>
            </w:r>
          </w:p>
        </w:tc>
        <w:tc>
          <w:tcPr>
            <w:tcW w:w="1600" w:type="dxa"/>
            <w:vAlign w:val="center"/>
          </w:tcPr>
          <w:p>
            <w:pPr>
              <w:keepNext/>
              <w:spacing w:before="20" w:after="20" w:line="240" w:lineRule="auto"/>
              <w:jc w:val="center"/>
              <w:rPr>
                <w:lang w:val="pt-BR"/>
              </w:rPr>
            </w:pPr>
            <w:r>
              <w:rPr>
                <w:lang w:val="pt-BR"/>
              </w:rPr>
              <w:t xml:space="preserve">0,125859</w:t>
            </w:r>
          </w:p>
        </w:tc>
        <w:tc>
          <w:tcPr>
            <w:tcW w:w="1600" w:type="dxa"/>
            <w:vAlign w:val="center"/>
          </w:tcPr>
          <w:p>
            <w:pPr>
              <w:keepNext/>
              <w:spacing w:before="20" w:after="20" w:line="240" w:lineRule="auto"/>
              <w:jc w:val="center"/>
              <w:rPr>
                <w:lang w:val="pt-BR"/>
              </w:rPr>
            </w:pPr>
            <w:r>
              <w:rPr>
                <w:lang w:val="pt-BR"/>
              </w:rPr>
              <w:t xml:space="preserve">0,436010</w:t>
            </w:r>
          </w:p>
        </w:tc>
      </w:tr>
    </w:tbl>
    <w:p>
      <w:pPr>
        <w:spacing w:before="60" w:after="60"/>
        <w:rPr>
          <w:lang w:val="pt-BR"/>
        </w:rPr>
      </w:pPr>
      <w:r>
        <w:rPr>
          <w:sz w:val="20"/>
          <w:szCs w:val="20"/>
          <w:lang w:val="pt-BR"/>
        </w:rPr>
        <w:t xml:space="preserve">Fonte: elaborada pelo autor, com dados de de Leva (1996) e do modelo em CAD.</w:t>
      </w:r>
    </w:p>
    <w:p>
      <w:pPr>
        <w:rPr>
          <w:lang w:val="pt-BR"/>
        </w:rPr>
      </w:pPr>
      <w:r>
        <w:rPr>
          <w:lang w:val="pt-BR"/>
        </w:rPr>
        <w:t xml:space="preserve">A consistência foi conferida pela Equação (1): para o membro humano,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e, para o conjunto, 0,125859 + 0,310151 = 0,436010 kg·m</w:t>
      </w:r>
      <w:r>
        <w:rPr>
          <w:vertAlign w:val="superscript"/>
          <w:lang w:val="pt-BR"/>
        </w:rPr>
        <w:t xml:space="preserve">2</w:t>
      </w:r>
      <w:r>
        <w:rPr>
          <w:lang w:val="pt-BR"/>
        </w:rPr>
        <w:t xml:space="preserve">. A amplitude do momento gravitacional é M g d = 10,550 N·m para o membro e 10,604 N·m para o conjunto.</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3B.3),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4A.1 tem o mesmo membro humano e soma a ele as peças do outro exoesqueleto.</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3B.9).</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0,063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(42)</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(42)</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(43)</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0,063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1,65068 N/mm, com pico de τ de 4,252 N·m em 92,1°; no ajuste de forma, o s</w:t>
      </w:r>
      <w:r>
        <w:rPr>
          <w:vertAlign w:val="subscript"/>
          <w:lang w:val="pt-BR"/>
        </w:rPr>
        <w:t xml:space="preserve">0</w:t>
      </w:r>
      <w:r>
        <w:rPr>
          <w:lang w:val="pt-BR"/>
        </w:rPr>
        <w:t xml:space="preserve"> da tracejada vai de 167,098 mm para 280,059 mm, com 4 dos 40 pontos ajustados no regime II, e K</w:t>
      </w:r>
      <w:r>
        <w:rPr>
          <w:vertAlign w:val="subscript"/>
          <w:lang w:val="pt-BR"/>
        </w:rPr>
        <w:t xml:space="preserve">40</w:t>
      </w:r>
      <w:r>
        <w:rPr>
          <w:lang w:val="pt-BR"/>
        </w:rPr>
        <w:t xml:space="preserve">, de 0,52377 para 1,31188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0,39 em 20°, 0,79 em 60°, 1,33 em 120°, 2,02 em 150° e 2,97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conjunto, a razão calculada não reproduz a Figura 16 da patente: com escala comum às três curvas, o coeficiente de determinação é −0,521 (pontilhada), −1,565 (tracejada) e −0,635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277,43 mm na pontilhada, 167,10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273,02 a 281,36</w:t>
            </w:r>
          </w:p>
        </w:tc>
        <w:tc>
          <w:tcPr>
            <w:tcW w:w="2150" w:type="dxa"/>
            <w:vAlign w:val="center"/>
          </w:tcPr>
          <w:p>
            <w:pPr>
              <w:keepNext/>
              <w:spacing w:before="20" w:after="20" w:line="240" w:lineRule="auto"/>
              <w:jc w:val="center"/>
              <w:rPr>
                <w:lang w:val="pt-BR"/>
              </w:rPr>
            </w:pPr>
            <w:r>
              <w:rPr>
                <w:lang w:val="pt-BR"/>
              </w:rPr>
              <w:t xml:space="preserve">152,49 a 179,55</w:t>
            </w:r>
          </w:p>
        </w:tc>
        <w:tc>
          <w:tcPr>
            <w:tcW w:w="2160" w:type="dxa"/>
            <w:vAlign w:val="center"/>
          </w:tcPr>
          <w:p>
            <w:pPr>
              <w:keepNext/>
              <w:spacing w:before="20" w:after="20" w:line="240" w:lineRule="auto"/>
              <w:jc w:val="center"/>
              <w:rPr>
                <w:lang w:val="pt-BR"/>
              </w:rPr>
            </w:pPr>
            <w:r>
              <w:rPr>
                <w:lang w:val="pt-BR"/>
              </w:rPr>
              <w:t xml:space="preserve">0,00 a 4,72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2,95496</w:t>
            </w:r>
          </w:p>
        </w:tc>
        <w:tc>
          <w:tcPr>
            <w:tcW w:w="2150" w:type="dxa"/>
            <w:vAlign w:val="center"/>
          </w:tcPr>
          <w:p>
            <w:pPr>
              <w:keepNext/>
              <w:spacing w:before="20" w:after="20" w:line="240" w:lineRule="auto"/>
              <w:jc w:val="center"/>
              <w:rPr>
                <w:lang w:val="pt-BR"/>
              </w:rPr>
            </w:pPr>
            <w:r>
              <w:rPr>
                <w:lang w:val="pt-BR"/>
              </w:rPr>
              <w:t xml:space="preserve">1,62444</w:t>
            </w:r>
          </w:p>
        </w:tc>
        <w:tc>
          <w:tcPr>
            <w:tcW w:w="2160" w:type="dxa"/>
            <w:vAlign w:val="center"/>
          </w:tcPr>
          <w:p>
            <w:pPr>
              <w:keepNext/>
              <w:spacing w:before="20" w:after="20" w:line="240" w:lineRule="auto"/>
              <w:jc w:val="center"/>
              <w:rPr>
                <w:lang w:val="pt-BR"/>
              </w:rPr>
            </w:pPr>
            <w:r>
              <w:rPr>
                <w:lang w:val="pt-BR"/>
              </w:rPr>
              <w:t xml:space="preserve">1,08614</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0,1614</w:t>
            </w:r>
          </w:p>
        </w:tc>
        <w:tc>
          <w:tcPr>
            <w:tcW w:w="2150" w:type="dxa"/>
            <w:vAlign w:val="center"/>
          </w:tcPr>
          <w:p>
            <w:pPr>
              <w:keepNext/>
              <w:spacing w:before="20" w:after="20" w:line="240" w:lineRule="auto"/>
              <w:jc w:val="center"/>
              <w:rPr>
                <w:lang w:val="pt-BR"/>
              </w:rPr>
            </w:pPr>
            <w:r>
              <w:rPr>
                <w:lang w:val="pt-BR"/>
              </w:rPr>
              <w:t xml:space="preserve">0,1111</w:t>
            </w:r>
          </w:p>
        </w:tc>
        <w:tc>
          <w:tcPr>
            <w:tcW w:w="2160" w:type="dxa"/>
            <w:vAlign w:val="center"/>
          </w:tcPr>
          <w:p>
            <w:pPr>
              <w:keepNext/>
              <w:spacing w:before="20" w:after="20" w:line="240" w:lineRule="auto"/>
              <w:jc w:val="center"/>
              <w:rPr>
                <w:lang w:val="pt-BR"/>
              </w:rPr>
            </w:pPr>
            <w:r>
              <w:rPr>
                <w:lang w:val="pt-BR"/>
              </w:rPr>
              <w:t xml:space="preserve">0,1497</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0,1407</w:t>
            </w:r>
          </w:p>
        </w:tc>
        <w:tc>
          <w:tcPr>
            <w:tcW w:w="2150" w:type="dxa"/>
            <w:vAlign w:val="center"/>
          </w:tcPr>
          <w:p>
            <w:pPr>
              <w:keepNext/>
              <w:spacing w:before="20" w:after="20" w:line="240" w:lineRule="auto"/>
              <w:jc w:val="center"/>
              <w:rPr>
                <w:lang w:val="pt-BR"/>
              </w:rPr>
            </w:pPr>
            <w:r>
              <w:rPr>
                <w:lang w:val="pt-BR"/>
              </w:rPr>
              <w:t xml:space="preserve">0,0953</w:t>
            </w:r>
          </w:p>
        </w:tc>
        <w:tc>
          <w:tcPr>
            <w:tcW w:w="2160" w:type="dxa"/>
            <w:vAlign w:val="center"/>
          </w:tcPr>
          <w:p>
            <w:pPr>
              <w:keepNext/>
              <w:spacing w:before="20" w:after="20" w:line="240" w:lineRule="auto"/>
              <w:jc w:val="center"/>
              <w:rPr>
                <w:lang w:val="pt-BR"/>
              </w:rPr>
            </w:pPr>
            <w:r>
              <w:rPr>
                <w:lang w:val="pt-BR"/>
              </w:rPr>
              <w:t xml:space="preserve">0,1002</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0,3548, em 162,08°</w:t>
            </w:r>
          </w:p>
        </w:tc>
        <w:tc>
          <w:tcPr>
            <w:tcW w:w="2150" w:type="dxa"/>
            <w:vAlign w:val="center"/>
          </w:tcPr>
          <w:p>
            <w:pPr>
              <w:keepNext/>
              <w:spacing w:before="20" w:after="20" w:line="240" w:lineRule="auto"/>
              <w:jc w:val="center"/>
              <w:rPr>
                <w:lang w:val="pt-BR"/>
              </w:rPr>
            </w:pPr>
            <w:r>
              <w:rPr>
                <w:lang w:val="pt-BR"/>
              </w:rPr>
              <w:t xml:space="preserve">0,2559, em 21,39°</w:t>
            </w:r>
          </w:p>
        </w:tc>
        <w:tc>
          <w:tcPr>
            <w:tcW w:w="2160" w:type="dxa"/>
            <w:vAlign w:val="center"/>
          </w:tcPr>
          <w:p>
            <w:pPr>
              <w:keepNext/>
              <w:spacing w:before="20" w:after="20" w:line="240" w:lineRule="auto"/>
              <w:jc w:val="center"/>
              <w:rPr>
                <w:lang w:val="pt-BR"/>
              </w:rPr>
            </w:pPr>
            <w:r>
              <w:rPr>
                <w:lang w:val="pt-BR"/>
              </w:rPr>
              <w:t xml:space="preserve">0,3308,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0,5690</w:t>
            </w:r>
          </w:p>
        </w:tc>
        <w:tc>
          <w:tcPr>
            <w:tcW w:w="2150" w:type="dxa"/>
            <w:vAlign w:val="center"/>
          </w:tcPr>
          <w:p>
            <w:pPr>
              <w:keepNext/>
              <w:spacing w:before="20" w:after="20" w:line="240" w:lineRule="auto"/>
              <w:jc w:val="center"/>
              <w:rPr>
                <w:lang w:val="pt-BR"/>
              </w:rPr>
            </w:pPr>
            <w:r>
              <w:rPr>
                <w:lang w:val="pt-BR"/>
              </w:rPr>
              <w:t xml:space="preserve">0,8560</w:t>
            </w:r>
          </w:p>
        </w:tc>
        <w:tc>
          <w:tcPr>
            <w:tcW w:w="2160" w:type="dxa"/>
            <w:vAlign w:val="center"/>
          </w:tcPr>
          <w:p>
            <w:pPr>
              <w:keepNext/>
              <w:spacing w:before="20" w:after="20" w:line="240" w:lineRule="auto"/>
              <w:jc w:val="center"/>
              <w:rPr>
                <w:lang w:val="pt-BR"/>
              </w:rPr>
            </w:pPr>
            <w:r>
              <w:rPr>
                <w:lang w:val="pt-BR"/>
              </w:rPr>
              <w:t xml:space="preserve">0,9466</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76,465</w:t>
            </w:r>
          </w:p>
        </w:tc>
        <w:tc>
          <w:tcPr>
            <w:tcW w:w="2150" w:type="dxa"/>
            <w:vAlign w:val="center"/>
          </w:tcPr>
          <w:p>
            <w:pPr>
              <w:keepNext/>
              <w:spacing w:before="20" w:after="20" w:line="240" w:lineRule="auto"/>
              <w:jc w:val="center"/>
              <w:rPr>
                <w:lang w:val="pt-BR"/>
              </w:rPr>
            </w:pPr>
            <w:r>
              <w:rPr>
                <w:lang w:val="pt-BR"/>
              </w:rPr>
              <w:t xml:space="preserve">186,800</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1,27956</w:t>
            </w:r>
          </w:p>
        </w:tc>
        <w:tc>
          <w:tcPr>
            <w:tcW w:w="2150" w:type="dxa"/>
            <w:vAlign w:val="center"/>
          </w:tcPr>
          <w:p>
            <w:pPr>
              <w:keepNext/>
              <w:spacing w:before="20" w:after="20" w:line="240" w:lineRule="auto"/>
              <w:jc w:val="center"/>
              <w:rPr>
                <w:lang w:val="pt-BR"/>
              </w:rPr>
            </w:pPr>
            <w:r>
              <w:rPr>
                <w:lang w:val="pt-BR"/>
              </w:rPr>
              <w:t xml:space="preserve">0,52377</w:t>
            </w:r>
          </w:p>
        </w:tc>
        <w:tc>
          <w:tcPr>
            <w:tcW w:w="2160" w:type="dxa"/>
            <w:vAlign w:val="center"/>
          </w:tcPr>
          <w:p>
            <w:pPr>
              <w:keepNext/>
              <w:spacing w:before="20" w:after="20" w:line="240" w:lineRule="auto"/>
              <w:jc w:val="center"/>
              <w:rPr>
                <w:lang w:val="pt-BR"/>
              </w:rPr>
            </w:pPr>
            <w:r>
              <w:rPr>
                <w:lang w:val="pt-BR"/>
              </w:rPr>
              <w:t xml:space="preserve">0,27647</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0,4330</w:t>
            </w:r>
          </w:p>
        </w:tc>
        <w:tc>
          <w:tcPr>
            <w:tcW w:w="2150" w:type="dxa"/>
            <w:vAlign w:val="center"/>
          </w:tcPr>
          <w:p>
            <w:pPr>
              <w:keepNext/>
              <w:spacing w:before="20" w:after="20" w:line="240" w:lineRule="auto"/>
              <w:jc w:val="center"/>
              <w:rPr>
                <w:lang w:val="pt-BR"/>
              </w:rPr>
            </w:pPr>
            <w:r>
              <w:rPr>
                <w:lang w:val="pt-BR"/>
              </w:rPr>
              <w:t xml:space="preserve">0,3224</w:t>
            </w:r>
          </w:p>
        </w:tc>
        <w:tc>
          <w:tcPr>
            <w:tcW w:w="2160" w:type="dxa"/>
            <w:vAlign w:val="center"/>
          </w:tcPr>
          <w:p>
            <w:pPr>
              <w:keepNext/>
              <w:spacing w:before="20" w:after="20" w:line="240" w:lineRule="auto"/>
              <w:jc w:val="center"/>
              <w:rPr>
                <w:lang w:val="pt-BR"/>
              </w:rPr>
            </w:pPr>
            <w:r>
              <w:rPr>
                <w:lang w:val="pt-BR"/>
              </w:rPr>
              <w:t xml:space="preserve">0,2545</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8,34 mm na curva pontilhada e 27,06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0,52377 N/mm e F(90°) = 97,84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227,040</w:t>
            </w:r>
          </w:p>
        </w:tc>
        <w:tc>
          <w:tcPr>
            <w:tcW w:w="2150" w:type="dxa"/>
            <w:vAlign w:val="center"/>
          </w:tcPr>
          <w:p>
            <w:pPr>
              <w:keepNext/>
              <w:spacing w:before="20" w:after="20" w:line="240" w:lineRule="auto"/>
              <w:jc w:val="center"/>
              <w:rPr>
                <w:lang w:val="pt-BR"/>
              </w:rPr>
            </w:pPr>
            <w:r>
              <w:rPr>
                <w:lang w:val="pt-BR"/>
              </w:rPr>
              <w:t xml:space="preserve">162,401</w:t>
            </w:r>
          </w:p>
        </w:tc>
        <w:tc>
          <w:tcPr>
            <w:tcW w:w="2160" w:type="dxa"/>
            <w:vAlign w:val="center"/>
          </w:tcPr>
          <w:p>
            <w:pPr>
              <w:keepNext/>
              <w:spacing w:before="20" w:after="20" w:line="240" w:lineRule="auto"/>
              <w:jc w:val="center"/>
              <w:rPr>
                <w:lang w:val="pt-BR"/>
              </w:rPr>
            </w:pPr>
            <w:r>
              <w:rPr>
                <w:lang w:val="pt-BR"/>
              </w:rPr>
              <w:t xml:space="preserve">100,009</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21,35%</w:t>
            </w:r>
          </w:p>
        </w:tc>
        <w:tc>
          <w:tcPr>
            <w:tcW w:w="2150" w:type="dxa"/>
            <w:vAlign w:val="center"/>
          </w:tcPr>
          <w:p>
            <w:pPr>
              <w:keepNext/>
              <w:spacing w:before="20" w:after="20" w:line="240" w:lineRule="auto"/>
              <w:jc w:val="center"/>
              <w:rPr>
                <w:lang w:val="pt-BR"/>
              </w:rPr>
            </w:pPr>
            <w:r>
              <w:rPr>
                <w:lang w:val="pt-BR"/>
              </w:rPr>
              <w:t xml:space="preserve">6,57%</w:t>
            </w:r>
          </w:p>
        </w:tc>
        <w:tc>
          <w:tcPr>
            <w:tcW w:w="2160" w:type="dxa"/>
            <w:vAlign w:val="center"/>
          </w:tcPr>
          <w:p>
            <w:pPr>
              <w:keepNext/>
              <w:spacing w:before="20" w:after="20" w:line="240" w:lineRule="auto"/>
              <w:jc w:val="center"/>
              <w:rPr>
                <w:lang w:val="pt-BR"/>
              </w:rPr>
            </w:pPr>
            <w:r>
              <w:rPr>
                <w:lang w:val="pt-BR"/>
              </w:rPr>
              <w:t xml:space="preserve">6,45%</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0,1240</w:t>
            </w:r>
          </w:p>
        </w:tc>
        <w:tc>
          <w:tcPr>
            <w:tcW w:w="2150" w:type="dxa"/>
            <w:vAlign w:val="center"/>
          </w:tcPr>
          <w:p>
            <w:pPr>
              <w:keepNext/>
              <w:spacing w:before="20" w:after="20" w:line="240" w:lineRule="auto"/>
              <w:jc w:val="center"/>
              <w:rPr>
                <w:lang w:val="pt-BR"/>
              </w:rPr>
            </w:pPr>
            <w:r>
              <w:rPr>
                <w:lang w:val="pt-BR"/>
              </w:rPr>
              <w:t xml:space="preserve">0,8557</w:t>
            </w:r>
          </w:p>
        </w:tc>
        <w:tc>
          <w:tcPr>
            <w:tcW w:w="2160" w:type="dxa"/>
            <w:vAlign w:val="center"/>
          </w:tcPr>
          <w:p>
            <w:pPr>
              <w:keepNext/>
              <w:spacing w:before="20" w:after="20" w:line="240" w:lineRule="auto"/>
              <w:jc w:val="center"/>
              <w:rPr>
                <w:lang w:val="pt-BR"/>
              </w:rPr>
            </w:pPr>
            <w:r>
              <w:rPr>
                <w:lang w:val="pt-BR"/>
              </w:rPr>
              <w:t xml:space="preserve">0,9048</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35,96%</w:t>
            </w:r>
          </w:p>
        </w:tc>
        <w:tc>
          <w:tcPr>
            <w:tcW w:w="2150" w:type="dxa"/>
            <w:vAlign w:val="center"/>
          </w:tcPr>
          <w:p>
            <w:pPr>
              <w:keepNext/>
              <w:spacing w:before="20" w:after="20" w:line="240" w:lineRule="auto"/>
              <w:jc w:val="center"/>
              <w:rPr>
                <w:lang w:val="pt-BR"/>
              </w:rPr>
            </w:pPr>
            <w:r>
              <w:rPr>
                <w:lang w:val="pt-BR"/>
              </w:rPr>
              <w:t xml:space="preserve">13,28%</w:t>
            </w:r>
          </w:p>
        </w:tc>
        <w:tc>
          <w:tcPr>
            <w:tcW w:w="2160" w:type="dxa"/>
            <w:vAlign w:val="center"/>
          </w:tcPr>
          <w:p>
            <w:pPr>
              <w:keepNext/>
              <w:spacing w:before="20" w:after="20" w:line="240" w:lineRule="auto"/>
              <w:jc w:val="center"/>
              <w:rPr>
                <w:lang w:val="pt-BR"/>
              </w:rPr>
            </w:pPr>
            <w:r>
              <w:rPr>
                <w:lang w:val="pt-BR"/>
              </w:rPr>
              <w:t xml:space="preserve">3,44%</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−1,4848</w:t>
            </w:r>
          </w:p>
        </w:tc>
        <w:tc>
          <w:tcPr>
            <w:tcW w:w="2150" w:type="dxa"/>
            <w:vAlign w:val="center"/>
          </w:tcPr>
          <w:p>
            <w:pPr>
              <w:keepNext/>
              <w:spacing w:before="20" w:after="20" w:line="240" w:lineRule="auto"/>
              <w:jc w:val="center"/>
              <w:rPr>
                <w:lang w:val="pt-BR"/>
              </w:rPr>
            </w:pPr>
            <w:r>
              <w:rPr>
                <w:lang w:val="pt-BR"/>
              </w:rPr>
              <w:t xml:space="preserve">0,4095</w:t>
            </w:r>
          </w:p>
        </w:tc>
        <w:tc>
          <w:tcPr>
            <w:tcW w:w="2160" w:type="dxa"/>
            <w:vAlign w:val="center"/>
          </w:tcPr>
          <w:p>
            <w:pPr>
              <w:keepNext/>
              <w:spacing w:before="20" w:after="20" w:line="240" w:lineRule="auto"/>
              <w:jc w:val="center"/>
              <w:rPr>
                <w:lang w:val="pt-BR"/>
              </w:rPr>
            </w:pPr>
            <w:r>
              <w:rPr>
                <w:lang w:val="pt-BR"/>
              </w:rPr>
              <w:t xml:space="preserve">0,9730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1,5794,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227,040 mm na curva pontilhada, 162,401 mm na tracejada e 100,009 mm na contínua; menor s</w:t>
      </w:r>
      <w:r>
        <w:rPr>
          <w:vertAlign w:val="subscript"/>
          <w:lang w:val="pt-BR"/>
        </w:rPr>
        <w:t xml:space="preserve">0</w:t>
      </w:r>
      <w:r>
        <w:rPr>
          <w:lang w:val="pt-BR"/>
        </w:rP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lang w:val="pt-BR"/>
        </w:rPr>
        <w:t xml:space="preserve">0</w:t>
      </w:r>
      <w:r>
        <w:rPr>
          <w:lang w:val="pt-BR"/>
        </w:rPr>
        <w:t xml:space="preserve"> = 0, e as outras duas com erros de 35,96% e 13,28%.</w:t>
      </w:r>
    </w:p>
    <w:p>
      <w:pPr>
        <w:rPr>
          <w:lang w:val="pt-BR"/>
        </w:rPr>
      </w:pPr>
      <w:r>
        <w:rPr>
          <w:lang w:val="pt-BR"/>
        </w:rPr>
        <w:t xml:space="preserve">A pré-tensão da curva pontilhada, descrita como quase nula, também diverge do ajuste de forma. Pelo critério da seção 4B.4, a extensão em 180°, essa curva teria 19,50 mm com o s</w:t>
      </w:r>
      <w:r>
        <w:rPr>
          <w:vertAlign w:val="subscript"/>
          <w:lang w:val="pt-BR"/>
        </w:rPr>
        <w:t xml:space="preserve">0</w:t>
      </w:r>
      <w:r>
        <w:rPr>
          <w:lang w:val="pt-BR"/>
        </w:rPr>
        <w:t xml:space="preserve"> individual e 69,89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1,46670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163,951 g; 47,362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Incluídos no peso e na inércia; eixos do Fusion admitidos paralelos aos do modelo</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149,67 N a 14,29 N. O ajuste de forma levaria a valores bem diferentes: com s</w:t>
      </w:r>
      <w:r>
        <w:rPr>
          <w:vertAlign w:val="subscript"/>
          <w:lang w:val="pt-BR"/>
        </w:rPr>
        <w:t xml:space="preserve">0</w:t>
      </w:r>
      <w:r>
        <w:rPr>
          <w:lang w:val="pt-BR"/>
        </w:rPr>
        <w:t xml:space="preserve"> = 167,098 mm, a extensão iria de 222,13 a 129,83 mm, com deformação de 132,9%, e a força, com o K</w:t>
      </w:r>
      <w:r>
        <w:rPr>
          <w:vertAlign w:val="subscript"/>
          <w:lang w:val="pt-BR"/>
        </w:rPr>
        <w:t xml:space="preserve">40</w:t>
      </w:r>
      <w:r>
        <w:rPr>
          <w:lang w:val="pt-BR"/>
        </w:rPr>
        <w:t xml:space="preserve"> correspondente, de 116,35 a 68,00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1,46670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3,313</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3,291</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3,841</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3,773</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4,376</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4,242</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4,990</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4,761</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5,609</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5,268</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54,8° e 76,0°, que ocorre mais cedo quanto maior o trecho </w:t>
      </w:r>
      <w:r>
        <w:rPr>
          <w:i/>
          <w:lang w:val="pt-BR"/>
        </w:rPr>
        <w:t xml:space="preserve">e</w:t>
      </w:r>
      <w:r>
        <w:rPr>
          <w:lang w:val="pt-BR"/>
        </w:rP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4,376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0,34 em 30° a 0,43 em 60°, 0,40 em 90° e 0,21 em 150°, com 0,20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1,46670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148,02</w:t>
            </w:r>
          </w:p>
        </w:tc>
        <w:tc>
          <w:tcPr>
            <w:tcW w:w="940" w:type="dxa"/>
            <w:vAlign w:val="center"/>
          </w:tcPr>
          <w:p>
            <w:pPr>
              <w:keepNext/>
              <w:spacing w:before="20" w:after="20" w:line="240" w:lineRule="auto"/>
              <w:jc w:val="center"/>
              <w:rPr>
                <w:lang w:val="pt-BR"/>
              </w:rPr>
            </w:pPr>
            <w:r>
              <w:rPr>
                <w:lang w:val="pt-BR"/>
              </w:rPr>
              <w:t xml:space="preserve">0,892</w:t>
            </w:r>
          </w:p>
        </w:tc>
        <w:tc>
          <w:tcPr>
            <w:tcW w:w="1000" w:type="dxa"/>
            <w:vAlign w:val="center"/>
          </w:tcPr>
          <w:p>
            <w:pPr>
              <w:keepNext/>
              <w:spacing w:before="20" w:after="20" w:line="240" w:lineRule="auto"/>
              <w:jc w:val="center"/>
              <w:rPr>
                <w:lang w:val="pt-BR"/>
              </w:rPr>
            </w:pPr>
            <w:r>
              <w:rPr>
                <w:lang w:val="pt-BR"/>
              </w:rPr>
              <w:t xml:space="preserve">1,894</w:t>
            </w:r>
          </w:p>
        </w:tc>
        <w:tc>
          <w:tcPr>
            <w:tcW w:w="880" w:type="dxa"/>
            <w:vAlign w:val="center"/>
          </w:tcPr>
          <w:p>
            <w:pPr>
              <w:keepNext/>
              <w:spacing w:before="20" w:after="20" w:line="240" w:lineRule="auto"/>
              <w:jc w:val="center"/>
              <w:rPr>
                <w:lang w:val="pt-BR"/>
              </w:rPr>
            </w:pPr>
            <w:r>
              <w:rPr>
                <w:lang w:val="pt-BR"/>
              </w:rPr>
              <w:t xml:space="preserve">0,471</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144,21</w:t>
            </w:r>
          </w:p>
        </w:tc>
        <w:tc>
          <w:tcPr>
            <w:tcW w:w="940" w:type="dxa"/>
            <w:vAlign w:val="center"/>
          </w:tcPr>
          <w:p>
            <w:pPr>
              <w:keepNext/>
              <w:spacing w:before="20" w:after="20" w:line="240" w:lineRule="auto"/>
              <w:jc w:val="center"/>
              <w:rPr>
                <w:lang w:val="pt-BR"/>
              </w:rPr>
            </w:pPr>
            <w:r>
              <w:rPr>
                <w:lang w:val="pt-BR"/>
              </w:rPr>
              <w:t xml:space="preserve">1,834</w:t>
            </w:r>
          </w:p>
        </w:tc>
        <w:tc>
          <w:tcPr>
            <w:tcW w:w="1000" w:type="dxa"/>
            <w:vAlign w:val="center"/>
          </w:tcPr>
          <w:p>
            <w:pPr>
              <w:keepNext/>
              <w:spacing w:before="20" w:after="20" w:line="240" w:lineRule="auto"/>
              <w:jc w:val="center"/>
              <w:rPr>
                <w:lang w:val="pt-BR"/>
              </w:rPr>
            </w:pPr>
            <w:r>
              <w:rPr>
                <w:lang w:val="pt-BR"/>
              </w:rPr>
              <w:t xml:space="preserve">5,348</w:t>
            </w:r>
          </w:p>
        </w:tc>
        <w:tc>
          <w:tcPr>
            <w:tcW w:w="880" w:type="dxa"/>
            <w:vAlign w:val="center"/>
          </w:tcPr>
          <w:p>
            <w:pPr>
              <w:keepNext/>
              <w:spacing w:before="20" w:after="20" w:line="240" w:lineRule="auto"/>
              <w:jc w:val="center"/>
              <w:rPr>
                <w:lang w:val="pt-BR"/>
              </w:rPr>
            </w:pPr>
            <w:r>
              <w:rPr>
                <w:lang w:val="pt-BR"/>
              </w:rPr>
              <w:t xml:space="preserve">0,343</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127,04</w:t>
            </w:r>
          </w:p>
        </w:tc>
        <w:tc>
          <w:tcPr>
            <w:tcW w:w="940" w:type="dxa"/>
            <w:vAlign w:val="center"/>
          </w:tcPr>
          <w:p>
            <w:pPr>
              <w:keepNext/>
              <w:spacing w:before="20" w:after="20" w:line="240" w:lineRule="auto"/>
              <w:jc w:val="center"/>
              <w:rPr>
                <w:lang w:val="pt-BR"/>
              </w:rPr>
            </w:pPr>
            <w:r>
              <w:rPr>
                <w:lang w:val="pt-BR"/>
              </w:rPr>
              <w:t xml:space="preserve">3,973</w:t>
            </w:r>
          </w:p>
        </w:tc>
        <w:tc>
          <w:tcPr>
            <w:tcW w:w="1000" w:type="dxa"/>
            <w:vAlign w:val="center"/>
          </w:tcPr>
          <w:p>
            <w:pPr>
              <w:keepNext/>
              <w:spacing w:before="20" w:after="20" w:line="240" w:lineRule="auto"/>
              <w:jc w:val="center"/>
              <w:rPr>
                <w:lang w:val="pt-BR"/>
              </w:rPr>
            </w:pPr>
            <w:r>
              <w:rPr>
                <w:lang w:val="pt-BR"/>
              </w:rPr>
              <w:t xml:space="preserve">9,210</w:t>
            </w:r>
          </w:p>
        </w:tc>
        <w:tc>
          <w:tcPr>
            <w:tcW w:w="880" w:type="dxa"/>
            <w:vAlign w:val="center"/>
          </w:tcPr>
          <w:p>
            <w:pPr>
              <w:keepNext/>
              <w:spacing w:before="20" w:after="20" w:line="240" w:lineRule="auto"/>
              <w:jc w:val="center"/>
              <w:rPr>
                <w:lang w:val="pt-BR"/>
              </w:rPr>
            </w:pPr>
            <w:r>
              <w:rPr>
                <w:lang w:val="pt-BR"/>
              </w:rPr>
              <w:t xml:space="preserve">0,431</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97,84</w:t>
            </w:r>
          </w:p>
        </w:tc>
        <w:tc>
          <w:tcPr>
            <w:tcW w:w="940" w:type="dxa"/>
            <w:vAlign w:val="center"/>
          </w:tcPr>
          <w:p>
            <w:pPr>
              <w:keepNext/>
              <w:spacing w:before="20" w:after="20" w:line="240" w:lineRule="auto"/>
              <w:jc w:val="center"/>
              <w:rPr>
                <w:lang w:val="pt-BR"/>
              </w:rPr>
            </w:pPr>
            <w:r>
              <w:rPr>
                <w:lang w:val="pt-BR"/>
              </w:rPr>
              <w:t xml:space="preserve">4,242</w:t>
            </w:r>
          </w:p>
        </w:tc>
        <w:tc>
          <w:tcPr>
            <w:tcW w:w="1000" w:type="dxa"/>
            <w:vAlign w:val="center"/>
          </w:tcPr>
          <w:p>
            <w:pPr>
              <w:keepNext/>
              <w:spacing w:before="20" w:after="20" w:line="240" w:lineRule="auto"/>
              <w:jc w:val="center"/>
              <w:rPr>
                <w:lang w:val="pt-BR"/>
              </w:rPr>
            </w:pPr>
            <w:r>
              <w:rPr>
                <w:lang w:val="pt-BR"/>
              </w:rPr>
              <w:t xml:space="preserve">10,604</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63,11</w:t>
            </w:r>
          </w:p>
        </w:tc>
        <w:tc>
          <w:tcPr>
            <w:tcW w:w="940" w:type="dxa"/>
            <w:vAlign w:val="center"/>
          </w:tcPr>
          <w:p>
            <w:pPr>
              <w:keepNext/>
              <w:spacing w:before="20" w:after="20" w:line="240" w:lineRule="auto"/>
              <w:jc w:val="center"/>
              <w:rPr>
                <w:lang w:val="pt-BR"/>
              </w:rPr>
            </w:pPr>
            <w:r>
              <w:rPr>
                <w:lang w:val="pt-BR"/>
              </w:rPr>
              <w:t xml:space="preserve">2,845</w:t>
            </w:r>
          </w:p>
        </w:tc>
        <w:tc>
          <w:tcPr>
            <w:tcW w:w="1000" w:type="dxa"/>
            <w:vAlign w:val="center"/>
          </w:tcPr>
          <w:p>
            <w:pPr>
              <w:keepNext/>
              <w:spacing w:before="20" w:after="20" w:line="240" w:lineRule="auto"/>
              <w:jc w:val="center"/>
              <w:rPr>
                <w:lang w:val="pt-BR"/>
              </w:rPr>
            </w:pPr>
            <w:r>
              <w:rPr>
                <w:lang w:val="pt-BR"/>
              </w:rPr>
              <w:t xml:space="preserve">9,157</w:t>
            </w:r>
          </w:p>
        </w:tc>
        <w:tc>
          <w:tcPr>
            <w:tcW w:w="880" w:type="dxa"/>
            <w:vAlign w:val="center"/>
          </w:tcPr>
          <w:p>
            <w:pPr>
              <w:keepNext/>
              <w:spacing w:before="20" w:after="20" w:line="240" w:lineRule="auto"/>
              <w:jc w:val="center"/>
              <w:rPr>
                <w:lang w:val="pt-BR"/>
              </w:rPr>
            </w:pPr>
            <w:r>
              <w:rPr>
                <w:lang w:val="pt-BR"/>
              </w:rPr>
              <w:t xml:space="preserve">0,311</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31,97</w:t>
            </w:r>
          </w:p>
        </w:tc>
        <w:tc>
          <w:tcPr>
            <w:tcW w:w="940" w:type="dxa"/>
            <w:vAlign w:val="center"/>
          </w:tcPr>
          <w:p>
            <w:pPr>
              <w:keepNext/>
              <w:spacing w:before="20" w:after="20" w:line="240" w:lineRule="auto"/>
              <w:jc w:val="center"/>
              <w:rPr>
                <w:lang w:val="pt-BR"/>
              </w:rPr>
            </w:pPr>
            <w:r>
              <w:rPr>
                <w:lang w:val="pt-BR"/>
              </w:rPr>
              <w:t xml:space="preserve">1,080</w:t>
            </w:r>
          </w:p>
        </w:tc>
        <w:tc>
          <w:tcPr>
            <w:tcW w:w="1000" w:type="dxa"/>
            <w:vAlign w:val="center"/>
          </w:tcPr>
          <w:p>
            <w:pPr>
              <w:keepNext/>
              <w:spacing w:before="20" w:after="20" w:line="240" w:lineRule="auto"/>
              <w:jc w:val="center"/>
              <w:rPr>
                <w:lang w:val="pt-BR"/>
              </w:rPr>
            </w:pPr>
            <w:r>
              <w:rPr>
                <w:lang w:val="pt-BR"/>
              </w:rPr>
              <w:t xml:space="preserve">5,256</w:t>
            </w:r>
          </w:p>
        </w:tc>
        <w:tc>
          <w:tcPr>
            <w:tcW w:w="880" w:type="dxa"/>
            <w:vAlign w:val="center"/>
          </w:tcPr>
          <w:p>
            <w:pPr>
              <w:keepNext/>
              <w:spacing w:before="20" w:after="20" w:line="240" w:lineRule="auto"/>
              <w:jc w:val="center"/>
              <w:rPr>
                <w:lang w:val="pt-BR"/>
              </w:rPr>
            </w:pPr>
            <w:r>
              <w:rPr>
                <w:lang w:val="pt-BR"/>
              </w:rPr>
              <w:t xml:space="preserve">0,205</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18,16</w:t>
            </w:r>
          </w:p>
        </w:tc>
        <w:tc>
          <w:tcPr>
            <w:tcW w:w="940" w:type="dxa"/>
            <w:vAlign w:val="center"/>
          </w:tcPr>
          <w:p>
            <w:pPr>
              <w:keepNext/>
              <w:spacing w:before="20" w:after="20" w:line="240" w:lineRule="auto"/>
              <w:jc w:val="center"/>
              <w:rPr>
                <w:lang w:val="pt-BR"/>
              </w:rPr>
            </w:pPr>
            <w:r>
              <w:rPr>
                <w:lang w:val="pt-BR"/>
              </w:rPr>
              <w:t xml:space="preserve">0,352</w:t>
            </w:r>
          </w:p>
        </w:tc>
        <w:tc>
          <w:tcPr>
            <w:tcW w:w="1000" w:type="dxa"/>
            <w:vAlign w:val="center"/>
          </w:tcPr>
          <w:p>
            <w:pPr>
              <w:keepNext/>
              <w:spacing w:before="20" w:after="20" w:line="240" w:lineRule="auto"/>
              <w:jc w:val="center"/>
              <w:rPr>
                <w:lang w:val="pt-BR"/>
              </w:rPr>
            </w:pPr>
            <w:r>
              <w:rPr>
                <w:lang w:val="pt-BR"/>
              </w:rPr>
              <w:t xml:space="preserve">1,789</w:t>
            </w:r>
          </w:p>
        </w:tc>
        <w:tc>
          <w:tcPr>
            <w:tcW w:w="880" w:type="dxa"/>
            <w:vAlign w:val="center"/>
          </w:tcPr>
          <w:p>
            <w:pPr>
              <w:keepNext/>
              <w:spacing w:before="20" w:after="20" w:line="240" w:lineRule="auto"/>
              <w:jc w:val="center"/>
              <w:rPr>
                <w:lang w:val="pt-BR"/>
              </w:rPr>
            </w:pPr>
            <w:r>
              <w:rPr>
                <w:lang w:val="pt-BR"/>
              </w:rPr>
              <w:t xml:space="preserve">0,197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3B.9); τ</w:t>
      </w:r>
      <w:r>
        <w:rPr>
          <w:sz w:val="20"/>
          <w:szCs w:val="20"/>
          <w:vertAlign w:val="subscript"/>
          <w:lang w:val="pt-BR"/>
        </w:rPr>
        <w:t xml:space="preserve">g</w:t>
      </w:r>
      <w:r>
        <w:rPr>
          <w:sz w:val="20"/>
          <w:szCs w:val="20"/>
          <w:lang w:val="pt-BR"/>
        </w:rPr>
        <w:t xml:space="preserve"> considera o membro humano e o braço do exoesqueleto.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e do braço do exoesqueleto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1,44125 a 1,50164 N/mm, e o pico de τ, de 4,368 a 4,388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83,60° e 177,05°,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3B.3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0,569 a 0,947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150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Membro humano e braço do exoesqueleto, pico de 10,604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46° a 84° e fica abaixo dela entre 84° e 177°, com diferença normalizada de até −0,270 em 139,3°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0,47 em 10°, 0,34 em 30°, 0,43 em 60°, 0,40 em 90° e 0,21 em 150°, com mínimo de 0,18 em 163,4°.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