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6FB8"/>
          <w:sz w:val="30"/>
        </w:rPr>
        <w:t>Protokół badań wizualnych złączy spawanych (VT)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protokołu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Zlecenie / obiekt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Zamawiający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Nr rysunku / izometrii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Etap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Warunki i kryteria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Badanie wg</w:t>
            </w:r>
          </w:p>
        </w:tc>
        <w:tc>
          <w:tcPr>
            <w:tcW w:type="dxa" w:w="2835"/>
          </w:tcPr>
          <w:p>
            <w:r>
              <w:t>PN-EN ISO 17637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Kryteria akceptacji wg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Poziom jakości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Wymagania dodatkowe klienta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Oświetlenie [lx]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Dostęp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Narzędzia</w:t>
            </w:r>
          </w:p>
        </w:tc>
        <w:tc>
          <w:tcPr>
            <w:tcW w:type="dxa" w:w="2835"/>
          </w:tcPr>
          <w:p>
            <w:r/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</w:rPr>
              <w:t>Stan powierzchni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r>
        <w:rPr>
          <w:b/>
          <w:color w:val="0B6FB8"/>
          <w:sz w:val="22"/>
        </w:rPr>
        <w:t>Wyniki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907"/>
            <w:shd w:val="clear" w:color="auto" w:fill="EEF3F8"/>
          </w:tcPr>
          <w:p>
            <w:r>
              <w:rPr>
                <w:b/>
                <w:sz w:val="17"/>
              </w:rPr>
              <w:t>Nr złącza</w:t>
            </w:r>
          </w:p>
        </w:tc>
        <w:tc>
          <w:tcPr>
            <w:tcW w:type="dxa" w:w="1020"/>
            <w:shd w:val="clear" w:color="auto" w:fill="EEF3F8"/>
          </w:tcPr>
          <w:p>
            <w:r>
              <w:rPr>
                <w:b/>
                <w:sz w:val="17"/>
              </w:rPr>
              <w:t>Wymiar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WPS</w:t>
            </w:r>
          </w:p>
        </w:tc>
        <w:tc>
          <w:tcPr>
            <w:tcW w:type="dxa" w:w="907"/>
            <w:shd w:val="clear" w:color="auto" w:fill="EEF3F8"/>
          </w:tcPr>
          <w:p>
            <w:r>
              <w:rPr>
                <w:b/>
                <w:sz w:val="17"/>
              </w:rPr>
              <w:t>Spawacz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Lico</w:t>
            </w:r>
          </w:p>
        </w:tc>
        <w:tc>
          <w:tcPr>
            <w:tcW w:type="dxa" w:w="1247"/>
            <w:shd w:val="clear" w:color="auto" w:fill="EEF3F8"/>
          </w:tcPr>
          <w:p>
            <w:r>
              <w:rPr>
                <w:b/>
                <w:sz w:val="17"/>
              </w:rPr>
              <w:t>Grań</w:t>
            </w:r>
          </w:p>
        </w:tc>
        <w:tc>
          <w:tcPr>
            <w:tcW w:type="dxa" w:w="2268"/>
            <w:shd w:val="clear" w:color="auto" w:fill="EEF3F8"/>
          </w:tcPr>
          <w:p>
            <w:r>
              <w:rPr>
                <w:b/>
                <w:sz w:val="17"/>
              </w:rPr>
              <w:t>Niezgodności (opis)</w:t>
            </w:r>
          </w:p>
        </w:tc>
        <w:tc>
          <w:tcPr>
            <w:tcW w:type="dxa" w:w="1361"/>
            <w:shd w:val="clear" w:color="auto" w:fill="EEF3F8"/>
          </w:tcPr>
          <w:p>
            <w:r>
              <w:rPr>
                <w:b/>
                <w:sz w:val="17"/>
              </w:rPr>
              <w:t>Ocena</w:t>
            </w:r>
          </w:p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  <w:tr>
        <w:tc>
          <w:tcPr>
            <w:tcW w:type="dxa" w:w="907"/>
          </w:tcPr>
          <w:p/>
        </w:tc>
        <w:tc>
          <w:tcPr>
            <w:tcW w:type="dxa" w:w="1020"/>
          </w:tcPr>
          <w:p/>
        </w:tc>
        <w:tc>
          <w:tcPr>
            <w:tcW w:type="dxa" w:w="1247"/>
          </w:tcPr>
          <w:p/>
        </w:tc>
        <w:tc>
          <w:tcPr>
            <w:tcW w:type="dxa" w:w="907"/>
          </w:tcPr>
          <w:p/>
        </w:tc>
        <w:tc>
          <w:tcPr>
            <w:tcW w:type="dxa" w:w="1247"/>
          </w:tcPr>
          <w:p/>
        </w:tc>
        <w:tc>
          <w:tcPr>
            <w:tcW w:type="dxa" w:w="1247"/>
          </w:tcPr>
          <w:p/>
        </w:tc>
        <w:tc>
          <w:tcPr>
            <w:tcW w:type="dxa" w:w="2268"/>
          </w:tcPr>
          <w:p/>
        </w:tc>
        <w:tc>
          <w:tcPr>
            <w:tcW w:type="dxa" w:w="1361"/>
          </w:tcPr>
          <w:p/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Wynik ogólny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3402"/>
            <w:shd w:val="clear" w:color="auto" w:fill="EEF3F8"/>
          </w:tcPr>
          <w:p>
            <w:r>
              <w:rPr>
                <w:b/>
              </w:rPr>
              <w:t>Uwagi</w:t>
            </w:r>
          </w:p>
        </w:tc>
        <w:tc>
          <w:tcPr>
            <w:tcW w:type="dxa" w:w="6803"/>
          </w:tcPr>
          <w:p>
            <w:r/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  <w:shd w:val="clear" w:color="auto" w:fill="EEF3F8"/>
          </w:tcPr>
          <w:p>
            <w:r>
              <w:t>Badający (kwalifikacje)</w:t>
            </w:r>
          </w:p>
        </w:tc>
        <w:tc>
          <w:tcPr>
            <w:tcW w:type="dxa" w:w="5102"/>
            <w:shd w:val="clear" w:color="auto" w:fill="EEF3F8"/>
          </w:tcPr>
          <w:p>
            <w:r>
              <w:t>Przedstawiciel zamawiającego</w:t>
            </w:r>
          </w:p>
        </w:tc>
      </w:tr>
      <w:tr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  <w:tc>
          <w:tcPr>
            <w:tcW w:type="dxa" w:w="5102"/>
          </w:tcPr>
          <w:p>
            <w:r>
              <w:br/>
              <w:br/>
              <w:t>imię, nazwisko, data, podpis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776"/>
        <w:sz w:val="14"/>
      </w:rPr>
      <w:t>Szablony warsztatu v1.0 · Instal-tig / Nierdzewka w warsztacie · Szablon nie zastępuje wymagań zamawiającego, WPQR ani uprawnień.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[LOGO I DANE FIRMY - wstaw tutaj]</w:t>
      <w:tab/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