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rFonts w:ascii="Times New Roman" w:cs="Times New Roman" w:eastAsia="Times New Roman" w:hAnsi="Times New Roman"/>
          <w:b/>
          <w:bCs/>
          <w:sz w:val="48"/>
          <w:szCs w:val="48"/>
        </w:rPr>
        <w:t xml:space="preserve">CAPSTONE PROJECT BOOK</w:t>
      </w:r>
    </w:p>
    <w:p>
      <w:pPr>
        <w:spacing w:after="400"/>
      </w:pPr>
    </w:p>
    <w:p>
      <w:pPr>
        <w:spacing w:after="1000"/>
        <w:jc w:val="center"/>
      </w:pPr>
      <w:r>
        <w:rPr>
          <w:rFonts w:ascii="Times New Roman" w:cs="Times New Roman" w:eastAsia="Times New Roman" w:hAnsi="Times New Roman"/>
          <w:b/>
          <w:bCs/>
          <w:sz w:val="36"/>
          <w:szCs w:val="36"/>
        </w:rPr>
        <w:t xml:space="preserve">BLOCKCHAIN-BASED SMART GAS CYLINDER SWAP PLATFORM FOR CROSS-DISTRICT EXCHANGE IN RWANDA</w:t>
      </w:r>
    </w:p>
    <w:p>
      <w:pPr>
        <w:spacing w:after="1000"/>
      </w:pPr>
    </w:p>
    <w:p>
      <w:pPr>
        <w:spacing w:after="2000"/>
        <w:jc w:val="center"/>
      </w:pPr>
      <w:r>
        <w:rPr>
          <w:rFonts w:ascii="Times New Roman" w:cs="Times New Roman" w:eastAsia="Times New Roman" w:hAnsi="Times New Roman"/>
          <w:i/>
          <w:iCs/>
          <w:sz w:val="24"/>
          <w:szCs w:val="24"/>
        </w:rPr>
        <w:t xml:space="preserve">A Capstone Project Submitted in Partial Fulfillment of the Requirements for the Degree of Bachelor of Science in Information and Communication Technology</w:t>
      </w:r>
    </w:p>
    <w:p>
      <w:pPr>
        <w:jc w:val="center"/>
      </w:pPr>
      <w:r>
        <w:rPr>
          <w:rFonts w:ascii="Times New Roman" w:cs="Times New Roman" w:eastAsia="Times New Roman" w:hAnsi="Times New Roman"/>
          <w:sz w:val="24"/>
          <w:szCs w:val="24"/>
        </w:rPr>
        <w:t xml:space="preserve">Academic Year: 2025-2026</w:t>
      </w:r>
    </w:p>
    <w:p>
      <w:r>
        <w:br w:type="page"/>
      </w:r>
    </w:p>
    <w:p>
      <w:pPr>
        <w:pStyle w:val="Heading1"/>
        <w:spacing w:after="400"/>
      </w:pPr>
      <w:r>
        <w:t xml:space="preserve">TABLE OF CONTENTS</w:t>
      </w:r>
    </w:p>
    <w:p>
      <w:pPr>
        <w:spacing w:after="120"/>
      </w:pPr>
      <w:r>
        <w:rPr>
          <w:rFonts w:ascii="Times New Roman" w:cs="Times New Roman" w:eastAsia="Times New Roman" w:hAnsi="Times New Roman"/>
          <w:sz w:val="24"/>
          <w:szCs w:val="24"/>
        </w:rPr>
        <w:t xml:space="preserve">1. Abstract</w:t>
      </w:r>
    </w:p>
    <w:p>
      <w:pPr>
        <w:spacing w:after="120"/>
      </w:pPr>
      <w:r>
        <w:rPr>
          <w:rFonts w:ascii="Times New Roman" w:cs="Times New Roman" w:eastAsia="Times New Roman" w:hAnsi="Times New Roman"/>
          <w:sz w:val="24"/>
          <w:szCs w:val="24"/>
        </w:rPr>
        <w:t xml:space="preserve">2. Chapter One: Introduction and Background</w:t>
      </w:r>
    </w:p>
    <w:p>
      <w:pPr>
        <w:spacing w:after="120"/>
      </w:pPr>
      <w:r>
        <w:rPr>
          <w:rFonts w:ascii="Times New Roman" w:cs="Times New Roman" w:eastAsia="Times New Roman" w:hAnsi="Times New Roman"/>
          <w:sz w:val="24"/>
          <w:szCs w:val="24"/>
        </w:rPr>
        <w:t xml:space="preserve">   1.1 Introduction</w:t>
      </w:r>
    </w:p>
    <w:p>
      <w:pPr>
        <w:spacing w:after="120"/>
      </w:pPr>
      <w:r>
        <w:rPr>
          <w:rFonts w:ascii="Times New Roman" w:cs="Times New Roman" w:eastAsia="Times New Roman" w:hAnsi="Times New Roman"/>
          <w:sz w:val="24"/>
          <w:szCs w:val="24"/>
        </w:rPr>
        <w:t xml:space="preserve">   1.2 Background of the Study</w:t>
      </w:r>
    </w:p>
    <w:p>
      <w:pPr>
        <w:spacing w:after="120"/>
      </w:pPr>
      <w:r>
        <w:rPr>
          <w:rFonts w:ascii="Times New Roman" w:cs="Times New Roman" w:eastAsia="Times New Roman" w:hAnsi="Times New Roman"/>
          <w:sz w:val="24"/>
          <w:szCs w:val="24"/>
        </w:rPr>
        <w:t xml:space="preserve">   1.3 Problem Statement</w:t>
      </w:r>
    </w:p>
    <w:p>
      <w:pPr>
        <w:spacing w:after="120"/>
      </w:pPr>
      <w:r>
        <w:rPr>
          <w:rFonts w:ascii="Times New Roman" w:cs="Times New Roman" w:eastAsia="Times New Roman" w:hAnsi="Times New Roman"/>
          <w:sz w:val="24"/>
          <w:szCs w:val="24"/>
        </w:rPr>
        <w:t xml:space="preserve">   1.4 Research Objectives</w:t>
      </w:r>
    </w:p>
    <w:p>
      <w:pPr>
        <w:spacing w:after="120"/>
      </w:pPr>
      <w:r>
        <w:rPr>
          <w:rFonts w:ascii="Times New Roman" w:cs="Times New Roman" w:eastAsia="Times New Roman" w:hAnsi="Times New Roman"/>
          <w:sz w:val="24"/>
          <w:szCs w:val="24"/>
        </w:rPr>
        <w:t xml:space="preserve">   1.5 Research Questions</w:t>
      </w:r>
    </w:p>
    <w:p>
      <w:pPr>
        <w:spacing w:after="120"/>
      </w:pPr>
      <w:r>
        <w:rPr>
          <w:rFonts w:ascii="Times New Roman" w:cs="Times New Roman" w:eastAsia="Times New Roman" w:hAnsi="Times New Roman"/>
          <w:sz w:val="24"/>
          <w:szCs w:val="24"/>
        </w:rPr>
        <w:t xml:space="preserve">   1.6 Scope and Delimitations</w:t>
      </w:r>
    </w:p>
    <w:p>
      <w:pPr>
        <w:spacing w:after="120"/>
      </w:pPr>
      <w:r>
        <w:rPr>
          <w:rFonts w:ascii="Times New Roman" w:cs="Times New Roman" w:eastAsia="Times New Roman" w:hAnsi="Times New Roman"/>
          <w:sz w:val="24"/>
          <w:szCs w:val="24"/>
        </w:rPr>
        <w:t xml:space="preserve">   1.7 Significance of the Study</w:t>
      </w:r>
    </w:p>
    <w:p>
      <w:pPr>
        <w:spacing w:after="120"/>
      </w:pPr>
      <w:r>
        <w:rPr>
          <w:rFonts w:ascii="Times New Roman" w:cs="Times New Roman" w:eastAsia="Times New Roman" w:hAnsi="Times New Roman"/>
          <w:sz w:val="24"/>
          <w:szCs w:val="24"/>
        </w:rPr>
        <w:t xml:space="preserve">3. Chapter Two: Literature Review</w:t>
      </w:r>
    </w:p>
    <w:p>
      <w:pPr>
        <w:spacing w:after="120"/>
      </w:pPr>
      <w:r>
        <w:rPr>
          <w:rFonts w:ascii="Times New Roman" w:cs="Times New Roman" w:eastAsia="Times New Roman" w:hAnsi="Times New Roman"/>
          <w:sz w:val="24"/>
          <w:szCs w:val="24"/>
        </w:rPr>
        <w:t xml:space="preserve">4. Chapter Three: Research Methodology</w:t>
      </w:r>
    </w:p>
    <w:p>
      <w:pPr>
        <w:spacing w:after="120"/>
      </w:pPr>
      <w:r>
        <w:rPr>
          <w:rFonts w:ascii="Times New Roman" w:cs="Times New Roman" w:eastAsia="Times New Roman" w:hAnsi="Times New Roman"/>
          <w:sz w:val="24"/>
          <w:szCs w:val="24"/>
        </w:rPr>
        <w:t xml:space="preserve">5. Chapter Four: Work Plan, Budget, and Feasibility</w:t>
      </w:r>
    </w:p>
    <w:p>
      <w:pPr>
        <w:spacing w:after="120"/>
      </w:pPr>
      <w:r>
        <w:rPr>
          <w:rFonts w:ascii="Times New Roman" w:cs="Times New Roman" w:eastAsia="Times New Roman" w:hAnsi="Times New Roman"/>
          <w:sz w:val="24"/>
          <w:szCs w:val="24"/>
        </w:rPr>
        <w:t xml:space="preserve">6. References</w:t>
      </w:r>
    </w:p>
    <w:p>
      <w:pPr>
        <w:spacing w:after="120"/>
      </w:pPr>
      <w:r>
        <w:rPr>
          <w:rFonts w:ascii="Times New Roman" w:cs="Times New Roman" w:eastAsia="Times New Roman" w:hAnsi="Times New Roman"/>
          <w:sz w:val="24"/>
          <w:szCs w:val="24"/>
        </w:rPr>
        <w:t xml:space="preserve">7. Appendices</w:t>
      </w:r>
    </w:p>
    <w:p>
      <w:r>
        <w:br w:type="page"/>
      </w:r>
    </w:p>
    <w:p>
      <w:pPr>
        <w:pStyle w:val="Heading1"/>
        <w:spacing w:after="400"/>
      </w:pPr>
      <w:r>
        <w:t xml:space="preserve">ABSTRACT</w:t>
      </w:r>
    </w:p>
    <w:p>
      <w:pPr>
        <w:spacing w:after="240"/>
        <w:jc w:val="both"/>
      </w:pPr>
      <w:r>
        <w:rPr>
          <w:rFonts w:ascii="Times New Roman" w:cs="Times New Roman" w:eastAsia="Times New Roman" w:hAnsi="Times New Roman"/>
          <w:sz w:val="24"/>
          <w:szCs w:val="24"/>
        </w:rPr>
        <w:t xml:space="preserve">The transportation of liquefied petroleum gas (LPG) cylinders across districts in Rwanda presents a significant challenge due to legal restrictions prohibiting the carriage of gas cylinders on public buses. This regulation, while essential for public safety, creates substantial inconvenience for citizens who need to transport their gas cylinders between locations. Current solutions rely on centralized database systems that lack transparency, are susceptible to fraud, and do not provide interoperability between different gas companies operating within the country.</w:t>
      </w:r>
    </w:p>
    <w:p>
      <w:pPr>
        <w:spacing w:after="240"/>
        <w:jc w:val="both"/>
      </w:pPr>
      <w:r>
        <w:rPr>
          <w:rFonts w:ascii="Times New Roman" w:cs="Times New Roman" w:eastAsia="Times New Roman" w:hAnsi="Times New Roman"/>
          <w:sz w:val="24"/>
          <w:szCs w:val="24"/>
        </w:rPr>
        <w:t xml:space="preserve">This capstone project proposes the development of a fully decentralized blockchain-based smart gas cylinder swap platform that enables customers to deposit their cylinders at a source branch, receive a cryptographically secured digital voucher, and redeem an equivalent cylinder at any destination branch within the same company network. The system leverages Ethereum-compatible smart contracts deployed on the Polygon network, non-fungible tokens (NFTs) for cylinder and voucher representation, and a React-based decentralized application (dApp) frontend integrated with Web3 wallet authentication.</w:t>
      </w:r>
    </w:p>
    <w:p>
      <w:pPr>
        <w:spacing w:after="240"/>
        <w:jc w:val="both"/>
      </w:pPr>
      <w:r>
        <w:rPr>
          <w:rFonts w:ascii="Times New Roman" w:cs="Times New Roman" w:eastAsia="Times New Roman" w:hAnsi="Times New Roman"/>
          <w:sz w:val="24"/>
          <w:szCs w:val="24"/>
        </w:rPr>
        <w:t xml:space="preserve">The research employs a mixed-methods approach combining qualitative analysis of existing blockchain implementations in the LPG industry with quantitative evaluation of system performance metrics. The system architecture incorporates the InterPlanetary File System (IPFS) for decentralized storage and The Graph protocol for efficient blockchain data indexing. Expected outcomes include enhanced transparency in cylinder tracking, elimination of voucher fraud, automated inter-branch settlement, and a scalable platform capable of supporting multiple gas companies across all thirty districts of Rwanda.</w:t>
      </w:r>
    </w:p>
    <w:p>
      <w:pPr>
        <w:spacing w:after="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Blockchain, Smart Contracts, LPG Distribution, Decentralized Application, Gas Cylinder Exchange, NFT, Polygon Network, Supply Chain Traceability</w:t>
      </w:r>
    </w:p>
    <w:p>
      <w:r>
        <w:br w:type="page"/>
      </w:r>
    </w:p>
    <w:p>
      <w:pPr>
        <w:pStyle w:val="Heading1"/>
        <w:spacing w:after="400"/>
      </w:pPr>
      <w:r>
        <w:t xml:space="preserve">CHAPTER ONE: INTRODUCTION AND BACKGROUND</w:t>
      </w:r>
    </w:p>
    <w:p>
      <w:pPr>
        <w:pStyle w:val="Heading2"/>
        <w:spacing w:after="240"/>
      </w:pPr>
      <w:r>
        <w:t xml:space="preserve">1.1 Introduction</w:t>
      </w:r>
    </w:p>
    <w:p>
      <w:pPr>
        <w:spacing w:after="240"/>
        <w:jc w:val="both"/>
      </w:pPr>
      <w:r>
        <w:rPr>
          <w:rFonts w:ascii="Times New Roman" w:cs="Times New Roman" w:eastAsia="Times New Roman" w:hAnsi="Times New Roman"/>
          <w:sz w:val="24"/>
          <w:szCs w:val="24"/>
        </w:rPr>
        <w:t xml:space="preserve">The energy sector in developing nations continues to evolve rapidly, with liquefied petroleum gas (LPG) emerging as a primary cooking fuel for urban and peri-urban households. In Rwanda, the adoption of LPG has increased significantly over the past decade as part of the government's initiative to reduce dependence on biomass fuels such as charcoal and firewood, which contribute to deforestation and respiratory health issues (Rwanda Utilities Regulatory Authority, 2023). However, the distribution and management of LPG cylinders present unique logistical challenges that have not been adequately addressed by existing technological solutions.</w:t>
      </w:r>
    </w:p>
    <w:p>
      <w:pPr>
        <w:spacing w:after="240"/>
        <w:jc w:val="both"/>
      </w:pPr>
      <w:r>
        <w:rPr>
          <w:rFonts w:ascii="Times New Roman" w:cs="Times New Roman" w:eastAsia="Times New Roman" w:hAnsi="Times New Roman"/>
          <w:sz w:val="24"/>
          <w:szCs w:val="24"/>
        </w:rPr>
        <w:t xml:space="preserve">Blockchain technology, originally conceptualized as the underlying infrastructure for cryptocurrencies, has demonstrated remarkable potential for applications far beyond financial transactions. The technology's core properties—immutability, transparency, decentralization, and cryptographic security—make it particularly suitable for supply chain management, asset tracking, and trust establishment between parties who may not have prior business relationships (Saberi et al., 2019). In recent years, blockchain has been successfully implemented in various industries including food supply chains, pharmaceutical distribution, diamond tracking, and natural gas trading (Kshetri, 2022).</w:t>
      </w:r>
    </w:p>
    <w:p>
      <w:pPr>
        <w:spacing w:after="400"/>
        <w:jc w:val="both"/>
      </w:pPr>
      <w:r>
        <w:rPr>
          <w:rFonts w:ascii="Times New Roman" w:cs="Times New Roman" w:eastAsia="Times New Roman" w:hAnsi="Times New Roman"/>
          <w:sz w:val="24"/>
          <w:szCs w:val="24"/>
        </w:rPr>
        <w:t xml:space="preserve">This capstone project explores the application of blockchain technology to address the specific challenge of gas cylinder exchange in Rwanda. By developing a decentralized application (dApp) that represents physical cylinders and exchange vouchers as blockchain tokens, the project aims to create a transparent, secure, and interoperable platform that can serve multiple gas companies and their customers across the entire country.</w:t>
      </w:r>
    </w:p>
    <w:p>
      <w:pPr>
        <w:pStyle w:val="Heading2"/>
        <w:spacing w:after="240"/>
      </w:pPr>
      <w:r>
        <w:t xml:space="preserve">1.2 Background of the Study</w:t>
      </w:r>
    </w:p>
    <w:p>
      <w:pPr>
        <w:spacing w:after="200"/>
      </w:pPr>
      <w:r>
        <w:rPr>
          <w:rFonts w:ascii="Times New Roman" w:cs="Times New Roman" w:eastAsia="Times New Roman" w:hAnsi="Times New Roman"/>
          <w:b/>
          <w:bCs/>
          <w:sz w:val="24"/>
          <w:szCs w:val="24"/>
        </w:rPr>
        <w:t xml:space="preserve">1.2.1 The LPG Market in Rwanda</w:t>
      </w:r>
    </w:p>
    <w:p>
      <w:pPr>
        <w:spacing w:after="240"/>
        <w:jc w:val="both"/>
      </w:pPr>
      <w:r>
        <w:rPr>
          <w:rFonts w:ascii="Times New Roman" w:cs="Times New Roman" w:eastAsia="Times New Roman" w:hAnsi="Times New Roman"/>
          <w:sz w:val="24"/>
          <w:szCs w:val="24"/>
        </w:rPr>
        <w:t xml:space="preserve">Rwanda has experienced significant growth in LPG consumption, driven by government policies promoting clean cooking fuels and the expansion of distribution networks by both local and international gas companies. Major players in the Rwandan LPG market include SP Rwanda, Oryx Energies, Tahacel Gas, Kigaligas, Hash Gas, Meru Gas, and Jibu Gas, each operating distribution branches across multiple districts (Ministry of Infrastructure Rwanda, 2024). The typical household uses cylinders ranging from 6 kilograms for small families to 12 or 15 kilograms for larger households and commercial establishments.</w:t>
      </w:r>
    </w:p>
    <w:p>
      <w:pPr>
        <w:spacing w:after="200"/>
      </w:pPr>
      <w:r>
        <w:rPr>
          <w:rFonts w:ascii="Times New Roman" w:cs="Times New Roman" w:eastAsia="Times New Roman" w:hAnsi="Times New Roman"/>
          <w:b/>
          <w:bCs/>
          <w:sz w:val="24"/>
          <w:szCs w:val="24"/>
        </w:rPr>
        <w:t xml:space="preserve">1.2.2 The Transportation Challenge</w:t>
      </w:r>
    </w:p>
    <w:p>
      <w:pPr>
        <w:spacing w:after="400"/>
        <w:jc w:val="both"/>
      </w:pPr>
      <w:r>
        <w:rPr>
          <w:rFonts w:ascii="Times New Roman" w:cs="Times New Roman" w:eastAsia="Times New Roman" w:hAnsi="Times New Roman"/>
          <w:sz w:val="24"/>
          <w:szCs w:val="24"/>
        </w:rPr>
        <w:t xml:space="preserve">A critical regulation in Rwanda prohibits the transportation of gas cylinders on public buses due to safety concerns related to potential gas leaks and explosion risks in enclosed passenger vehicles. This regulation, while necessary for public safety, creates a significant burden for citizens who relocate between districts or travel frequently for work. Under the current system, a customer who moves from Kigali to Musanze, for example, cannot legally bring their gas cylinder on the bus. They face two undesirable options: either abandon their cylinder at the source location and purchase a new one at the destination, incurring additional costs, or arrange private transportation at considerable expense.</w:t>
      </w:r>
    </w:p>
    <w:p>
      <w:pPr>
        <w:pStyle w:val="Heading2"/>
        <w:spacing w:after="240"/>
      </w:pPr>
      <w:r>
        <w:t xml:space="preserve">1.3 Problem Statement</w:t>
      </w:r>
    </w:p>
    <w:p>
      <w:pPr>
        <w:spacing w:after="240"/>
        <w:jc w:val="both"/>
      </w:pPr>
      <w:r>
        <w:rPr>
          <w:rFonts w:ascii="Times New Roman" w:cs="Times New Roman" w:eastAsia="Times New Roman" w:hAnsi="Times New Roman"/>
          <w:b/>
          <w:bCs/>
          <w:sz w:val="24"/>
          <w:szCs w:val="24"/>
        </w:rPr>
        <w:t xml:space="preserve">Context: </w:t>
      </w:r>
      <w:r>
        <w:rPr>
          <w:rFonts w:ascii="Times New Roman" w:cs="Times New Roman" w:eastAsia="Times New Roman" w:hAnsi="Times New Roman"/>
          <w:sz w:val="24"/>
          <w:szCs w:val="24"/>
        </w:rPr>
        <w:t xml:space="preserve">The problem addressed by this research exists at the intersection of regulatory compliance, consumer convenience, and technological infrastructure in Rwanda's LPG distribution sector. With over 30 districts and multiple gas companies operating nationwide, the lack of a standardized, transparent, and secure cylinder exchange system affects hundreds of thousands of LPG consumers who travel between districts.</w:t>
      </w:r>
    </w:p>
    <w:p>
      <w:pPr>
        <w:spacing w:after="240"/>
        <w:jc w:val="both"/>
      </w:pPr>
      <w:r>
        <w:rPr>
          <w:rFonts w:ascii="Times New Roman" w:cs="Times New Roman" w:eastAsia="Times New Roman" w:hAnsi="Times New Roman"/>
          <w:b/>
          <w:bCs/>
          <w:sz w:val="24"/>
          <w:szCs w:val="24"/>
        </w:rPr>
        <w:t xml:space="preserve">Problem Description: </w:t>
      </w:r>
      <w:r>
        <w:rPr>
          <w:rFonts w:ascii="Times New Roman" w:cs="Times New Roman" w:eastAsia="Times New Roman" w:hAnsi="Times New Roman"/>
          <w:sz w:val="24"/>
          <w:szCs w:val="24"/>
        </w:rPr>
        <w:t xml:space="preserve">Currently, citizens of Rwanda who use LPG for cooking face significant inconvenience when traveling between districts due to the legal prohibition on transporting gas cylinders on public buses. The existing voucher systems implemented by individual gas companies are fragmented, centralized, and lack the transparency and security features necessary to build trust between customers, branch staff, and company management.</w:t>
      </w:r>
    </w:p>
    <w:p>
      <w:pPr>
        <w:spacing w:after="240"/>
        <w:jc w:val="both"/>
      </w:pPr>
      <w:r>
        <w:rPr>
          <w:rFonts w:ascii="Times New Roman" w:cs="Times New Roman" w:eastAsia="Times New Roman" w:hAnsi="Times New Roman"/>
          <w:b/>
          <w:bCs/>
          <w:sz w:val="24"/>
          <w:szCs w:val="24"/>
        </w:rPr>
        <w:t xml:space="preserve">Evidence: </w:t>
      </w:r>
      <w:r>
        <w:rPr>
          <w:rFonts w:ascii="Times New Roman" w:cs="Times New Roman" w:eastAsia="Times New Roman" w:hAnsi="Times New Roman"/>
          <w:sz w:val="24"/>
          <w:szCs w:val="24"/>
        </w:rPr>
        <w:t xml:space="preserve">According to data from the Rwanda Utilities Regulatory Authority (RURA), over 450,000 households in Rwanda use LPG as their primary cooking fuel, with an annual growth rate of approximately 15% (RURA, 2023). A survey conducted among 200 LPG users in Kigali revealed that 67% had experienced the need to transport a gas cylinder between districts at least once in the past year.</w:t>
      </w:r>
    </w:p>
    <w:p>
      <w:pPr>
        <w:spacing w:after="240"/>
        <w:jc w:val="both"/>
      </w:pPr>
      <w:r>
        <w:rPr>
          <w:rFonts w:ascii="Times New Roman" w:cs="Times New Roman" w:eastAsia="Times New Roman" w:hAnsi="Times New Roman"/>
          <w:b/>
          <w:bCs/>
          <w:sz w:val="24"/>
          <w:szCs w:val="24"/>
        </w:rPr>
        <w:t xml:space="preserve">Gap: </w:t>
      </w:r>
      <w:r>
        <w:rPr>
          <w:rFonts w:ascii="Times New Roman" w:cs="Times New Roman" w:eastAsia="Times New Roman" w:hAnsi="Times New Roman"/>
          <w:sz w:val="24"/>
          <w:szCs w:val="24"/>
        </w:rPr>
        <w:t xml:space="preserve">While blockchain technology has been applied to various supply chain scenarios globally, there is a notable gap in both academic literature and practical implementations regarding its application to LPG cylinder management in developing countries.</w:t>
      </w:r>
    </w:p>
    <w:p>
      <w:pPr>
        <w:spacing w:after="400"/>
        <w:jc w:val="both"/>
      </w:pPr>
      <w:r>
        <w:rPr>
          <w:rFonts w:ascii="Times New Roman" w:cs="Times New Roman" w:eastAsia="Times New Roman" w:hAnsi="Times New Roman"/>
          <w:b/>
          <w:bCs/>
          <w:sz w:val="24"/>
          <w:szCs w:val="24"/>
        </w:rPr>
        <w:t xml:space="preserve">Consequences: </w:t>
      </w:r>
      <w:r>
        <w:rPr>
          <w:rFonts w:ascii="Times New Roman" w:cs="Times New Roman" w:eastAsia="Times New Roman" w:hAnsi="Times New Roman"/>
          <w:sz w:val="24"/>
          <w:szCs w:val="24"/>
        </w:rPr>
        <w:t xml:space="preserve">If this problem remains unaddressed, consumers will continue to face unnecessary costs and inconvenience, potentially discouraging the adoption of LPG in favor of environmentally harmful alternatives such as charcoal.</w:t>
      </w:r>
    </w:p>
    <w:p>
      <w:pPr>
        <w:pStyle w:val="Heading2"/>
        <w:spacing w:after="240"/>
      </w:pPr>
      <w:r>
        <w:t xml:space="preserve">1.4 Research Objectives</w:t>
      </w:r>
    </w:p>
    <w:p>
      <w:pPr>
        <w:spacing w:after="240"/>
        <w:jc w:val="both"/>
      </w:pPr>
      <w:r>
        <w:rPr>
          <w:rFonts w:ascii="Times New Roman" w:cs="Times New Roman" w:eastAsia="Times New Roman" w:hAnsi="Times New Roman"/>
          <w:b/>
          <w:bCs/>
          <w:sz w:val="24"/>
          <w:szCs w:val="24"/>
        </w:rPr>
        <w:t xml:space="preserve">General Objective: </w:t>
      </w:r>
      <w:r>
        <w:rPr>
          <w:rFonts w:ascii="Times New Roman" w:cs="Times New Roman" w:eastAsia="Times New Roman" w:hAnsi="Times New Roman"/>
          <w:sz w:val="24"/>
          <w:szCs w:val="24"/>
        </w:rPr>
        <w:t xml:space="preserve">To design, develop, and evaluate a blockchain-based decentralized application (dApp) for smart gas cylinder exchange that enables secure, transparent, and interoperable voucher management across multiple gas companies and districts in Rwanda.</w:t>
      </w:r>
    </w:p>
    <w:p>
      <w:pPr>
        <w:spacing w:after="120"/>
      </w:pPr>
      <w:r>
        <w:rPr>
          <w:rFonts w:ascii="Times New Roman" w:cs="Times New Roman" w:eastAsia="Times New Roman" w:hAnsi="Times New Roman"/>
          <w:b/>
          <w:bCs/>
          <w:sz w:val="24"/>
          <w:szCs w:val="24"/>
        </w:rPr>
        <w:t xml:space="preserve">Specific Objectives:</w:t>
      </w:r>
    </w:p>
    <w:p>
      <w:pPr>
        <w:spacing w:after="120"/>
        <w:ind w:left="720"/>
      </w:pPr>
      <w:r>
        <w:rPr>
          <w:rFonts w:ascii="Times New Roman" w:cs="Times New Roman" w:eastAsia="Times New Roman" w:hAnsi="Times New Roman"/>
          <w:sz w:val="24"/>
          <w:szCs w:val="24"/>
        </w:rPr>
        <w:t xml:space="preserve">1. To analyze existing blockchain implementations in supply chain management and LPG distribution sectors, identifying best practices and lessons learned.</w:t>
      </w:r>
    </w:p>
    <w:p>
      <w:pPr>
        <w:spacing w:after="120"/>
        <w:ind w:left="720"/>
      </w:pPr>
      <w:r>
        <w:rPr>
          <w:rFonts w:ascii="Times New Roman" w:cs="Times New Roman" w:eastAsia="Times New Roman" w:hAnsi="Times New Roman"/>
          <w:sz w:val="24"/>
          <w:szCs w:val="24"/>
        </w:rPr>
        <w:t xml:space="preserve">2. To design a comprehensive smart contract architecture that represents physical cylinders and exchange vouchers as blockchain tokens.</w:t>
      </w:r>
    </w:p>
    <w:p>
      <w:pPr>
        <w:spacing w:after="120"/>
        <w:ind w:left="720"/>
      </w:pPr>
      <w:r>
        <w:rPr>
          <w:rFonts w:ascii="Times New Roman" w:cs="Times New Roman" w:eastAsia="Times New Roman" w:hAnsi="Times New Roman"/>
          <w:sz w:val="24"/>
          <w:szCs w:val="24"/>
        </w:rPr>
        <w:t xml:space="preserve">3. To develop a user-friendly decentralized application (dApp) with separate interfaces for customers, branch staff, and company administrators.</w:t>
      </w:r>
    </w:p>
    <w:p>
      <w:pPr>
        <w:spacing w:after="120"/>
        <w:ind w:left="720"/>
      </w:pPr>
      <w:r>
        <w:rPr>
          <w:rFonts w:ascii="Times New Roman" w:cs="Times New Roman" w:eastAsia="Times New Roman" w:hAnsi="Times New Roman"/>
          <w:sz w:val="24"/>
          <w:szCs w:val="24"/>
        </w:rPr>
        <w:t xml:space="preserve">4. To implement decentralized storage and indexing solutions using IPFS and The Graph protocol.</w:t>
      </w:r>
    </w:p>
    <w:p>
      <w:pPr>
        <w:spacing w:after="400"/>
        <w:ind w:left="720"/>
      </w:pPr>
      <w:r>
        <w:rPr>
          <w:rFonts w:ascii="Times New Roman" w:cs="Times New Roman" w:eastAsia="Times New Roman" w:hAnsi="Times New Roman"/>
          <w:sz w:val="24"/>
          <w:szCs w:val="24"/>
        </w:rPr>
        <w:t xml:space="preserve">5. To evaluate the system's performance, security, and usability through functional testing and user acceptance testing.</w:t>
      </w:r>
    </w:p>
    <w:p>
      <w:pPr>
        <w:pStyle w:val="Heading2"/>
        <w:spacing w:after="240"/>
      </w:pPr>
      <w:r>
        <w:t xml:space="preserve">1.5 Research Questions</w:t>
      </w:r>
    </w:p>
    <w:p>
      <w:pPr>
        <w:spacing w:after="120"/>
        <w:ind w:left="720"/>
      </w:pPr>
      <w:r>
        <w:rPr>
          <w:rFonts w:ascii="Times New Roman" w:cs="Times New Roman" w:eastAsia="Times New Roman" w:hAnsi="Times New Roman"/>
          <w:sz w:val="24"/>
          <w:szCs w:val="24"/>
        </w:rPr>
        <w:t xml:space="preserve">1. What are the key architectural patterns and design principles employed in successful blockchain implementations for supply chain management?</w:t>
      </w:r>
    </w:p>
    <w:p>
      <w:pPr>
        <w:spacing w:after="120"/>
        <w:ind w:left="720"/>
      </w:pPr>
      <w:r>
        <w:rPr>
          <w:rFonts w:ascii="Times New Roman" w:cs="Times New Roman" w:eastAsia="Times New Roman" w:hAnsi="Times New Roman"/>
          <w:sz w:val="24"/>
          <w:szCs w:val="24"/>
        </w:rPr>
        <w:t xml:space="preserve">2. How can smart contracts be designed to effectively represent the lifecycle of gas cylinder exchange vouchers?</w:t>
      </w:r>
    </w:p>
    <w:p>
      <w:pPr>
        <w:spacing w:after="120"/>
        <w:ind w:left="720"/>
      </w:pPr>
      <w:r>
        <w:rPr>
          <w:rFonts w:ascii="Times New Roman" w:cs="Times New Roman" w:eastAsia="Times New Roman" w:hAnsi="Times New Roman"/>
          <w:sz w:val="24"/>
          <w:szCs w:val="24"/>
        </w:rPr>
        <w:t xml:space="preserve">3. What user interface design considerations are necessary to ensure adoption of blockchain-based solutions?</w:t>
      </w:r>
    </w:p>
    <w:p>
      <w:pPr>
        <w:spacing w:after="120"/>
        <w:ind w:left="720"/>
      </w:pPr>
      <w:r>
        <w:rPr>
          <w:rFonts w:ascii="Times New Roman" w:cs="Times New Roman" w:eastAsia="Times New Roman" w:hAnsi="Times New Roman"/>
          <w:sz w:val="24"/>
          <w:szCs w:val="24"/>
        </w:rPr>
        <w:t xml:space="preserve">4. How does the performance of a blockchain-based voucher system compare to traditional centralized solutions?</w:t>
      </w:r>
    </w:p>
    <w:p>
      <w:pPr>
        <w:spacing w:after="400"/>
        <w:ind w:left="720"/>
      </w:pPr>
      <w:r>
        <w:rPr>
          <w:rFonts w:ascii="Times New Roman" w:cs="Times New Roman" w:eastAsia="Times New Roman" w:hAnsi="Times New Roman"/>
          <w:sz w:val="24"/>
          <w:szCs w:val="24"/>
        </w:rPr>
        <w:t xml:space="preserve">5. What governance mechanisms are required to enable multiple competing gas companies to participate in a shared blockchain platform?</w:t>
      </w:r>
    </w:p>
    <w:p>
      <w:pPr>
        <w:pStyle w:val="Heading2"/>
        <w:spacing w:after="240"/>
      </w:pPr>
      <w:r>
        <w:t xml:space="preserve">1.6 Scope and Delimitations</w:t>
      </w:r>
    </w:p>
    <w:p>
      <w:pPr>
        <w:spacing w:after="240"/>
        <w:jc w:val="both"/>
      </w:pPr>
      <w:r>
        <w:rPr>
          <w:rFonts w:ascii="Times New Roman" w:cs="Times New Roman" w:eastAsia="Times New Roman" w:hAnsi="Times New Roman"/>
          <w:sz w:val="24"/>
          <w:szCs w:val="24"/>
        </w:rPr>
        <w:t xml:space="preserve">This research encompasses the development of smart contracts for cylinder registration, voucher management, company management, and access control, deployed on the Polygon test network. It includes development of a React-based frontend application with MetaMask integration, QR code scanning capabilities, and responsive design. The project integrates with IPFS for decentralized storage and The Graph for efficient querying of blockchain events.</w:t>
      </w:r>
    </w:p>
    <w:p>
      <w:pPr>
        <w:spacing w:after="400"/>
        <w:jc w:val="both"/>
      </w:pPr>
      <w:r>
        <w:rPr>
          <w:rFonts w:ascii="Times New Roman" w:cs="Times New Roman" w:eastAsia="Times New Roman" w:hAnsi="Times New Roman"/>
          <w:sz w:val="24"/>
          <w:szCs w:val="24"/>
        </w:rPr>
        <w:t xml:space="preserve">This research does not include deployment on Ethereum mainnet, integration with actual gas company databases, implementation of cross-company exchange functionality, or mobile application development for iOS or Android platforms.</w:t>
      </w:r>
    </w:p>
    <w:p>
      <w:pPr>
        <w:pStyle w:val="Heading2"/>
        <w:spacing w:after="240"/>
      </w:pPr>
      <w:r>
        <w:t xml:space="preserve">1.7 Significance of the Study</w:t>
      </w:r>
    </w:p>
    <w:p>
      <w:pPr>
        <w:spacing w:after="200"/>
        <w:jc w:val="both"/>
      </w:pPr>
      <w:r>
        <w:rPr>
          <w:rFonts w:ascii="Times New Roman" w:cs="Times New Roman" w:eastAsia="Times New Roman" w:hAnsi="Times New Roman"/>
          <w:b/>
          <w:bCs/>
          <w:sz w:val="24"/>
          <w:szCs w:val="24"/>
        </w:rPr>
        <w:t xml:space="preserve">Academic Contribution: </w:t>
      </w:r>
      <w:r>
        <w:rPr>
          <w:rFonts w:ascii="Times New Roman" w:cs="Times New Roman" w:eastAsia="Times New Roman" w:hAnsi="Times New Roman"/>
          <w:sz w:val="24"/>
          <w:szCs w:val="24"/>
        </w:rPr>
        <w:t xml:space="preserve">This research contributes to the growing body of knowledge on blockchain applications in developing country contexts, providing a detailed case study for future researchers.</w:t>
      </w:r>
    </w:p>
    <w:p>
      <w:pPr>
        <w:spacing w:after="200"/>
        <w:jc w:val="both"/>
      </w:pPr>
      <w:r>
        <w:rPr>
          <w:rFonts w:ascii="Times New Roman" w:cs="Times New Roman" w:eastAsia="Times New Roman" w:hAnsi="Times New Roman"/>
          <w:b/>
          <w:bCs/>
          <w:sz w:val="24"/>
          <w:szCs w:val="24"/>
        </w:rPr>
        <w:t xml:space="preserve">Practical Contribution: </w:t>
      </w:r>
      <w:r>
        <w:rPr>
          <w:rFonts w:ascii="Times New Roman" w:cs="Times New Roman" w:eastAsia="Times New Roman" w:hAnsi="Times New Roman"/>
          <w:sz w:val="24"/>
          <w:szCs w:val="24"/>
        </w:rPr>
        <w:t xml:space="preserve">The prototype can serve as a proof-of-concept for gas companies considering blockchain adoption, with an open-source codebase enabling adaptation for different markets.</w:t>
      </w:r>
    </w:p>
    <w:p>
      <w:pPr>
        <w:spacing w:after="200"/>
        <w:jc w:val="both"/>
      </w:pPr>
      <w:r>
        <w:rPr>
          <w:rFonts w:ascii="Times New Roman" w:cs="Times New Roman" w:eastAsia="Times New Roman" w:hAnsi="Times New Roman"/>
          <w:b/>
          <w:bCs/>
          <w:sz w:val="24"/>
          <w:szCs w:val="24"/>
        </w:rPr>
        <w:t xml:space="preserve">Social Contribution: </w:t>
      </w:r>
      <w:r>
        <w:rPr>
          <w:rFonts w:ascii="Times New Roman" w:cs="Times New Roman" w:eastAsia="Times New Roman" w:hAnsi="Times New Roman"/>
          <w:sz w:val="24"/>
          <w:szCs w:val="24"/>
        </w:rPr>
        <w:t xml:space="preserve">By reducing friction in gas cylinder exchange, this project can improve quality of life for Rwandan citizens and accelerate the transition away from biomass fuels.</w:t>
      </w:r>
    </w:p>
    <w:p>
      <w:r>
        <w:br w:type="page"/>
      </w:r>
    </w:p>
    <w:p>
      <w:pPr>
        <w:pStyle w:val="Heading1"/>
        <w:spacing w:after="400"/>
      </w:pPr>
      <w:r>
        <w:t xml:space="preserve">CHAPTER TWO: LITERATURE REVIEW</w:t>
      </w:r>
    </w:p>
    <w:p>
      <w:pPr>
        <w:pStyle w:val="Heading2"/>
        <w:spacing w:after="240"/>
      </w:pPr>
      <w:r>
        <w:t xml:space="preserve">2.1 Introduction</w:t>
      </w:r>
    </w:p>
    <w:p>
      <w:pPr>
        <w:spacing w:after="400"/>
        <w:jc w:val="both"/>
      </w:pPr>
      <w:r>
        <w:rPr>
          <w:rFonts w:ascii="Times New Roman" w:cs="Times New Roman" w:eastAsia="Times New Roman" w:hAnsi="Times New Roman"/>
          <w:sz w:val="24"/>
          <w:szCs w:val="24"/>
        </w:rPr>
        <w:t xml:space="preserve">This chapter provides a comprehensive review of the literature relevant to blockchain-based gas cylinder management systems. The review is organized thematically, beginning with the theoretical foundations of blockchain technology, progressing through its applications in supply chain management, and concluding with an analysis of existing implementations in the LPG sector.</w:t>
      </w:r>
    </w:p>
    <w:p>
      <w:pPr>
        <w:pStyle w:val="Heading2"/>
        <w:spacing w:after="240"/>
      </w:pPr>
      <w:r>
        <w:t xml:space="preserve">2.2 Theoretical Framework</w:t>
      </w:r>
    </w:p>
    <w:p>
      <w:pPr>
        <w:spacing w:after="240"/>
        <w:jc w:val="both"/>
      </w:pPr>
      <w:r>
        <w:rPr>
          <w:rFonts w:ascii="Times New Roman" w:cs="Times New Roman" w:eastAsia="Times New Roman" w:hAnsi="Times New Roman"/>
          <w:sz w:val="24"/>
          <w:szCs w:val="24"/>
        </w:rPr>
        <w:t xml:space="preserve">Distributed Ledger Technology (DLT) refers to systems that maintain shared, replicated databases across multiple nodes without a central administrator (Natarajan et al., 2017). Blockchain is the most prominent implementation of DLT, characterized by the organization of transactions into blocks that are cryptographically linked in a chain. The theoretical properties include immutability (once recorded, transactions cannot be altered), transparency (all transactions visible to participants), decentralization (no single controlling authority), and programmability (smart contracts enable automated business logic).</w:t>
      </w:r>
    </w:p>
    <w:p>
      <w:pPr>
        <w:spacing w:after="400"/>
        <w:jc w:val="both"/>
      </w:pPr>
      <w:r>
        <w:rPr>
          <w:rFonts w:ascii="Times New Roman" w:cs="Times New Roman" w:eastAsia="Times New Roman" w:hAnsi="Times New Roman"/>
          <w:sz w:val="24"/>
          <w:szCs w:val="24"/>
        </w:rPr>
        <w:t xml:space="preserve">Smart contracts, as conceptualized by Nick Szabo in 1994 and implemented in Ethereum by Vitalik Buterin in 2015, are self-executing programs stored on the blockchain that automatically enforce agreement terms when predefined conditions are met (Buterin, 2014). The ERC-721 standard provides a framework for representing unique assets as Non-Fungible Tokens (NFTs), directly applicable to representing individual gas cylinders on the blockchain (Entriken et al., 2018).</w:t>
      </w:r>
    </w:p>
    <w:p>
      <w:pPr>
        <w:pStyle w:val="Heading2"/>
        <w:spacing w:after="240"/>
      </w:pPr>
      <w:r>
        <w:t xml:space="preserve">2.3 Blockchain in Supply Chain Management</w:t>
      </w:r>
    </w:p>
    <w:p>
      <w:pPr>
        <w:spacing w:after="400"/>
        <w:jc w:val="both"/>
      </w:pPr>
      <w:r>
        <w:rPr>
          <w:rFonts w:ascii="Times New Roman" w:cs="Times New Roman" w:eastAsia="Times New Roman" w:hAnsi="Times New Roman"/>
          <w:sz w:val="24"/>
          <w:szCs w:val="24"/>
        </w:rPr>
        <w:t xml:space="preserve">Blockchain technology has been widely recognized for enhancing transparency and traceability in supply chains. Kshetri (2018) identifies four mechanisms: disintermediation, enhanced cybersecurity, verification of claims, and real-time visibility. Saberi et al. (2019) found that the most common use cases involve tracking product provenance from origin to consumption. The IBM Food Trust platform demonstrates practical viability, enabling tracking of food products from farm to store shelf and reducing contamination trace time from days to seconds (Hyperledger Foundation, 2020).</w:t>
      </w:r>
    </w:p>
    <w:p>
      <w:pPr>
        <w:pStyle w:val="Heading2"/>
        <w:spacing w:after="240"/>
      </w:pPr>
      <w:r>
        <w:t xml:space="preserve">2.4 Blockchain in LPG and Natural Gas Distribution</w:t>
      </w:r>
    </w:p>
    <w:p>
      <w:pPr>
        <w:spacing w:after="400"/>
        <w:jc w:val="both"/>
      </w:pPr>
      <w:r>
        <w:rPr>
          <w:rFonts w:ascii="Times New Roman" w:cs="Times New Roman" w:eastAsia="Times New Roman" w:hAnsi="Times New Roman"/>
          <w:sz w:val="24"/>
          <w:szCs w:val="24"/>
        </w:rPr>
        <w:t xml:space="preserve">Xiao et al. (2021) developed a blockchain-powered secure natural gas IoT system for smart city applications, published in IEEE Internet of Things Journal. Their system combines AI for demand prediction with blockchain for secure transaction recording. The SOCAR case study (MDPI Energies, 2022) identified six primary blockchain applications in natural gas: pipeline monitoring, asset lifecycle management, staff certification, billing, shipment tracking, and regulatory compliance. Nugroho (2025) examined blockchain for subsidized LPG distribution in Medan, Indonesia, finding improved transparency and reduced distribution discrepancies.</w:t>
      </w:r>
    </w:p>
    <w:p>
      <w:pPr>
        <w:pStyle w:val="Heading2"/>
        <w:spacing w:after="240"/>
      </w:pPr>
      <w:r>
        <w:t xml:space="preserve">2.5 Research Gap Analysis</w:t>
      </w:r>
    </w:p>
    <w:p>
      <w:pPr>
        <w:spacing w:after="400"/>
        <w:jc w:val="both"/>
      </w:pPr>
      <w:r>
        <w:rPr>
          <w:rFonts w:ascii="Times New Roman" w:cs="Times New Roman" w:eastAsia="Times New Roman" w:hAnsi="Times New Roman"/>
          <w:sz w:val="24"/>
          <w:szCs w:val="24"/>
        </w:rPr>
        <w:t xml:space="preserve">The literature review reveals several gaps: (1) Geographic Gap - no published research on blockchain applications for retail LPG distribution in East Africa; (2) Use Case Gap - the specific use case of cross-district cylinder exchange with voucher-based redemption has not been addressed; (3) Technology Gap - limited practical guidance on using Layer 2 solutions like Polygon for gas industry applications; (4) Interoperability Gap - no existing solution addresses creating a shared platform for multiple competing gas companies. This research addresses these gaps by developing and evaluating a practical prototype for the Rwandan LPG market.</w:t>
      </w:r>
    </w:p>
    <w:p>
      <w:r>
        <w:br w:type="page"/>
      </w:r>
    </w:p>
    <w:p>
      <w:pPr>
        <w:pStyle w:val="Heading1"/>
        <w:spacing w:after="400"/>
      </w:pPr>
      <w:r>
        <w:t xml:space="preserve">CHAPTER THREE: RESEARCH METHODOLOGY</w:t>
      </w:r>
    </w:p>
    <w:p>
      <w:pPr>
        <w:pStyle w:val="Heading2"/>
        <w:spacing w:after="240"/>
      </w:pPr>
      <w:r>
        <w:t xml:space="preserve">3.1 Research Design</w:t>
      </w:r>
    </w:p>
    <w:p>
      <w:pPr>
        <w:spacing w:after="400"/>
        <w:jc w:val="both"/>
      </w:pPr>
      <w:r>
        <w:rPr>
          <w:rFonts w:ascii="Times New Roman" w:cs="Times New Roman" w:eastAsia="Times New Roman" w:hAnsi="Times New Roman"/>
          <w:sz w:val="24"/>
          <w:szCs w:val="24"/>
        </w:rPr>
        <w:t xml:space="preserve">This research employs a mixed-methods approach combining qualitative analysis with quantitative evaluation within a design science research framework. Design science research is appropriate because it focuses on creating and evaluating artifacts (smart contracts and dApp) to solve identified problems (Hevner et al., 2004). The research is grounded in pragmatism, emphasizing practical consequences as criteria for evaluating knowledge claims.</w:t>
      </w:r>
    </w:p>
    <w:p>
      <w:pPr>
        <w:pStyle w:val="Heading2"/>
        <w:spacing w:after="240"/>
      </w:pPr>
      <w:r>
        <w:t xml:space="preserve">3.2 System Development Methodology</w:t>
      </w:r>
    </w:p>
    <w:p>
      <w:pPr>
        <w:spacing w:after="400"/>
        <w:jc w:val="both"/>
      </w:pPr>
      <w:r>
        <w:rPr>
          <w:rFonts w:ascii="Times New Roman" w:cs="Times New Roman" w:eastAsia="Times New Roman" w:hAnsi="Times New Roman"/>
          <w:sz w:val="24"/>
          <w:szCs w:val="24"/>
        </w:rPr>
        <w:t xml:space="preserve">The development follows an adapted Agile methodology suitable for blockchain projects. Smart contract immutability requires more thorough upfront design and testing than typical web applications. The development process consists of four phases: Phase 1 - Analysis and Design (4 weeks); Phase 2 - Smart Contract Development (6 weeks); Phase 3 - Frontend Development (6 weeks); Phase 4 - Testing and Refinement (4 weeks).</w:t>
      </w:r>
    </w:p>
    <w:p>
      <w:pPr>
        <w:pStyle w:val="Heading2"/>
        <w:spacing w:after="240"/>
      </w:pPr>
      <w:r>
        <w:t xml:space="preserve">3.3 System Architecture</w:t>
      </w:r>
    </w:p>
    <w:p>
      <w:pPr>
        <w:spacing w:after="400"/>
        <w:jc w:val="both"/>
      </w:pPr>
      <w:r>
        <w:rPr>
          <w:rFonts w:ascii="Times New Roman" w:cs="Times New Roman" w:eastAsia="Times New Roman" w:hAnsi="Times New Roman"/>
          <w:sz w:val="24"/>
          <w:szCs w:val="24"/>
        </w:rPr>
        <w:t xml:space="preserve">The system follows a three-tier decentralized architecture: (1) Presentation Layer - React-based single-page application providing user interfaces for customers, staff, and administrators; (2) Business Logic Layer - Smart contracts on Polygon implementing core business rules; (3) Data Layer - Blockchain for transactions, IPFS for file storage, and The Graph for indexing. The smart contract layer consists of six interconnected contracts: AccessControl.sol, CylinderRegistry.sol (ERC-721), VoucherManager.sol (ERC-721), CompanyManager.sol, and PaymentProcessor.sol.</w:t>
      </w:r>
    </w:p>
    <w:p>
      <w:pPr>
        <w:pStyle w:val="Heading2"/>
        <w:spacing w:after="240"/>
      </w:pPr>
      <w:r>
        <w:t xml:space="preserve">3.4 Tools and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sz w:val="22"/>
                <w:szCs w:val="22"/>
              </w:rPr>
              <w:t xml:space="preserve">Category</w:t>
            </w:r>
          </w:p>
        </w:tc>
        <w:tc>
          <w:p>
            <w:r>
              <w:rPr>
                <w:b/>
                <w:bCs/>
                <w:sz w:val="22"/>
                <w:szCs w:val="22"/>
              </w:rPr>
              <w:t xml:space="preserve">Technology</w:t>
            </w:r>
          </w:p>
        </w:tc>
        <w:tc>
          <w:p>
            <w:r>
              <w:rPr>
                <w:b/>
                <w:bCs/>
                <w:sz w:val="22"/>
                <w:szCs w:val="22"/>
              </w:rPr>
              <w:t xml:space="preserve">Justification</w:t>
            </w:r>
          </w:p>
        </w:tc>
      </w:tr>
      <w:tr>
        <w:tc>
          <w:p>
            <w:r>
              <w:rPr>
                <w:sz w:val="22"/>
                <w:szCs w:val="22"/>
              </w:rPr>
              <w:t xml:space="preserve">Smart Contracts</w:t>
            </w:r>
          </w:p>
        </w:tc>
        <w:tc>
          <w:p>
            <w:r>
              <w:rPr>
                <w:sz w:val="22"/>
                <w:szCs w:val="22"/>
              </w:rPr>
              <w:t xml:space="preserve">Solidity 0.8.x, Hardhat</w:t>
            </w:r>
          </w:p>
        </w:tc>
        <w:tc>
          <w:p>
            <w:r>
              <w:rPr>
                <w:sz w:val="22"/>
                <w:szCs w:val="22"/>
              </w:rPr>
              <w:t xml:space="preserve">Industry standard, mature tooling</w:t>
            </w:r>
          </w:p>
        </w:tc>
      </w:tr>
      <w:tr>
        <w:tc>
          <w:p>
            <w:r>
              <w:rPr>
                <w:sz w:val="22"/>
                <w:szCs w:val="22"/>
              </w:rPr>
              <w:t xml:space="preserve">Blockchain Network</w:t>
            </w:r>
          </w:p>
        </w:tc>
        <w:tc>
          <w:p>
            <w:r>
              <w:rPr>
                <w:sz w:val="22"/>
                <w:szCs w:val="22"/>
              </w:rPr>
              <w:t xml:space="preserve">Polygon</w:t>
            </w:r>
          </w:p>
        </w:tc>
        <w:tc>
          <w:p>
            <w:r>
              <w:rPr>
                <w:sz w:val="22"/>
                <w:szCs w:val="22"/>
              </w:rPr>
              <w:t xml:space="preserve">Low costs, fast confirmations</w:t>
            </w:r>
          </w:p>
        </w:tc>
      </w:tr>
      <w:tr>
        <w:tc>
          <w:p>
            <w:r>
              <w:rPr>
                <w:sz w:val="22"/>
                <w:szCs w:val="22"/>
              </w:rPr>
              <w:t xml:space="preserve">Frontend</w:t>
            </w:r>
          </w:p>
        </w:tc>
        <w:tc>
          <w:p>
            <w:r>
              <w:rPr>
                <w:sz w:val="22"/>
                <w:szCs w:val="22"/>
              </w:rPr>
              <w:t xml:space="preserve">Next.js 14, Ethers.js v6</w:t>
            </w:r>
          </w:p>
        </w:tc>
        <w:tc>
          <w:p>
            <w:r>
              <w:rPr>
                <w:sz w:val="22"/>
                <w:szCs w:val="22"/>
              </w:rPr>
              <w:t xml:space="preserve">Modern API, TypeScript support</w:t>
            </w:r>
          </w:p>
        </w:tc>
      </w:tr>
      <w:tr>
        <w:tc>
          <w:p>
            <w:r>
              <w:rPr>
                <w:sz w:val="22"/>
                <w:szCs w:val="22"/>
              </w:rPr>
              <w:t xml:space="preserve">Storage</w:t>
            </w:r>
          </w:p>
        </w:tc>
        <w:tc>
          <w:p>
            <w:r>
              <w:rPr>
                <w:sz w:val="22"/>
                <w:szCs w:val="22"/>
              </w:rPr>
              <w:t xml:space="preserve">IPFS, The Graph</w:t>
            </w:r>
          </w:p>
        </w:tc>
        <w:tc>
          <w:p>
            <w:r>
              <w:rPr>
                <w:sz w:val="22"/>
                <w:szCs w:val="22"/>
              </w:rPr>
              <w:t xml:space="preserve">Decentralized, content-addressed</w:t>
            </w:r>
          </w:p>
        </w:tc>
      </w:tr>
    </w:tbl>
    <w:p>
      <w:pPr>
        <w:spacing w:after="400"/>
      </w:pPr>
    </w:p>
    <w:p>
      <w:pPr>
        <w:pStyle w:val="Heading2"/>
        <w:spacing w:after="240"/>
      </w:pPr>
      <w:r>
        <w:t xml:space="preserve">3.5 Testing and Validation</w:t>
      </w:r>
    </w:p>
    <w:p>
      <w:pPr>
        <w:spacing w:after="400"/>
        <w:jc w:val="both"/>
      </w:pPr>
      <w:r>
        <w:rPr>
          <w:rFonts w:ascii="Times New Roman" w:cs="Times New Roman" w:eastAsia="Times New Roman" w:hAnsi="Times New Roman"/>
          <w:sz w:val="24"/>
          <w:szCs w:val="24"/>
        </w:rPr>
        <w:t xml:space="preserve">Testing includes: (1) Unit Testing - each smart contract function tested for normal operation, edge cases, and error cases using Chai/Mocha; (2) Integration Testing - verification of interaction between contracts and frontend; (3) Security Analysis - Slither static analyzer for vulnerability detection plus manual review against SWC registry; (4) User Acceptance Testing - 15 participants from different user groups evaluating through guided task completion.</w:t>
      </w:r>
    </w:p>
    <w:p>
      <w:r>
        <w:br w:type="page"/>
      </w:r>
    </w:p>
    <w:p>
      <w:pPr>
        <w:pStyle w:val="Heading1"/>
        <w:spacing w:after="400"/>
      </w:pPr>
      <w:r>
        <w:t xml:space="preserve">CHAPTER FOUR: WORK PLAN, BUDGET, AND FEASIBILITY</w:t>
      </w:r>
    </w:p>
    <w:p>
      <w:pPr>
        <w:pStyle w:val="Heading2"/>
        <w:spacing w:after="240"/>
      </w:pPr>
      <w:r>
        <w:t xml:space="preserve">4.1 Project Timeline</w:t>
      </w:r>
    </w:p>
    <w:p>
      <w:pPr>
        <w:spacing w:after="200"/>
      </w:pPr>
      <w:r>
        <w:rPr>
          <w:rFonts w:ascii="Times New Roman" w:cs="Times New Roman" w:eastAsia="Times New Roman" w:hAnsi="Times New Roman"/>
          <w:sz w:val="24"/>
          <w:szCs w:val="24"/>
        </w:rPr>
        <w:t xml:space="preserve">The project spans 20 weeks (one academic semester), divided into five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sz w:val="22"/>
                <w:szCs w:val="22"/>
              </w:rPr>
              <w:t xml:space="preserve">Phase</w:t>
            </w:r>
          </w:p>
        </w:tc>
        <w:tc>
          <w:p>
            <w:r>
              <w:rPr>
                <w:b/>
                <w:bCs/>
                <w:sz w:val="22"/>
                <w:szCs w:val="22"/>
              </w:rPr>
              <w:t xml:space="preserve">Duration</w:t>
            </w:r>
          </w:p>
        </w:tc>
        <w:tc>
          <w:p>
            <w:r>
              <w:rPr>
                <w:b/>
                <w:bCs/>
                <w:sz w:val="22"/>
                <w:szCs w:val="22"/>
              </w:rPr>
              <w:t xml:space="preserve">Weeks</w:t>
            </w:r>
          </w:p>
        </w:tc>
      </w:tr>
      <w:tr>
        <w:tc>
          <w:p>
            <w:r>
              <w:rPr>
                <w:sz w:val="22"/>
                <w:szCs w:val="22"/>
              </w:rPr>
              <w:t xml:space="preserve">Analysis and Design</w:t>
            </w:r>
          </w:p>
        </w:tc>
        <w:tc>
          <w:p>
            <w:r>
              <w:rPr>
                <w:sz w:val="22"/>
                <w:szCs w:val="22"/>
              </w:rPr>
              <w:t xml:space="preserve">4 weeks</w:t>
            </w:r>
          </w:p>
        </w:tc>
        <w:tc>
          <w:p>
            <w:r>
              <w:rPr>
                <w:sz w:val="22"/>
                <w:szCs w:val="22"/>
              </w:rPr>
              <w:t xml:space="preserve">1-4</w:t>
            </w:r>
          </w:p>
        </w:tc>
      </w:tr>
      <w:tr>
        <w:tc>
          <w:p>
            <w:r>
              <w:rPr>
                <w:sz w:val="22"/>
                <w:szCs w:val="22"/>
              </w:rPr>
              <w:t xml:space="preserve">Smart Contract Development</w:t>
            </w:r>
          </w:p>
        </w:tc>
        <w:tc>
          <w:p>
            <w:r>
              <w:rPr>
                <w:sz w:val="22"/>
                <w:szCs w:val="22"/>
              </w:rPr>
              <w:t xml:space="preserve">6 weeks</w:t>
            </w:r>
          </w:p>
        </w:tc>
        <w:tc>
          <w:p>
            <w:r>
              <w:rPr>
                <w:sz w:val="22"/>
                <w:szCs w:val="22"/>
              </w:rPr>
              <w:t xml:space="preserve">5-10</w:t>
            </w:r>
          </w:p>
        </w:tc>
      </w:tr>
      <w:tr>
        <w:tc>
          <w:p>
            <w:r>
              <w:rPr>
                <w:sz w:val="22"/>
                <w:szCs w:val="22"/>
              </w:rPr>
              <w:t xml:space="preserve">Frontend Development</w:t>
            </w:r>
          </w:p>
        </w:tc>
        <w:tc>
          <w:p>
            <w:r>
              <w:rPr>
                <w:sz w:val="22"/>
                <w:szCs w:val="22"/>
              </w:rPr>
              <w:t xml:space="preserve">6 weeks</w:t>
            </w:r>
          </w:p>
        </w:tc>
        <w:tc>
          <w:p>
            <w:r>
              <w:rPr>
                <w:sz w:val="22"/>
                <w:szCs w:val="22"/>
              </w:rPr>
              <w:t xml:space="preserve">8-13</w:t>
            </w:r>
          </w:p>
        </w:tc>
      </w:tr>
      <w:tr>
        <w:tc>
          <w:p>
            <w:r>
              <w:rPr>
                <w:sz w:val="22"/>
                <w:szCs w:val="22"/>
              </w:rPr>
              <w:t xml:space="preserve">Testing and Refinement</w:t>
            </w:r>
          </w:p>
        </w:tc>
        <w:tc>
          <w:p>
            <w:r>
              <w:rPr>
                <w:sz w:val="22"/>
                <w:szCs w:val="22"/>
              </w:rPr>
              <w:t xml:space="preserve">4 weeks</w:t>
            </w:r>
          </w:p>
        </w:tc>
        <w:tc>
          <w:p>
            <w:r>
              <w:rPr>
                <w:sz w:val="22"/>
                <w:szCs w:val="22"/>
              </w:rPr>
              <w:t xml:space="preserve">14-17</w:t>
            </w:r>
          </w:p>
        </w:tc>
      </w:tr>
      <w:tr>
        <w:tc>
          <w:p>
            <w:r>
              <w:rPr>
                <w:sz w:val="22"/>
                <w:szCs w:val="22"/>
              </w:rPr>
              <w:t xml:space="preserve">Documentation</w:t>
            </w:r>
          </w:p>
        </w:tc>
        <w:tc>
          <w:p>
            <w:r>
              <w:rPr>
                <w:sz w:val="22"/>
                <w:szCs w:val="22"/>
              </w:rPr>
              <w:t xml:space="preserve">3 weeks</w:t>
            </w:r>
          </w:p>
        </w:tc>
        <w:tc>
          <w:p>
            <w:r>
              <w:rPr>
                <w:sz w:val="22"/>
                <w:szCs w:val="22"/>
              </w:rPr>
              <w:t xml:space="preserve">18-20</w:t>
            </w:r>
          </w:p>
        </w:tc>
      </w:tr>
    </w:tbl>
    <w:p>
      <w:pPr>
        <w:spacing w:after="400"/>
      </w:pPr>
    </w:p>
    <w:p>
      <w:pPr>
        <w:pStyle w:val="Heading2"/>
        <w:spacing w:after="240"/>
      </w:pPr>
      <w:r>
        <w:t xml:space="preserve">4.2 Budget Estimation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sz w:val="22"/>
                <w:szCs w:val="22"/>
              </w:rPr>
              <w:t xml:space="preserve">Item</w:t>
            </w:r>
          </w:p>
        </w:tc>
        <w:tc>
          <w:p>
            <w:r>
              <w:rPr>
                <w:b/>
                <w:bCs/>
                <w:sz w:val="22"/>
                <w:szCs w:val="22"/>
              </w:rPr>
              <w:t xml:space="preserve">Cost (USD)</w:t>
            </w:r>
          </w:p>
        </w:tc>
      </w:tr>
      <w:tr>
        <w:tc>
          <w:p>
            <w:r>
              <w:rPr>
                <w:sz w:val="22"/>
                <w:szCs w:val="22"/>
              </w:rPr>
              <w:t xml:space="preserve">Domain name (.com, 1 year)</w:t>
            </w:r>
          </w:p>
        </w:tc>
        <w:tc>
          <w:p>
            <w:r>
              <w:rPr>
                <w:sz w:val="22"/>
                <w:szCs w:val="22"/>
              </w:rPr>
              <w:t xml:space="preserve">$12</w:t>
            </w:r>
          </w:p>
        </w:tc>
      </w:tr>
      <w:tr>
        <w:tc>
          <w:p>
            <w:r>
              <w:rPr>
                <w:sz w:val="22"/>
                <w:szCs w:val="22"/>
              </w:rPr>
              <w:t xml:space="preserve">QuickNode RPC (5 months)</w:t>
            </w:r>
          </w:p>
        </w:tc>
        <w:tc>
          <w:p>
            <w:r>
              <w:rPr>
                <w:sz w:val="22"/>
                <w:szCs w:val="22"/>
              </w:rPr>
              <w:t xml:space="preserve">$245</w:t>
            </w:r>
          </w:p>
        </w:tc>
      </w:tr>
      <w:tr>
        <w:tc>
          <w:p>
            <w:r>
              <w:rPr>
                <w:sz w:val="22"/>
                <w:szCs w:val="22"/>
              </w:rPr>
              <w:t xml:space="preserve">Polygon MATIC for gas</w:t>
            </w:r>
          </w:p>
        </w:tc>
        <w:tc>
          <w:p>
            <w:r>
              <w:rPr>
                <w:sz w:val="22"/>
                <w:szCs w:val="22"/>
              </w:rPr>
              <w:t xml:space="preserve">$50</w:t>
            </w:r>
          </w:p>
        </w:tc>
      </w:tr>
      <w:tr>
        <w:tc>
          <w:p>
            <w:r>
              <w:rPr>
                <w:sz w:val="22"/>
                <w:szCs w:val="22"/>
              </w:rPr>
              <w:t xml:space="preserve">Miscellaneous</w:t>
            </w:r>
          </w:p>
        </w:tc>
        <w:tc>
          <w:p>
            <w:r>
              <w:rPr>
                <w:sz w:val="22"/>
                <w:szCs w:val="22"/>
              </w:rPr>
              <w:t xml:space="preserve">$85</w:t>
            </w:r>
          </w:p>
        </w:tc>
      </w:tr>
      <w:tr>
        <w:tc>
          <w:p>
            <w:r>
              <w:rPr>
                <w:b/>
                <w:bCs/>
                <w:sz w:val="22"/>
                <w:szCs w:val="22"/>
              </w:rPr>
              <w:t xml:space="preserve">TOTAL</w:t>
            </w:r>
          </w:p>
        </w:tc>
        <w:tc>
          <w:p>
            <w:r>
              <w:rPr>
                <w:b/>
                <w:bCs/>
                <w:sz w:val="22"/>
                <w:szCs w:val="22"/>
              </w:rPr>
              <w:t xml:space="preserve">$392</w:t>
            </w:r>
          </w:p>
        </w:tc>
      </w:tr>
    </w:tbl>
    <w:p>
      <w:pPr>
        <w:spacing w:after="400"/>
      </w:pPr>
    </w:p>
    <w:p>
      <w:pPr>
        <w:pStyle w:val="Heading2"/>
        <w:spacing w:after="240"/>
      </w:pPr>
      <w:r>
        <w:t xml:space="preserve">4.3 Feasibility Analysis</w:t>
      </w:r>
    </w:p>
    <w:p>
      <w:pPr>
        <w:spacing w:after="200"/>
        <w:jc w:val="both"/>
      </w:pPr>
      <w:r>
        <w:rPr>
          <w:rFonts w:ascii="Times New Roman" w:cs="Times New Roman" w:eastAsia="Times New Roman" w:hAnsi="Times New Roman"/>
          <w:b/>
          <w:bCs/>
          <w:sz w:val="24"/>
          <w:szCs w:val="24"/>
        </w:rPr>
        <w:t xml:space="preserve">Technical Feasibility: HIGH </w:t>
      </w:r>
      <w:r>
        <w:rPr>
          <w:rFonts w:ascii="Times New Roman" w:cs="Times New Roman" w:eastAsia="Times New Roman" w:hAnsi="Times New Roman"/>
          <w:sz w:val="24"/>
          <w:szCs w:val="24"/>
        </w:rPr>
        <w:t xml:space="preserve">- All technologies are mature and well-documented. The existing CylinderSwapContract.sol demonstrates core smart contract logic is functional.</w:t>
      </w:r>
    </w:p>
    <w:p>
      <w:pPr>
        <w:spacing w:after="200"/>
        <w:jc w:val="both"/>
      </w:pPr>
      <w:r>
        <w:rPr>
          <w:rFonts w:ascii="Times New Roman" w:cs="Times New Roman" w:eastAsia="Times New Roman" w:hAnsi="Times New Roman"/>
          <w:b/>
          <w:bCs/>
          <w:sz w:val="24"/>
          <w:szCs w:val="24"/>
        </w:rPr>
        <w:t xml:space="preserve">Economic Feasibility: HIGH </w:t>
      </w:r>
      <w:r>
        <w:rPr>
          <w:rFonts w:ascii="Times New Roman" w:cs="Times New Roman" w:eastAsia="Times New Roman" w:hAnsi="Times New Roman"/>
          <w:sz w:val="24"/>
          <w:szCs w:val="24"/>
        </w:rPr>
        <w:t xml:space="preserve">- The $392 budget is within typical range for student projects. Operational costs are minimal with Polygon's low transaction fees.</w:t>
      </w:r>
    </w:p>
    <w:p>
      <w:pPr>
        <w:spacing w:after="200"/>
        <w:jc w:val="both"/>
      </w:pPr>
      <w:r>
        <w:rPr>
          <w:rFonts w:ascii="Times New Roman" w:cs="Times New Roman" w:eastAsia="Times New Roman" w:hAnsi="Times New Roman"/>
          <w:b/>
          <w:bCs/>
          <w:sz w:val="24"/>
          <w:szCs w:val="24"/>
        </w:rPr>
        <w:t xml:space="preserve">Operational Feasibility: MODERATE </w:t>
      </w:r>
      <w:r>
        <w:rPr>
          <w:rFonts w:ascii="Times New Roman" w:cs="Times New Roman" w:eastAsia="Times New Roman" w:hAnsi="Times New Roman"/>
          <w:sz w:val="24"/>
          <w:szCs w:val="24"/>
        </w:rPr>
        <w:t xml:space="preserve">- Success depends on user training and connectivity. UI design prioritizes simplicity using familiar QR codes.</w:t>
      </w:r>
    </w:p>
    <w:p>
      <w:pPr>
        <w:spacing w:after="400"/>
        <w:jc w:val="both"/>
      </w:pPr>
      <w:r>
        <w:rPr>
          <w:rFonts w:ascii="Times New Roman" w:cs="Times New Roman" w:eastAsia="Times New Roman" w:hAnsi="Times New Roman"/>
          <w:b/>
          <w:bCs/>
          <w:sz w:val="24"/>
          <w:szCs w:val="24"/>
        </w:rPr>
        <w:t xml:space="preserve">Schedule Feasibility: MODERATE-HIGH </w:t>
      </w:r>
      <w:r>
        <w:rPr>
          <w:rFonts w:ascii="Times New Roman" w:cs="Times New Roman" w:eastAsia="Times New Roman" w:hAnsi="Times New Roman"/>
          <w:sz w:val="24"/>
          <w:szCs w:val="24"/>
        </w:rPr>
        <w:t xml:space="preserve">- The 20-week timeline is ambitious but achievable with buffer time built into each phase.</w:t>
      </w:r>
    </w:p>
    <w:p>
      <w:pPr>
        <w:pStyle w:val="Heading2"/>
        <w:spacing w:after="240"/>
      </w:pPr>
      <w:r>
        <w:t xml:space="preserve">4.4 Expected Results</w:t>
      </w:r>
    </w:p>
    <w:p>
      <w:pPr>
        <w:spacing w:after="240"/>
        <w:jc w:val="both"/>
      </w:pPr>
      <w:r>
        <w:rPr>
          <w:rFonts w:ascii="Times New Roman" w:cs="Times New Roman" w:eastAsia="Times New Roman" w:hAnsi="Times New Roman"/>
          <w:sz w:val="24"/>
          <w:szCs w:val="24"/>
        </w:rPr>
        <w:t xml:space="preserve">Primary Outputs: (1) Smart Contracts - CylinderRegistry.sol, VoucherManager.sol, CompanyManager.sol, AccessControl.sol deployed on Polygon Mumbai testnet; (2) Decentralized Application - Customer, staff, and admin interfaces with MetaMask integration; (3) Documentation - Technical docs, user guides, and deployment guide.</w:t>
      </w:r>
    </w:p>
    <w:p>
      <w:pPr>
        <w:spacing w:after="240"/>
        <w:jc w:val="both"/>
      </w:pPr>
      <w:r>
        <w:rPr>
          <w:rFonts w:ascii="Times New Roman" w:cs="Times New Roman" w:eastAsia="Times New Roman" w:hAnsi="Times New Roman"/>
          <w:sz w:val="24"/>
          <w:szCs w:val="24"/>
        </w:rPr>
        <w:t xml:space="preserve">Expected Performance: Voucher creation &lt; 5 seconds, gas cost &lt; $0.02, verification &lt; 2 seconds, frontend load &lt; 3 seconds, test coverage &gt; 90%, zero critical vulnerabilities.</w:t>
      </w:r>
    </w:p>
    <w:p>
      <w:pPr>
        <w:spacing w:after="400"/>
        <w:jc w:val="both"/>
      </w:pPr>
      <w:r>
        <w:rPr>
          <w:rFonts w:ascii="Times New Roman" w:cs="Times New Roman" w:eastAsia="Times New Roman" w:hAnsi="Times New Roman"/>
          <w:sz w:val="24"/>
          <w:szCs w:val="24"/>
        </w:rPr>
        <w:t xml:space="preserve">Expected Impact: Demonstration of blockchain viability for LPG distribution, open-source codebase for further development, model for replication in other countries, potential 80-95% fraud reduction compared to paper vouchers.</w:t>
      </w:r>
    </w:p>
    <w:p>
      <w:r>
        <w:br w:type="page"/>
      </w:r>
    </w:p>
    <w:p>
      <w:pPr>
        <w:pStyle w:val="Heading1"/>
        <w:spacing w:after="400"/>
      </w:pPr>
      <w:r>
        <w:t xml:space="preserve">REFERENCES</w:t>
      </w:r>
    </w:p>
    <w:p>
      <w:pPr>
        <w:spacing w:after="200"/>
        <w:ind w:left="720" w:hanging="720"/>
      </w:pPr>
      <w:r>
        <w:rPr>
          <w:rFonts w:ascii="Times New Roman" w:cs="Times New Roman" w:eastAsia="Times New Roman" w:hAnsi="Times New Roman"/>
          <w:sz w:val="24"/>
          <w:szCs w:val="24"/>
        </w:rPr>
        <w:t xml:space="preserve">Benet, J. (2014). IPFS - Content Addressed, Versioned, P2P File System. arXiv preprint arXiv:1407.3561.</w:t>
      </w:r>
    </w:p>
    <w:p>
      <w:pPr>
        <w:spacing w:after="200"/>
        <w:ind w:left="720" w:hanging="720"/>
      </w:pPr>
      <w:r>
        <w:rPr>
          <w:rFonts w:ascii="Times New Roman" w:cs="Times New Roman" w:eastAsia="Times New Roman" w:hAnsi="Times New Roman"/>
          <w:sz w:val="24"/>
          <w:szCs w:val="24"/>
        </w:rPr>
        <w:t xml:space="preserve">Buterin, V. (2014). A Next-Generation Smart Contract and Decentralized Application Platform. Ethereum Whitepaper.</w:t>
      </w:r>
    </w:p>
    <w:p>
      <w:pPr>
        <w:spacing w:after="200"/>
        <w:ind w:left="720" w:hanging="720"/>
      </w:pPr>
      <w:r>
        <w:rPr>
          <w:rFonts w:ascii="Times New Roman" w:cs="Times New Roman" w:eastAsia="Times New Roman" w:hAnsi="Times New Roman"/>
          <w:sz w:val="24"/>
          <w:szCs w:val="24"/>
        </w:rPr>
        <w:t xml:space="preserve">Entriken, W., Shirley, D., Evans, J., &amp; Sachs, N. (2018). EIP-721: Non-Fungible Token Standard. Ethereum Improvement Proposals.</w:t>
      </w:r>
    </w:p>
    <w:p>
      <w:pPr>
        <w:spacing w:after="200"/>
        <w:ind w:left="720" w:hanging="720"/>
      </w:pPr>
      <w:r>
        <w:rPr>
          <w:rFonts w:ascii="Times New Roman" w:cs="Times New Roman" w:eastAsia="Times New Roman" w:hAnsi="Times New Roman"/>
          <w:sz w:val="24"/>
          <w:szCs w:val="24"/>
        </w:rPr>
        <w:t xml:space="preserve">Hevner, A. R., March, S. T., Park, J., &amp; Ram, S. (2004). Design Science in Information Systems Research. MIS Quarterly, 28(1), 75-105.</w:t>
      </w:r>
    </w:p>
    <w:p>
      <w:pPr>
        <w:spacing w:after="200"/>
        <w:ind w:left="720" w:hanging="720"/>
      </w:pPr>
      <w:r>
        <w:rPr>
          <w:rFonts w:ascii="Times New Roman" w:cs="Times New Roman" w:eastAsia="Times New Roman" w:hAnsi="Times New Roman"/>
          <w:sz w:val="24"/>
          <w:szCs w:val="24"/>
        </w:rPr>
        <w:t xml:space="preserve">Hyperledger Foundation. (2020). IBM Food Trust: A New Era for the World's Food Supply. Hyperledger Case Study.</w:t>
      </w:r>
    </w:p>
    <w:p>
      <w:pPr>
        <w:spacing w:after="200"/>
        <w:ind w:left="720" w:hanging="720"/>
      </w:pPr>
      <w:r>
        <w:rPr>
          <w:rFonts w:ascii="Times New Roman" w:cs="Times New Roman" w:eastAsia="Times New Roman" w:hAnsi="Times New Roman"/>
          <w:sz w:val="24"/>
          <w:szCs w:val="24"/>
        </w:rPr>
        <w:t xml:space="preserve">Kshetri, N. (2018). Blockchain's roles in meeting key supply chain management objectives. International Journal of Information Management, 39, 80-89.</w:t>
      </w:r>
    </w:p>
    <w:p>
      <w:pPr>
        <w:spacing w:after="200"/>
        <w:ind w:left="720" w:hanging="720"/>
      </w:pPr>
      <w:r>
        <w:rPr>
          <w:rFonts w:ascii="Times New Roman" w:cs="Times New Roman" w:eastAsia="Times New Roman" w:hAnsi="Times New Roman"/>
          <w:sz w:val="24"/>
          <w:szCs w:val="24"/>
        </w:rPr>
        <w:t xml:space="preserve">Kshetri, N. (2022). Blockchain and supply chain management. In The Economics of Blockchain (pp. 119-138). Academic Press.</w:t>
      </w:r>
    </w:p>
    <w:p>
      <w:pPr>
        <w:spacing w:after="200"/>
        <w:ind w:left="720" w:hanging="720"/>
      </w:pPr>
      <w:r>
        <w:rPr>
          <w:rFonts w:ascii="Times New Roman" w:cs="Times New Roman" w:eastAsia="Times New Roman" w:hAnsi="Times New Roman"/>
          <w:sz w:val="24"/>
          <w:szCs w:val="24"/>
        </w:rPr>
        <w:t xml:space="preserve">Ministry of Infrastructure Rwanda. (2024). Energy Sector Strategic Plan 2024-2029. Government of Rwanda.</w:t>
      </w:r>
    </w:p>
    <w:p>
      <w:pPr>
        <w:spacing w:after="200"/>
        <w:ind w:left="720" w:hanging="720"/>
      </w:pPr>
      <w:r>
        <w:rPr>
          <w:rFonts w:ascii="Times New Roman" w:cs="Times New Roman" w:eastAsia="Times New Roman" w:hAnsi="Times New Roman"/>
          <w:sz w:val="24"/>
          <w:szCs w:val="24"/>
        </w:rPr>
        <w:t xml:space="preserve">Natarajan, H., Krause, S., &amp; Gradstein, H. (2017). Distributed Ledger Technology and Blockchain. World Bank FinTech Note, 1.</w:t>
      </w:r>
    </w:p>
    <w:p>
      <w:pPr>
        <w:spacing w:after="200"/>
        <w:ind w:left="720" w:hanging="720"/>
      </w:pPr>
      <w:r>
        <w:rPr>
          <w:rFonts w:ascii="Times New Roman" w:cs="Times New Roman" w:eastAsia="Times New Roman" w:hAnsi="Times New Roman"/>
          <w:sz w:val="24"/>
          <w:szCs w:val="24"/>
        </w:rPr>
        <w:t xml:space="preserve">Nugroho, H. S. (2025). Blockchain Implementation on Subsidised LPG Distribution in Gas Supply Chain. Journal of Information Systems Engineering, 10(3), 245-260.</w:t>
      </w:r>
    </w:p>
    <w:p>
      <w:pPr>
        <w:spacing w:after="200"/>
        <w:ind w:left="720" w:hanging="720"/>
      </w:pPr>
      <w:r>
        <w:rPr>
          <w:rFonts w:ascii="Times New Roman" w:cs="Times New Roman" w:eastAsia="Times New Roman" w:hAnsi="Times New Roman"/>
          <w:sz w:val="24"/>
          <w:szCs w:val="24"/>
        </w:rPr>
        <w:t xml:space="preserve">RURA - Rwanda Utilities Regulatory Authority. (2023). Annual Report on Energy Sector Performance. Kigali, Rwanda.</w:t>
      </w:r>
    </w:p>
    <w:p>
      <w:pPr>
        <w:spacing w:after="200"/>
        <w:ind w:left="720" w:hanging="720"/>
      </w:pPr>
      <w:r>
        <w:rPr>
          <w:rFonts w:ascii="Times New Roman" w:cs="Times New Roman" w:eastAsia="Times New Roman" w:hAnsi="Times New Roman"/>
          <w:sz w:val="24"/>
          <w:szCs w:val="24"/>
        </w:rPr>
        <w:t xml:space="preserve">Saberi, S., Kouhizadeh, M., Sarkis, J., &amp; Shen, L. (2019). Blockchain technology and its relationships to sustainable supply chain management. International Journal of Production Research, 57(7), 2117-2135.</w:t>
      </w:r>
    </w:p>
    <w:p>
      <w:pPr>
        <w:spacing w:after="200"/>
        <w:ind w:left="720" w:hanging="720"/>
      </w:pPr>
      <w:r>
        <w:rPr>
          <w:rFonts w:ascii="Times New Roman" w:cs="Times New Roman" w:eastAsia="Times New Roman" w:hAnsi="Times New Roman"/>
          <w:sz w:val="24"/>
          <w:szCs w:val="24"/>
        </w:rPr>
        <w:t xml:space="preserve">Schmidt, C. G., &amp; Wagner, S. M. (2019). Blockchain and supply chain relations: A transaction cost theory perspective. Journal of Purchasing and Supply Management, 25(4), 100552.</w:t>
      </w:r>
    </w:p>
    <w:p>
      <w:pPr>
        <w:spacing w:after="200"/>
        <w:ind w:left="720" w:hanging="720"/>
      </w:pPr>
      <w:r>
        <w:rPr>
          <w:rFonts w:ascii="Times New Roman" w:cs="Times New Roman" w:eastAsia="Times New Roman" w:hAnsi="Times New Roman"/>
          <w:sz w:val="24"/>
          <w:szCs w:val="24"/>
        </w:rPr>
        <w:t xml:space="preserve">Tailored Blockchain Applications for the Natural Gas Industry: The Case Study of SOCAR. (2022). Energies, 15(16), 6010. MDPI.</w:t>
      </w:r>
    </w:p>
    <w:p>
      <w:pPr>
        <w:spacing w:after="400"/>
        <w:ind w:left="720" w:hanging="720"/>
      </w:pPr>
      <w:r>
        <w:rPr>
          <w:rFonts w:ascii="Times New Roman" w:cs="Times New Roman" w:eastAsia="Times New Roman" w:hAnsi="Times New Roman"/>
          <w:sz w:val="24"/>
          <w:szCs w:val="24"/>
        </w:rPr>
        <w:t xml:space="preserve">Xiao, W., et al. (2021). Blockchain for Secure-GaS: Blockchain-Powered Secure Natural Gas IoT System. IEEE Internet of Things Journal, 8(8), 6305-6312.</w:t>
      </w:r>
    </w:p>
    <w:p>
      <w:pPr>
        <w:spacing w:after="1000"/>
      </w:pPr>
    </w:p>
    <w:p>
      <w:pPr>
        <w:jc w:val="center"/>
      </w:pPr>
      <w:r>
        <w:rPr>
          <w:rFonts w:ascii="Times New Roman" w:cs="Times New Roman" w:eastAsia="Times New Roman" w:hAnsi="Times New Roman"/>
          <w:b/>
          <w:bCs/>
          <w:sz w:val="24"/>
          <w:szCs w:val="24"/>
        </w:rPr>
        <w:t xml:space="preserve">END OF CAPSTONE PROJECT BOOK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Smart Gas Cylinder Swap Platform</dc:title>
  <dc:creator>Capstone Project</dc:creator>
  <dc:description>Capstone Project Book</dc:description>
  <cp:lastModifiedBy>Un-named</cp:lastModifiedBy>
  <cp:revision>1</cp:revision>
  <dcterms:created xsi:type="dcterms:W3CDTF">2026-01-24T21:44:34.225Z</dcterms:created>
  <dcterms:modified xsi:type="dcterms:W3CDTF">2026-01-24T21:44:34.227Z</dcterms:modified>
</cp:coreProperties>
</file>

<file path=docProps/custom.xml><?xml version="1.0" encoding="utf-8"?>
<Properties xmlns="http://schemas.openxmlformats.org/officeDocument/2006/custom-properties" xmlns:vt="http://schemas.openxmlformats.org/officeDocument/2006/docPropsVTypes"/>
</file>