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Master Architecture v1.0</w:t>
      </w:r>
    </w:p>
    <w:p>
      <w:pPr>
        <w:jc w:val="center"/>
      </w:pPr>
      <w:r>
        <w:rPr>
          <w:i/>
        </w:rPr>
        <w:t>Documento canónico — arquitectura de referencia</w:t>
      </w:r>
    </w:p>
    <w:p>
      <w:pPr>
        <w:pStyle w:val="Heading1"/>
      </w:pPr>
      <w:r>
        <w:t>Propósito</w:t>
      </w:r>
    </w:p>
    <w:p>
      <w:r>
        <w:t>GAMMA será un ecosistema modular para medicina nuclear, radiofarmacia, radioterapia, física médica, theranostics e inteligencia artificial. El objetivo es compartir conocimiento, imagen, terminología, datos y agentes sin convertir todo en un monolito.</w:t>
      </w:r>
    </w:p>
    <w:p>
      <w:pPr>
        <w:pStyle w:val="Heading1"/>
      </w:pPr>
      <w:r>
        <w:t>Arquitectura</w:t>
      </w:r>
    </w:p>
    <w:p>
      <w:r>
        <w:rPr>
          <w:rFonts w:ascii="Consolas" w:hAnsi="Consolas"/>
          <w:sz w:val="17"/>
        </w:rPr>
        <w:t>GAMMA AI</w:t>
        <w:br/>
        <w:t xml:space="preserve">  │</w:t>
        <w:br/>
        <w:t xml:space="preserve">  ├── Orchestrator / Agents / Policies</w:t>
        <w:br/>
        <w:t xml:space="preserve">  │</w:t>
        <w:br/>
        <w:t xml:space="preserve">  ├── Knowledge Intelligence</w:t>
        <w:br/>
        <w:t xml:space="preserve">  │     ├── Retrieval</w:t>
        <w:br/>
        <w:t xml:space="preserve">  │     ├── Reranking</w:t>
        <w:br/>
        <w:t xml:space="preserve">  │     ├── Evidence Assembly</w:t>
        <w:br/>
        <w:t xml:space="preserve">  │     └── Ontology / Knowledge Graph</w:t>
        <w:br/>
        <w:t xml:space="preserve">  │</w:t>
        <w:br/>
        <w:t xml:space="preserve">  └── Knowledge Engine</w:t>
        <w:br/>
        <w:t xml:space="preserve">        ├── Ingestion</w:t>
        <w:br/>
        <w:t xml:space="preserve">        ├── OCR / Document Understanding</w:t>
        <w:br/>
        <w:t xml:space="preserve">        ├── Normalization</w:t>
        <w:br/>
        <w:t xml:space="preserve">        ├── Chunking</w:t>
        <w:br/>
        <w:t xml:space="preserve">        ├── Embeddings</w:t>
        <w:br/>
        <w:t xml:space="preserve">        ├── Indexing</w:t>
        <w:br/>
        <w:t xml:space="preserve">        └── Provenance / Versioning</w:t>
        <w:br/>
        <w:br/>
        <w:t>Data Platform: PostgreSQL + Qdrant + Object Storage + lexical index</w:t>
        <w:br/>
        <w:t>Interoperability: DICOM + FHIR + HL7 + APIs</w:t>
        <w:br/>
        <w:t>Security: IAM + RBAC + audit + encryption + observability</w:t>
      </w:r>
    </w:p>
    <w:p>
      <w:pPr>
        <w:pStyle w:val="Heading1"/>
      </w:pPr>
      <w:r>
        <w:t>Productos verticales</w:t>
      </w:r>
    </w:p>
    <w:p>
      <w:pPr>
        <w:pStyle w:val="ListBullet"/>
      </w:pPr>
      <w:r>
        <w:t>Nuclear AI</w:t>
      </w:r>
    </w:p>
    <w:p>
      <w:pPr>
        <w:pStyle w:val="ListBullet"/>
      </w:pPr>
      <w:r>
        <w:t>Radiotheranostic Twin</w:t>
      </w:r>
    </w:p>
    <w:p>
      <w:pPr>
        <w:pStyle w:val="ListBullet"/>
      </w:pPr>
      <w:r>
        <w:t>Radiopharma OS</w:t>
      </w:r>
    </w:p>
    <w:p>
      <w:pPr>
        <w:pStyle w:val="ListBullet"/>
      </w:pPr>
      <w:r>
        <w:t>RadShield MX</w:t>
      </w:r>
    </w:p>
    <w:p>
      <w:pPr>
        <w:pStyle w:val="ListBullet"/>
      </w:pPr>
      <w:r>
        <w:t>GAMMA Operations</w:t>
      </w:r>
    </w:p>
    <w:p>
      <w:pPr>
        <w:pStyle w:val="ListBullet"/>
      </w:pPr>
      <w:r>
        <w:t>Logistics &amp; Planning</w:t>
      </w:r>
    </w:p>
    <w:p>
      <w:pPr>
        <w:pStyle w:val="ListBullet"/>
      </w:pPr>
      <w:r>
        <w:t>Centralized Radiopharmacy Ordering</w:t>
      </w:r>
    </w:p>
    <w:p>
      <w:pPr>
        <w:pStyle w:val="ListBullet"/>
      </w:pPr>
      <w:r>
        <w:t>Terminology &amp; Ontology Engine</w:t>
      </w:r>
    </w:p>
    <w:p>
      <w:pPr>
        <w:pStyle w:val="ListBullet"/>
      </w:pPr>
      <w:r>
        <w:t>Medication Safety</w:t>
      </w:r>
    </w:p>
    <w:p>
      <w:pPr>
        <w:pStyle w:val="ListBullet"/>
      </w:pPr>
      <w:r>
        <w:t>Growth Intelligence</w:t>
      </w:r>
    </w:p>
    <w:p>
      <w:pPr>
        <w:pStyle w:val="Heading1"/>
      </w:pPr>
      <w:r>
        <w:t>Principios no negociables</w:t>
      </w:r>
    </w:p>
    <w:p>
      <w:pPr>
        <w:pStyle w:val="ListBullet"/>
      </w:pPr>
      <w:r>
        <w:t>LLM-agnostic: cambiar de modelo no debe obligar a reconstruir el conocimiento.</w:t>
      </w:r>
    </w:p>
    <w:p>
      <w:pPr>
        <w:pStyle w:val="ListBullet"/>
      </w:pPr>
      <w:r>
        <w:t>Evidence-first y provenance-first.</w:t>
      </w:r>
    </w:p>
    <w:p>
      <w:pPr>
        <w:pStyle w:val="ListBullet"/>
      </w:pPr>
      <w:r>
        <w:t>Versionado temporal y reproducibilidad.</w:t>
      </w:r>
    </w:p>
    <w:p>
      <w:pPr>
        <w:pStyle w:val="ListBullet"/>
      </w:pPr>
      <w:r>
        <w:t>Separación Clinical / Research / Operations.</w:t>
      </w:r>
    </w:p>
    <w:p>
      <w:pPr>
        <w:pStyle w:val="ListBullet"/>
      </w:pPr>
      <w:r>
        <w:t>Human-in-the-loop para decisiones de alto impacto.</w:t>
      </w:r>
    </w:p>
    <w:p>
      <w:pPr>
        <w:pStyle w:val="ListBullet"/>
      </w:pPr>
      <w:r>
        <w:t>API-first y schema-first.</w:t>
      </w:r>
    </w:p>
    <w:p>
      <w:pPr>
        <w:pStyle w:val="ListBullet"/>
      </w:pPr>
      <w:r>
        <w:t>Security by design.</w:t>
      </w:r>
    </w:p>
    <w:p>
      <w:pPr>
        <w:pStyle w:val="ListBullet"/>
      </w:pPr>
      <w:r>
        <w:t>Observabilidad desde el primer sprint.</w:t>
      </w:r>
    </w:p>
    <w:p>
      <w:pPr>
        <w:pStyle w:val="ListBullet"/>
      </w:pPr>
      <w:r>
        <w:t>Idempotencia y procesamiento reanudable.</w:t>
      </w:r>
    </w:p>
    <w:p>
      <w:pPr>
        <w:pStyle w:val="ListBullet"/>
      </w:pPr>
      <w:r>
        <w:t>Toda desviación arquitectónica requiere ADR.</w:t>
      </w:r>
    </w:p>
    <w:p>
      <w:pPr>
        <w:pStyle w:val="Heading1"/>
      </w:pPr>
      <w:r>
        <w:t>Justificación</w:t>
      </w:r>
    </w:p>
    <w:p>
      <w:r>
        <w:t>La separación permite que Radiopharma OS, Nuclear AI y Radiotheranostic Twin reutilicen la misma infraestructura de conocimiento, mientras mantienen límites funcionales claros. También evita que una plataforma de IA externa se convierta en una dependencia arquitectónica permanente.</w:t>
      </w:r>
    </w:p>
    <w:p>
      <w:pPr>
        <w:pStyle w:val="Heading1"/>
      </w:pPr>
      <w:r>
        <w:t>Stack de referencia</w:t>
      </w:r>
    </w:p>
    <w:p>
      <w:pPr>
        <w:pStyle w:val="ListBullet"/>
      </w:pPr>
      <w:r>
        <w:t>Python para backend científico/documental.</w:t>
      </w:r>
    </w:p>
    <w:p>
      <w:pPr>
        <w:pStyle w:val="ListBullet"/>
      </w:pPr>
      <w:r>
        <w:t>FastAPI como API inicial.</w:t>
      </w:r>
    </w:p>
    <w:p>
      <w:pPr>
        <w:pStyle w:val="ListBullet"/>
      </w:pPr>
      <w:r>
        <w:t>PostgreSQL para metadatos y estados.</w:t>
      </w:r>
    </w:p>
    <w:p>
      <w:pPr>
        <w:pStyle w:val="ListBullet"/>
      </w:pPr>
      <w:r>
        <w:t>Qdrant para vectores.</w:t>
      </w:r>
    </w:p>
    <w:p>
      <w:pPr>
        <w:pStyle w:val="ListBullet"/>
      </w:pPr>
      <w:r>
        <w:t>Object storage S3-compatible para originales y derivados.</w:t>
      </w:r>
    </w:p>
    <w:p>
      <w:pPr>
        <w:pStyle w:val="ListBullet"/>
      </w:pPr>
      <w:r>
        <w:t>Docling/Tesseract como candidatos de document understanding/OCR.</w:t>
      </w:r>
    </w:p>
    <w:p>
      <w:pPr>
        <w:pStyle w:val="ListBullet"/>
      </w:pPr>
      <w:r>
        <w:t>BM25 mediante componente lexical seleccionado por benchmark.</w:t>
      </w:r>
    </w:p>
    <w:p>
      <w:pPr>
        <w:pStyle w:val="ListBullet"/>
      </w:pPr>
      <w:r>
        <w:t>OpenTelemetry para observabilidad.</w:t>
      </w:r>
    </w:p>
    <w:p>
      <w:pPr>
        <w:pStyle w:val="ListBullet"/>
      </w:pPr>
      <w:r>
        <w:t>Docker Compose para desarrollo; orquestación mayor sólo cuando exista necesidad demostrada.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