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GAMMA Data Model v1.0</w:t>
      </w:r>
    </w:p>
    <w:p>
      <w:pPr>
        <w:jc w:val="center"/>
      </w:pPr>
      <w:r>
        <w:rPr>
          <w:i/>
        </w:rPr>
        <w:t>Entidades y contratos canónicos</w:t>
      </w:r>
    </w:p>
    <w:p>
      <w:pPr>
        <w:pStyle w:val="Heading1"/>
      </w:pPr>
      <w:r>
        <w:t>Entidades núcleo</w:t>
      </w:r>
    </w:p>
    <w:p>
      <w:r>
        <w:rPr>
          <w:rFonts w:ascii="Consolas" w:hAnsi="Consolas"/>
          <w:sz w:val="17"/>
        </w:rPr>
        <w:t>Source</w:t>
        <w:br/>
        <w:t>Artifact</w:t>
        <w:br/>
        <w:t>Document</w:t>
        <w:br/>
        <w:t>DocumentVersion</w:t>
        <w:br/>
        <w:t>Section</w:t>
        <w:br/>
        <w:t>Chunk</w:t>
        <w:br/>
        <w:t>Entity</w:t>
        <w:br/>
        <w:t>Relation</w:t>
        <w:br/>
        <w:t>Embedding</w:t>
        <w:br/>
        <w:t>IndexRecord</w:t>
        <w:br/>
        <w:t>Evidence</w:t>
        <w:br/>
        <w:t>Citation</w:t>
        <w:br/>
        <w:t>IngestionJob</w:t>
        <w:br/>
        <w:t>EvaluationCase</w:t>
      </w:r>
    </w:p>
    <w:p>
      <w:pPr>
        <w:pStyle w:val="Heading1"/>
      </w:pPr>
      <w:r>
        <w:t>Relación</w:t>
      </w:r>
    </w:p>
    <w:p>
      <w:r>
        <w:rPr>
          <w:rFonts w:ascii="Consolas" w:hAnsi="Consolas"/>
          <w:sz w:val="17"/>
        </w:rPr>
        <w:t>Artifact → Document → DocumentVersion → Section → Chunk</w:t>
        <w:br/>
        <w:t xml:space="preserve">                                      ├→ Embedding</w:t>
        <w:br/>
        <w:t xml:space="preserve">                                      ├→ IndexRecord</w:t>
        <w:br/>
        <w:t xml:space="preserve">                                      ├→ Entity → Relation → Entity</w:t>
        <w:br/>
        <w:t xml:space="preserve">                                      └→ Evidence → Citation</w:t>
      </w:r>
    </w:p>
    <w:p>
      <w:pPr>
        <w:pStyle w:val="Heading1"/>
      </w:pPr>
      <w:r>
        <w:t>Reglas</w:t>
      </w:r>
    </w:p>
    <w:p>
      <w:pPr>
        <w:pStyle w:val="ListBullet"/>
      </w:pPr>
      <w:r>
        <w:t>Originales inmutables.</w:t>
      </w:r>
    </w:p>
    <w:p>
      <w:pPr>
        <w:pStyle w:val="ListBullet"/>
      </w:pPr>
      <w:r>
        <w:t>Todo derivado registra versión del pipeline.</w:t>
      </w:r>
    </w:p>
    <w:p>
      <w:pPr>
        <w:pStyle w:val="ListBullet"/>
      </w:pPr>
      <w:r>
        <w:t>Todo objeto recuperable resuelve provenance.</w:t>
      </w:r>
    </w:p>
    <w:p>
      <w:pPr>
        <w:pStyle w:val="ListBullet"/>
      </w:pPr>
      <w:r>
        <w:t>Timestamps en UTC.</w:t>
      </w:r>
    </w:p>
    <w:p>
      <w:pPr>
        <w:pStyle w:val="ListBullet"/>
      </w:pPr>
      <w:r>
        <w:t>IDs internos estables; UUID/ULID debe decidirse mediante ADR.</w:t>
      </w:r>
    </w:p>
    <w:p>
      <w:pPr>
        <w:pStyle w:val="ListBullet"/>
      </w:pPr>
      <w:r>
        <w:t>El modelo debe admitir extensiones DICOM/FHIR sin romper contratos.</w:t>
      </w:r>
    </w:p>
    <w:p>
      <w:pPr>
        <w:pStyle w:val="Heading1"/>
      </w:pPr>
      <w:r>
        <w:t>Campos críticos</w:t>
      </w:r>
    </w:p>
    <w:p>
      <w:r>
        <w:t>Source: source_id, type, owner, license, jurisdiction. Artifact: artifact_id, sha256, mime_type, size, storage_uri. Document: document_id, source_id, title, language, status. DocumentVersion: version_id, document_id, parser_version, ocr_version. Chunk: chunk_id, section_id, text, offsets. Embedding: model, dimension, version. Evidence: page, locator, confidence. EvaluationCase: query y expected sources.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