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GAMMA OCR &amp; Document Understanding v1.0</w:t>
      </w:r>
    </w:p>
    <w:p>
      <w:pPr>
        <w:jc w:val="center"/>
      </w:pPr>
      <w:r>
        <w:rPr>
          <w:i/>
        </w:rPr>
        <w:t>Extracción, OCR y quality gates</w:t>
      </w:r>
    </w:p>
    <w:p>
      <w:pPr>
        <w:pStyle w:val="Heading1"/>
      </w:pPr>
      <w:r>
        <w:t>Regla fundamental</w:t>
      </w:r>
    </w:p>
    <w:p>
      <w:r>
        <w:t>El documento original se conserva siempre. OCR es una representación derivada y nunca sustituye silenciosamente una extracción nativa de calidad.</w:t>
      </w:r>
    </w:p>
    <w:p>
      <w:pPr>
        <w:pStyle w:val="Heading1"/>
      </w:pPr>
      <w:r>
        <w:t>Routing</w:t>
      </w:r>
    </w:p>
    <w:p>
      <w:pPr>
        <w:pStyle w:val="ListNumber"/>
      </w:pPr>
      <w:r>
        <w:t>Detectar texto seleccionable.</w:t>
      </w:r>
    </w:p>
    <w:p>
      <w:pPr>
        <w:pStyle w:val="ListNumber"/>
      </w:pPr>
      <w:r>
        <w:t>Medir cobertura y calidad.</w:t>
      </w:r>
    </w:p>
    <w:p>
      <w:pPr>
        <w:pStyle w:val="ListNumber"/>
      </w:pPr>
      <w:r>
        <w:t>Detectar páginas escaneadas/mixtas.</w:t>
      </w:r>
    </w:p>
    <w:p>
      <w:pPr>
        <w:pStyle w:val="ListNumber"/>
      </w:pPr>
      <w:r>
        <w:t>Detectar columnas, tablas, figuras y fórmulas.</w:t>
      </w:r>
    </w:p>
    <w:p>
      <w:pPr>
        <w:pStyle w:val="ListNumber"/>
      </w:pPr>
      <w:r>
        <w:t>Seleccionar extractor u OCR.</w:t>
      </w:r>
    </w:p>
    <w:p>
      <w:pPr>
        <w:pStyle w:val="ListNumber"/>
      </w:pPr>
      <w:r>
        <w:t>Generar quality report.</w:t>
      </w:r>
    </w:p>
    <w:p>
      <w:pPr>
        <w:pStyle w:val="Heading1"/>
      </w:pPr>
      <w:r>
        <w:t>Quality gates</w:t>
      </w:r>
    </w:p>
    <w:p>
      <w:pPr>
        <w:pStyle w:val="ListBullet"/>
      </w:pPr>
      <w:r>
        <w:t>Confianza OCR cuando esté disponible.</w:t>
      </w:r>
    </w:p>
    <w:p>
      <w:pPr>
        <w:pStyle w:val="ListBullet"/>
      </w:pPr>
      <w:r>
        <w:t>Caracteres inválidos.</w:t>
      </w:r>
    </w:p>
    <w:p>
      <w:pPr>
        <w:pStyle w:val="ListBullet"/>
      </w:pPr>
      <w:r>
        <w:t>Idioma.</w:t>
      </w:r>
    </w:p>
    <w:p>
      <w:pPr>
        <w:pStyle w:val="ListBullet"/>
      </w:pPr>
      <w:r>
        <w:t>Cobertura de texto.</w:t>
      </w:r>
    </w:p>
    <w:p>
      <w:pPr>
        <w:pStyle w:val="ListBullet"/>
      </w:pPr>
      <w:r>
        <w:t>Integridad de tablas.</w:t>
      </w:r>
    </w:p>
    <w:p>
      <w:pPr>
        <w:pStyle w:val="ListBullet"/>
      </w:pPr>
      <w:r>
        <w:t>Preservación de números, unidades y símbolos.</w:t>
      </w:r>
    </w:p>
    <w:p>
      <w:pPr>
        <w:pStyle w:val="ListBullet"/>
      </w:pPr>
      <w:r>
        <w:t>Detección de páginas para revisión.</w:t>
      </w:r>
    </w:p>
    <w:p>
      <w:pPr>
        <w:pStyle w:val="Heading1"/>
      </w:pPr>
      <w:r>
        <w:t>Artefactos</w:t>
      </w:r>
    </w:p>
    <w:p>
      <w:r>
        <w:rPr>
          <w:rFonts w:ascii="Consolas" w:hAnsi="Consolas"/>
          <w:sz w:val="17"/>
        </w:rPr>
        <w:t>raw.pdf</w:t>
        <w:br/>
        <w:t>extracted.json</w:t>
        <w:br/>
        <w:t>ocr.json</w:t>
        <w:br/>
        <w:t>layout.json</w:t>
        <w:br/>
        <w:t>tables.json</w:t>
        <w:br/>
        <w:t>figures.json</w:t>
        <w:br/>
        <w:t>normalized.json</w:t>
        <w:br/>
        <w:t>quality_report.json</w:t>
      </w:r>
    </w:p>
    <w:p>
      <w:pPr>
        <w:pStyle w:val="Heading1"/>
      </w:pPr>
      <w:r>
        <w:t>Corpus crítico</w:t>
      </w:r>
    </w:p>
    <w:p>
      <w:pPr>
        <w:pStyle w:val="ListBullet"/>
      </w:pPr>
      <w:r>
        <w:t>Guías clínicas.</w:t>
      </w:r>
    </w:p>
    <w:p>
      <w:pPr>
        <w:pStyle w:val="ListBullet"/>
      </w:pPr>
      <w:r>
        <w:t>Artículos científicos.</w:t>
      </w:r>
    </w:p>
    <w:p>
      <w:pPr>
        <w:pStyle w:val="ListBullet"/>
      </w:pPr>
      <w:r>
        <w:t>Regulación.</w:t>
      </w:r>
    </w:p>
    <w:p>
      <w:pPr>
        <w:pStyle w:val="ListBullet"/>
      </w:pPr>
      <w:r>
        <w:t>Manuales técnicos.</w:t>
      </w:r>
    </w:p>
    <w:p>
      <w:pPr>
        <w:pStyle w:val="ListBullet"/>
      </w:pPr>
      <w:r>
        <w:t>PDFs escaneados.</w:t>
      </w:r>
    </w:p>
    <w:p>
      <w:pPr>
        <w:pStyle w:val="ListBullet"/>
      </w:pPr>
      <w:r>
        <w:t>Tablas de dosis.</w:t>
      </w:r>
    </w:p>
    <w:p>
      <w:pPr>
        <w:pStyle w:val="ListBullet"/>
      </w:pPr>
      <w:r>
        <w:t>Documentos bilingües.</w:t>
      </w:r>
    </w:p>
    <w:p>
      <w:pPr>
        <w:pStyle w:val="ListBullet"/>
      </w:pPr>
      <w:r>
        <w:t>Notación científica y matemática.</w:t>
      </w:r>
    </w:p>
    <w:p>
      <w:pPr>
        <w:pStyle w:val="Heading1"/>
      </w:pPr>
      <w:r>
        <w:t>Pruebas GAMMA</w:t>
      </w:r>
    </w:p>
    <w:p>
      <w:r>
        <w:t>Probar I-131, Lu-177, Ac-225, Y-90; Bq/MBq/GBq, Gy/Sv, keV/MeV; símbolos griegos, subíndices, tablas, referencias y múltiples columnas.</w:t>
      </w:r>
    </w:p>
    <w:p>
      <w:pPr>
        <w:pStyle w:val="Heading1"/>
      </w:pPr>
      <w:r>
        <w:t>Herramientas</w:t>
      </w:r>
    </w:p>
    <w:p>
      <w:r>
        <w:t>Docling, Tesseract/tessdata_best y procesamiento de imagen son candidatos. La selección definitiva debe surgir de benchmarks propios.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