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Retrieval &amp; Evidence Specification v1.0</w:t>
      </w:r>
    </w:p>
    <w:p>
      <w:pPr>
        <w:jc w:val="center"/>
      </w:pPr>
      <w:r>
        <w:rPr>
          <w:i/>
        </w:rPr>
        <w:t>Búsqueda híbrida, reranking y evidencia</w:t>
      </w:r>
    </w:p>
    <w:p>
      <w:pPr>
        <w:pStyle w:val="Heading1"/>
      </w:pPr>
      <w:r>
        <w:t>Pipeline</w:t>
      </w:r>
    </w:p>
    <w:p>
      <w:r>
        <w:rPr>
          <w:rFonts w:ascii="Consolas" w:hAnsi="Consolas"/>
          <w:sz w:val="17"/>
        </w:rPr>
        <w:t>QUERY → NORMALIZE → DOMAIN/INTENT → FILTERS</w:t>
        <w:br/>
        <w:t>→ BM25 + VECTOR → FUSION → DEDUP → RERANK</w:t>
        <w:br/>
        <w:t>→ DIVERSITY/COVERAGE → EVIDENCE ASSEMBLY → CITATIONS</w:t>
      </w:r>
    </w:p>
    <w:p>
      <w:pPr>
        <w:pStyle w:val="Heading1"/>
      </w:pPr>
      <w:r>
        <w:t>Justificación</w:t>
      </w:r>
    </w:p>
    <w:p>
      <w:r>
        <w:t>BM25 favorece coincidencias exactas, acrónimos, códigos, radionúclidos y frases; embeddings aportan similitud semántica. GAMMA necesita ambas señales.</w:t>
      </w:r>
    </w:p>
    <w:p>
      <w:pPr>
        <w:pStyle w:val="Heading1"/>
      </w:pPr>
      <w:r>
        <w:t>Reranking</w:t>
      </w:r>
    </w:p>
    <w:p>
      <w:pPr>
        <w:pStyle w:val="ListBullet"/>
      </w:pPr>
      <w:r>
        <w:t>Aplicar sobre candidatos limitados.</w:t>
      </w:r>
    </w:p>
    <w:p>
      <w:pPr>
        <w:pStyle w:val="ListBullet"/>
      </w:pPr>
      <w:r>
        <w:t>Combinar relevancia, autoridad, actualidad y dominio.</w:t>
      </w:r>
    </w:p>
    <w:p>
      <w:pPr>
        <w:pStyle w:val="ListBullet"/>
      </w:pPr>
      <w:r>
        <w:t>Registrar score y versión.</w:t>
      </w:r>
    </w:p>
    <w:p>
      <w:pPr>
        <w:pStyle w:val="ListBullet"/>
      </w:pPr>
      <w:r>
        <w:t>No permitir que similitud semántica eclipse automáticamente una fuente de mayor autoridad.</w:t>
      </w:r>
    </w:p>
    <w:p>
      <w:pPr>
        <w:pStyle w:val="Heading1"/>
      </w:pPr>
      <w:r>
        <w:t>Evidence policy</w:t>
      </w:r>
    </w:p>
    <w:p>
      <w:pPr>
        <w:pStyle w:val="ListBullet"/>
      </w:pPr>
      <w:r>
        <w:t>Afirmaciones importantes deben mapear a evidencia.</w:t>
      </w:r>
    </w:p>
    <w:p>
      <w:pPr>
        <w:pStyle w:val="ListBullet"/>
      </w:pPr>
      <w:r>
        <w:t>Contradicciones se conservan y etiquetan.</w:t>
      </w:r>
    </w:p>
    <w:p>
      <w:pPr>
        <w:pStyle w:val="ListBullet"/>
      </w:pPr>
      <w:r>
        <w:t>Prioridad de fuentes configurable por dominio.</w:t>
      </w:r>
    </w:p>
    <w:p>
      <w:pPr>
        <w:pStyle w:val="ListBullet"/>
      </w:pPr>
      <w:r>
        <w:t>Evidencia insuficiente → abstención o declaración explícita.</w:t>
      </w:r>
    </w:p>
    <w:p>
      <w:pPr>
        <w:pStyle w:val="Heading1"/>
      </w:pPr>
      <w:r>
        <w:t>Métricas</w:t>
      </w:r>
    </w:p>
    <w:p>
      <w:pPr>
        <w:pStyle w:val="ListBullet"/>
      </w:pPr>
      <w:r>
        <w:t>Recall@k</w:t>
      </w:r>
    </w:p>
    <w:p>
      <w:pPr>
        <w:pStyle w:val="ListBullet"/>
      </w:pPr>
      <w:r>
        <w:t>Precision@k</w:t>
      </w:r>
    </w:p>
    <w:p>
      <w:pPr>
        <w:pStyle w:val="ListBullet"/>
      </w:pPr>
      <w:r>
        <w:t>MRR / nDCG</w:t>
      </w:r>
    </w:p>
    <w:p>
      <w:pPr>
        <w:pStyle w:val="ListBullet"/>
      </w:pPr>
      <w:r>
        <w:t>Source coverage</w:t>
      </w:r>
    </w:p>
    <w:p>
      <w:pPr>
        <w:pStyle w:val="ListBullet"/>
      </w:pPr>
      <w:r>
        <w:t>Citation correctness</w:t>
      </w:r>
    </w:p>
    <w:p>
      <w:pPr>
        <w:pStyle w:val="ListBullet"/>
      </w:pPr>
      <w:r>
        <w:t>Groundedness</w:t>
      </w:r>
    </w:p>
    <w:p>
      <w:pPr>
        <w:pStyle w:val="ListBullet"/>
      </w:pPr>
      <w:r>
        <w:t>Abstention quality</w:t>
      </w:r>
    </w:p>
    <w:p>
      <w:pPr>
        <w:pStyle w:val="ListBullet"/>
      </w:pPr>
      <w:r>
        <w:t>Latency p50/p95</w:t>
      </w:r>
    </w:p>
    <w:p>
      <w:pPr>
        <w:pStyle w:val="Heading1"/>
      </w:pPr>
      <w:r>
        <w:t>Evaluation</w:t>
      </w:r>
    </w:p>
    <w:p>
      <w:r>
        <w:t>Construir consultas gold de medicina nuclear, radiofarmacia, física médica, regulación, comparación temporal de guías y ambigüedad terminológica.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