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Security, Governance &amp; Compliance v1.0</w:t>
      </w:r>
    </w:p>
    <w:p>
      <w:pPr>
        <w:jc w:val="center"/>
      </w:pPr>
      <w:r>
        <w:rPr>
          <w:i/>
        </w:rPr>
        <w:t>Baseline de seguridad</w:t>
      </w:r>
    </w:p>
    <w:p>
      <w:pPr>
        <w:pStyle w:val="Heading1"/>
      </w:pPr>
      <w:r>
        <w:t>Controles</w:t>
      </w:r>
    </w:p>
    <w:p>
      <w:pPr>
        <w:pStyle w:val="ListBullet"/>
      </w:pPr>
      <w:r>
        <w:t>IAM y mínimo privilegio.</w:t>
      </w:r>
    </w:p>
    <w:p>
      <w:pPr>
        <w:pStyle w:val="ListBullet"/>
      </w:pPr>
      <w:r>
        <w:t>RBAC inicial; ABAC cuando esté justificado.</w:t>
      </w:r>
    </w:p>
    <w:p>
      <w:pPr>
        <w:pStyle w:val="ListBullet"/>
      </w:pPr>
      <w:r>
        <w:t>Separación dev/test/prod.</w:t>
      </w:r>
    </w:p>
    <w:p>
      <w:pPr>
        <w:pStyle w:val="ListBullet"/>
      </w:pPr>
      <w:r>
        <w:t>Secrets fuera de Git.</w:t>
      </w:r>
    </w:p>
    <w:p>
      <w:pPr>
        <w:pStyle w:val="ListBullet"/>
      </w:pPr>
      <w:r>
        <w:t>Cifrado en tránsito y reposo.</w:t>
      </w:r>
    </w:p>
    <w:p>
      <w:pPr>
        <w:pStyle w:val="ListBullet"/>
      </w:pPr>
      <w:r>
        <w:t>Auditoría de accesos y cambios.</w:t>
      </w:r>
    </w:p>
    <w:p>
      <w:pPr>
        <w:pStyle w:val="ListBullet"/>
      </w:pPr>
      <w:r>
        <w:t>Aislamiento por tenant cuando aplique.</w:t>
      </w:r>
    </w:p>
    <w:p>
      <w:pPr>
        <w:pStyle w:val="ListBullet"/>
      </w:pPr>
      <w:r>
        <w:t>Backups y restauración probada.</w:t>
      </w:r>
    </w:p>
    <w:p>
      <w:pPr>
        <w:pStyle w:val="ListBullet"/>
      </w:pPr>
      <w:r>
        <w:t>Dependency/security scanning.</w:t>
      </w:r>
    </w:p>
    <w:p>
      <w:pPr>
        <w:pStyle w:val="ListBullet"/>
      </w:pPr>
      <w:r>
        <w:t>Observabilidad y alertas.</w:t>
      </w:r>
    </w:p>
    <w:p>
      <w:pPr>
        <w:pStyle w:val="Heading1"/>
      </w:pPr>
      <w:r>
        <w:t>Datos clínicos</w:t>
      </w:r>
    </w:p>
    <w:p>
      <w:r>
        <w:t>El desarrollo inicial debe utilizar datos sintéticos, desidentificados o públicamente licenciados. Datos identificables requieren controles, autorización y gobernanza adecuados.</w:t>
      </w:r>
    </w:p>
    <w:p>
      <w:pPr>
        <w:pStyle w:val="Heading1"/>
      </w:pPr>
      <w:r>
        <w:t>IA clínica</w:t>
      </w:r>
    </w:p>
    <w:p>
      <w:pPr>
        <w:pStyle w:val="ListBullet"/>
      </w:pPr>
      <w:r>
        <w:t>No presentar inferencia como hecho.</w:t>
      </w:r>
    </w:p>
    <w:p>
      <w:pPr>
        <w:pStyle w:val="ListBullet"/>
      </w:pPr>
      <w:r>
        <w:t>Registrar modelo, versión y configuración.</w:t>
      </w:r>
    </w:p>
    <w:p>
      <w:pPr>
        <w:pStyle w:val="ListBullet"/>
      </w:pPr>
      <w:r>
        <w:t>Incluir evidencia y límites.</w:t>
      </w:r>
    </w:p>
    <w:p>
      <w:pPr>
        <w:pStyle w:val="ListBullet"/>
      </w:pPr>
      <w:r>
        <w:t>Permitir abstención.</w:t>
      </w:r>
    </w:p>
    <w:p>
      <w:pPr>
        <w:pStyle w:val="ListBullet"/>
      </w:pPr>
      <w:r>
        <w:t>Human-in-the-loop para decisiones de alto impacto.</w:t>
      </w:r>
    </w:p>
    <w:p>
      <w:pPr>
        <w:pStyle w:val="ListBullet"/>
      </w:pPr>
      <w:r>
        <w:t>Conservar audit trail.</w:t>
      </w:r>
    </w:p>
    <w:p>
      <w:pPr>
        <w:pStyle w:val="Heading1"/>
      </w:pPr>
      <w:r>
        <w:t>Regulación</w:t>
      </w:r>
    </w:p>
    <w:p>
      <w:r>
        <w:t>Los requisitos concretos de México y otros mercados deben ser revisados por especialistas legales/regulatorios antes de producción clínica. Este documento es una baseline de ingeniería, no una certificación.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