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Evaluation &amp; Benchmarking v1.0</w:t>
      </w:r>
    </w:p>
    <w:p>
      <w:pPr>
        <w:jc w:val="center"/>
      </w:pPr>
      <w:r>
        <w:rPr>
          <w:i/>
        </w:rPr>
        <w:t>Validación cuantitativa</w:t>
      </w:r>
    </w:p>
    <w:p>
      <w:pPr>
        <w:pStyle w:val="Heading1"/>
      </w:pPr>
      <w:r>
        <w:t>Objetivo</w:t>
      </w:r>
    </w:p>
    <w:p>
      <w:r>
        <w:t>Cada modificación importante debe medirse contra un baseline reproducible.</w:t>
      </w:r>
    </w:p>
    <w:p>
      <w:pPr>
        <w:pStyle w:val="Heading1"/>
      </w:pPr>
      <w:r>
        <w:t>Datasets</w:t>
      </w:r>
    </w:p>
    <w:p>
      <w:pPr>
        <w:pStyle w:val="ListBullet"/>
      </w:pPr>
      <w:r>
        <w:t>OCR gold corpus.</w:t>
      </w:r>
    </w:p>
    <w:p>
      <w:pPr>
        <w:pStyle w:val="ListBullet"/>
      </w:pPr>
      <w:r>
        <w:t>Parsing gold corpus.</w:t>
      </w:r>
    </w:p>
    <w:p>
      <w:pPr>
        <w:pStyle w:val="ListBullet"/>
      </w:pPr>
      <w:r>
        <w:t>Retrieval gold queries.</w:t>
      </w:r>
    </w:p>
    <w:p>
      <w:pPr>
        <w:pStyle w:val="ListBullet"/>
      </w:pPr>
      <w:r>
        <w:t>Evidence/citation gold cases.</w:t>
      </w:r>
    </w:p>
    <w:p>
      <w:pPr>
        <w:pStyle w:val="ListBullet"/>
      </w:pPr>
      <w:r>
        <w:t>Temporal/versioning cases.</w:t>
      </w:r>
    </w:p>
    <w:p>
      <w:pPr>
        <w:pStyle w:val="ListBullet"/>
      </w:pPr>
      <w:r>
        <w:t>Adversarial/ambiguous queries.</w:t>
      </w:r>
    </w:p>
    <w:p>
      <w:pPr>
        <w:pStyle w:val="Heading1"/>
      </w:pPr>
      <w:r>
        <w:t>Métricas</w:t>
      </w:r>
    </w:p>
    <w:p>
      <w:pPr>
        <w:pStyle w:val="ListBullet"/>
      </w:pPr>
      <w:r>
        <w:t>OCR: character/word accuracy, structural accuracy, table integrity.</w:t>
      </w:r>
    </w:p>
    <w:p>
      <w:pPr>
        <w:pStyle w:val="ListBullet"/>
      </w:pPr>
      <w:r>
        <w:t>Retrieval: Recall@k, Precision@k, MRR, nDCG.</w:t>
      </w:r>
    </w:p>
    <w:p>
      <w:pPr>
        <w:pStyle w:val="ListBullet"/>
      </w:pPr>
      <w:r>
        <w:t>Evidence: source coverage, citation correctness, groundedness.</w:t>
      </w:r>
    </w:p>
    <w:p>
      <w:pPr>
        <w:pStyle w:val="ListBullet"/>
      </w:pPr>
      <w:r>
        <w:t>System: p50/p95 latency, throughput, error rate.</w:t>
      </w:r>
    </w:p>
    <w:p>
      <w:pPr>
        <w:pStyle w:val="ListBullet"/>
      </w:pPr>
      <w:r>
        <w:t>Reliability: retry success, idempotency, recovery.</w:t>
      </w:r>
    </w:p>
    <w:p>
      <w:pPr>
        <w:pStyle w:val="Heading1"/>
      </w:pPr>
      <w:r>
        <w:t>Regla</w:t>
      </w:r>
    </w:p>
    <w:p>
      <w:r>
        <w:t>Una mejora de recall que degrade materialmente precision, provenance o latencia no debe aceptarse sin documentar el trade-off mediante ADR.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