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Knowledge Engine Implementation Roadmap v1.0</w:t>
      </w:r>
    </w:p>
    <w:p>
      <w:pPr>
        <w:jc w:val="center"/>
      </w:pPr>
      <w:r>
        <w:rPr>
          <w:i/>
        </w:rPr>
        <w:t>Orden y gates de implementación</w:t>
      </w:r>
    </w:p>
    <w:p>
      <w:pPr>
        <w:pStyle w:val="Heading1"/>
      </w:pPr>
      <w:r>
        <w:t>Fase 0 — Architecture Freeze</w:t>
      </w:r>
    </w:p>
    <w:p>
      <w:pPr>
        <w:pStyle w:val="ListNumber"/>
      </w:pPr>
      <w:r>
        <w:t>Revisar Master Architecture.</w:t>
      </w:r>
    </w:p>
    <w:p>
      <w:pPr>
        <w:pStyle w:val="ListNumber"/>
      </w:pPr>
      <w:r>
        <w:t>Revisar Data Model.</w:t>
      </w:r>
    </w:p>
    <w:p>
      <w:pPr>
        <w:pStyle w:val="ListNumber"/>
      </w:pPr>
      <w:r>
        <w:t>Revisar OCR y Retrieval.</w:t>
      </w:r>
    </w:p>
    <w:p>
      <w:pPr>
        <w:pStyle w:val="ListNumber"/>
      </w:pPr>
      <w:r>
        <w:t>Revisar Security baseline.</w:t>
      </w:r>
    </w:p>
    <w:p>
      <w:pPr>
        <w:pStyle w:val="ListNumber"/>
      </w:pPr>
      <w:r>
        <w:t>Crear ADR index.</w:t>
      </w:r>
    </w:p>
    <w:p>
      <w:pPr>
        <w:pStyle w:val="ListNumber"/>
      </w:pPr>
      <w:r>
        <w:t>Congelar schemas iniciales.</w:t>
      </w:r>
    </w:p>
    <w:p>
      <w:pPr>
        <w:pStyle w:val="Heading1"/>
      </w:pPr>
      <w:r>
        <w:t>Fase 1 — Foundation</w:t>
      </w:r>
    </w:p>
    <w:p>
      <w:pPr>
        <w:pStyle w:val="ListBullet"/>
      </w:pPr>
      <w:r>
        <w:t>Git/repository</w:t>
      </w:r>
    </w:p>
    <w:p>
      <w:pPr>
        <w:pStyle w:val="ListBullet"/>
      </w:pPr>
      <w:r>
        <w:t>Docker local</w:t>
      </w:r>
    </w:p>
    <w:p>
      <w:pPr>
        <w:pStyle w:val="ListBullet"/>
      </w:pPr>
      <w:r>
        <w:t>PostgreSQL</w:t>
      </w:r>
    </w:p>
    <w:p>
      <w:pPr>
        <w:pStyle w:val="ListBullet"/>
      </w:pPr>
      <w:r>
        <w:t>Qdrant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API/worker/CLI</w:t>
      </w:r>
    </w:p>
    <w:p>
      <w:pPr>
        <w:pStyle w:val="ListBullet"/>
      </w:pPr>
      <w:r>
        <w:t>CI</w:t>
      </w:r>
    </w:p>
    <w:p>
      <w:pPr>
        <w:pStyle w:val="ListBullet"/>
      </w:pPr>
      <w:r>
        <w:t>Observability</w:t>
      </w:r>
    </w:p>
    <w:p>
      <w:pPr>
        <w:pStyle w:val="Heading1"/>
      </w:pPr>
      <w:r>
        <w:t>Fase 2 — Ingestion</w:t>
      </w:r>
    </w:p>
    <w:p>
      <w:pPr>
        <w:pStyle w:val="ListBullet"/>
      </w:pPr>
      <w:r>
        <w:t>Source Registry</w:t>
      </w:r>
    </w:p>
    <w:p>
      <w:pPr>
        <w:pStyle w:val="ListBullet"/>
      </w:pPr>
      <w:r>
        <w:t>Artifact store</w:t>
      </w:r>
    </w:p>
    <w:p>
      <w:pPr>
        <w:pStyle w:val="ListBullet"/>
      </w:pPr>
      <w:r>
        <w:t>Idempotent jobs</w:t>
      </w:r>
    </w:p>
    <w:p>
      <w:pPr>
        <w:pStyle w:val="ListBullet"/>
      </w:pPr>
      <w:r>
        <w:t>Status machine</w:t>
      </w:r>
    </w:p>
    <w:p>
      <w:pPr>
        <w:pStyle w:val="ListBullet"/>
      </w:pPr>
      <w:r>
        <w:t>Metadata</w:t>
      </w:r>
    </w:p>
    <w:p>
      <w:pPr>
        <w:pStyle w:val="Heading1"/>
      </w:pPr>
      <w:r>
        <w:t>Fase 3 — Document Understanding</w:t>
      </w:r>
    </w:p>
    <w:p>
      <w:pPr>
        <w:pStyle w:val="ListBullet"/>
      </w:pPr>
      <w:r>
        <w:t>Text extraction</w:t>
      </w:r>
    </w:p>
    <w:p>
      <w:pPr>
        <w:pStyle w:val="ListBullet"/>
      </w:pPr>
      <w:r>
        <w:t>Layout parsing</w:t>
      </w:r>
    </w:p>
    <w:p>
      <w:pPr>
        <w:pStyle w:val="ListBullet"/>
      </w:pPr>
      <w:r>
        <w:t>OCR fallback</w:t>
      </w:r>
    </w:p>
    <w:p>
      <w:pPr>
        <w:pStyle w:val="ListBullet"/>
      </w:pPr>
      <w:r>
        <w:t>Tables/figures</w:t>
      </w:r>
    </w:p>
    <w:p>
      <w:pPr>
        <w:pStyle w:val="ListBullet"/>
      </w:pPr>
      <w:r>
        <w:t>Quality reports</w:t>
      </w:r>
    </w:p>
    <w:p>
      <w:pPr>
        <w:pStyle w:val="ListBullet"/>
      </w:pPr>
      <w:r>
        <w:t>Golden corpus</w:t>
      </w:r>
    </w:p>
    <w:p>
      <w:pPr>
        <w:pStyle w:val="Heading1"/>
      </w:pPr>
      <w:r>
        <w:t>Fase 4 — Knowledge Preparation</w:t>
      </w:r>
    </w:p>
    <w:p>
      <w:pPr>
        <w:pStyle w:val="ListBullet"/>
      </w:pPr>
      <w:r>
        <w:t>Normalization</w:t>
      </w:r>
    </w:p>
    <w:p>
      <w:pPr>
        <w:pStyle w:val="ListBullet"/>
      </w:pPr>
      <w:r>
        <w:t>Chunking</w:t>
      </w:r>
    </w:p>
    <w:p>
      <w:pPr>
        <w:pStyle w:val="ListBullet"/>
      </w:pPr>
      <w:r>
        <w:t>Embeddings</w:t>
      </w:r>
    </w:p>
    <w:p>
      <w:pPr>
        <w:pStyle w:val="ListBullet"/>
      </w:pPr>
      <w:r>
        <w:t>Metadata filters</w:t>
      </w:r>
    </w:p>
    <w:p>
      <w:pPr>
        <w:pStyle w:val="ListBullet"/>
      </w:pPr>
      <w:r>
        <w:t>Versioning</w:t>
      </w:r>
    </w:p>
    <w:p>
      <w:pPr>
        <w:pStyle w:val="Heading1"/>
      </w:pPr>
      <w:r>
        <w:t>Fase 5 — Retrieval</w:t>
      </w:r>
    </w:p>
    <w:p>
      <w:pPr>
        <w:pStyle w:val="ListBullet"/>
      </w:pPr>
      <w:r>
        <w:t>BM25</w:t>
      </w:r>
    </w:p>
    <w:p>
      <w:pPr>
        <w:pStyle w:val="ListBullet"/>
      </w:pPr>
      <w:r>
        <w:t>Vector</w:t>
      </w:r>
    </w:p>
    <w:p>
      <w:pPr>
        <w:pStyle w:val="ListBullet"/>
      </w:pPr>
      <w:r>
        <w:t>Hybrid fusion</w:t>
      </w:r>
    </w:p>
    <w:p>
      <w:pPr>
        <w:pStyle w:val="ListBullet"/>
      </w:pPr>
      <w:r>
        <w:t>Reranking</w:t>
      </w:r>
    </w:p>
    <w:p>
      <w:pPr>
        <w:pStyle w:val="ListBullet"/>
      </w:pPr>
      <w:r>
        <w:t>Evidence</w:t>
      </w:r>
    </w:p>
    <w:p>
      <w:pPr>
        <w:pStyle w:val="ListBullet"/>
      </w:pPr>
      <w:r>
        <w:t>Citations</w:t>
      </w:r>
    </w:p>
    <w:p>
      <w:pPr>
        <w:pStyle w:val="Heading1"/>
      </w:pPr>
      <w:r>
        <w:t>Fase 6 — Evaluation</w:t>
      </w:r>
    </w:p>
    <w:p>
      <w:pPr>
        <w:pStyle w:val="ListBullet"/>
      </w:pPr>
      <w:r>
        <w:t>Gold set</w:t>
      </w:r>
    </w:p>
    <w:p>
      <w:pPr>
        <w:pStyle w:val="ListBullet"/>
      </w:pPr>
      <w:r>
        <w:t>Regression</w:t>
      </w:r>
    </w:p>
    <w:p>
      <w:pPr>
        <w:pStyle w:val="ListBullet"/>
      </w:pPr>
      <w:r>
        <w:t>Groundedness</w:t>
      </w:r>
    </w:p>
    <w:p>
      <w:pPr>
        <w:pStyle w:val="ListBullet"/>
      </w:pPr>
      <w:r>
        <w:t>Citation correctness</w:t>
      </w:r>
    </w:p>
    <w:p>
      <w:pPr>
        <w:pStyle w:val="ListBullet"/>
      </w:pPr>
      <w:r>
        <w:t>Latency</w:t>
      </w:r>
    </w:p>
    <w:p>
      <w:pPr>
        <w:pStyle w:val="Heading1"/>
      </w:pPr>
      <w:r>
        <w:t>Fase 7 — Knowledge Graph</w:t>
      </w:r>
    </w:p>
    <w:p>
      <w:pPr>
        <w:pStyle w:val="ListBullet"/>
      </w:pPr>
      <w:r>
        <w:t>Entity extraction</w:t>
      </w:r>
    </w:p>
    <w:p>
      <w:pPr>
        <w:pStyle w:val="ListBullet"/>
      </w:pPr>
      <w:r>
        <w:t>Canonicalization</w:t>
      </w:r>
    </w:p>
    <w:p>
      <w:pPr>
        <w:pStyle w:val="ListBullet"/>
      </w:pPr>
      <w:r>
        <w:t>Ontology adapters</w:t>
      </w:r>
    </w:p>
    <w:p>
      <w:pPr>
        <w:pStyle w:val="ListBullet"/>
      </w:pPr>
      <w:r>
        <w:t>Relations</w:t>
      </w:r>
    </w:p>
    <w:p>
      <w:pPr>
        <w:pStyle w:val="ListBullet"/>
      </w:pPr>
      <w:r>
        <w:t>Temporal validity</w:t>
      </w:r>
    </w:p>
    <w:p>
      <w:pPr>
        <w:pStyle w:val="Heading1"/>
      </w:pPr>
      <w:r>
        <w:t>Fase 8 — GAMMA AI</w:t>
      </w:r>
    </w:p>
    <w:p>
      <w:pPr>
        <w:pStyle w:val="ListBullet"/>
      </w:pPr>
      <w:r>
        <w:t>Tool interface</w:t>
      </w:r>
    </w:p>
    <w:p>
      <w:pPr>
        <w:pStyle w:val="ListBullet"/>
      </w:pPr>
      <w:r>
        <w:t>Agent retrieval</w:t>
      </w:r>
    </w:p>
    <w:p>
      <w:pPr>
        <w:pStyle w:val="ListBullet"/>
      </w:pPr>
      <w:r>
        <w:t>Evidence-aware generation</w:t>
      </w:r>
    </w:p>
    <w:p>
      <w:pPr>
        <w:pStyle w:val="ListBullet"/>
      </w:pPr>
      <w:r>
        <w:t>Abstention</w:t>
      </w:r>
    </w:p>
    <w:p>
      <w:pPr>
        <w:pStyle w:val="ListBullet"/>
      </w:pPr>
      <w:r>
        <w:t>Audit trail</w:t>
      </w:r>
    </w:p>
    <w:p>
      <w:pPr>
        <w:pStyle w:val="Heading1"/>
      </w:pPr>
      <w:r>
        <w:t>Fase 9 — Pilot</w:t>
      </w:r>
    </w:p>
    <w:p>
      <w:r>
        <w:t>Usar primero un corpus controlado de medicina nuclear/radiofarmacia/física médica; debe ser suficientemente complejo para probar radionúclidos, unidades, tablas, guías y literatura.</w:t>
      </w:r>
    </w:p>
    <w:p>
      <w:pPr>
        <w:pStyle w:val="Heading1"/>
      </w:pPr>
      <w:r>
        <w:t>Gates</w:t>
      </w:r>
    </w:p>
    <w:p>
      <w:r>
        <w:rPr>
          <w:rFonts w:ascii="Consolas" w:hAnsi="Consolas"/>
          <w:sz w:val="17"/>
        </w:rPr>
        <w:t>G0 Architecture approved</w:t>
        <w:br/>
        <w:t>G1 Foundation CI green</w:t>
        <w:br/>
        <w:t>G2 Ingestion reproducible</w:t>
        <w:br/>
        <w:t>G3 OCR benchmark passed</w:t>
        <w:br/>
        <w:t>G4 Retrieval baseline</w:t>
        <w:br/>
        <w:t>G5 Evidence/citation verified</w:t>
        <w:br/>
        <w:t>G6 Security baseline</w:t>
        <w:br/>
        <w:t>G7 Pilot evaluation passed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