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ADR Register v1.0</w:t>
      </w:r>
    </w:p>
    <w:p>
      <w:pPr>
        <w:jc w:val="center"/>
      </w:pPr>
      <w:r>
        <w:rPr>
          <w:i/>
        </w:rPr>
        <w:t>Índice de decisiones arquitectónicas</w:t>
      </w:r>
    </w:p>
    <w:p>
      <w:pPr>
        <w:pStyle w:val="Heading1"/>
      </w:pPr>
      <w:r>
        <w:t>Propósito</w:t>
      </w:r>
    </w:p>
    <w:p>
      <w:r>
        <w:t>Los ADRs conservan el razonamiento detrás de decisiones que podrían afectar interfaces, datos, seguridad o proveedores. Son esenciales cuando trabajan varios agentes.</w:t>
      </w:r>
    </w:p>
    <w:p>
      <w:pPr>
        <w:pStyle w:val="Heading1"/>
      </w:pPr>
      <w:r>
        <w:t>ADRs iniciales</w:t>
      </w:r>
    </w:p>
    <w:p>
      <w:pPr>
        <w:pStyle w:val="ListBullet"/>
      </w:pPr>
      <w:r>
        <w:t>ADR-0001 LLM-agnostic architecture</w:t>
      </w:r>
    </w:p>
    <w:p>
      <w:pPr>
        <w:pStyle w:val="ListBullet"/>
      </w:pPr>
      <w:r>
        <w:t>ADR-0002 PostgreSQL metadata store</w:t>
      </w:r>
    </w:p>
    <w:p>
      <w:pPr>
        <w:pStyle w:val="ListBullet"/>
      </w:pPr>
      <w:r>
        <w:t>ADR-0003 Qdrant vector store</w:t>
      </w:r>
    </w:p>
    <w:p>
      <w:pPr>
        <w:pStyle w:val="ListBullet"/>
      </w:pPr>
      <w:r>
        <w:t>ADR-0004 Object storage strategy</w:t>
      </w:r>
    </w:p>
    <w:p>
      <w:pPr>
        <w:pStyle w:val="ListBullet"/>
      </w:pPr>
      <w:r>
        <w:t>ADR-0005 Lexical/BM25 engine — benchmark</w:t>
      </w:r>
    </w:p>
    <w:p>
      <w:pPr>
        <w:pStyle w:val="ListBullet"/>
      </w:pPr>
      <w:r>
        <w:t>ADR-0006 Embedding model policy — benchmark</w:t>
      </w:r>
    </w:p>
    <w:p>
      <w:pPr>
        <w:pStyle w:val="ListBullet"/>
      </w:pPr>
      <w:r>
        <w:t>ADR-0007 Reranker policy — benchmark</w:t>
      </w:r>
    </w:p>
    <w:p>
      <w:pPr>
        <w:pStyle w:val="ListBullet"/>
      </w:pPr>
      <w:r>
        <w:t>ADR-0008 Parser/OCR routing — benchmark</w:t>
      </w:r>
    </w:p>
    <w:p>
      <w:pPr>
        <w:pStyle w:val="ListBullet"/>
      </w:pPr>
      <w:r>
        <w:t>ADR-0009 UUID/ULID — decide</w:t>
      </w:r>
    </w:p>
    <w:p>
      <w:pPr>
        <w:pStyle w:val="ListBullet"/>
      </w:pPr>
      <w:r>
        <w:t>ADR-0010 API versioning</w:t>
      </w:r>
    </w:p>
    <w:p>
      <w:pPr>
        <w:pStyle w:val="ListBullet"/>
      </w:pPr>
      <w:r>
        <w:t>ADR-0011 Clinical data boundary</w:t>
      </w:r>
    </w:p>
    <w:p>
      <w:pPr>
        <w:pStyle w:val="ListBullet"/>
      </w:pPr>
      <w:r>
        <w:t>ADR-0012 Agent governance</w:t>
      </w:r>
    </w:p>
    <w:p>
      <w:pPr>
        <w:pStyle w:val="Heading1"/>
      </w:pPr>
      <w:r>
        <w:t>Plantilla</w:t>
      </w:r>
    </w:p>
    <w:p>
      <w:r>
        <w:rPr>
          <w:rFonts w:ascii="Consolas" w:hAnsi="Consolas"/>
          <w:sz w:val="17"/>
        </w:rPr>
        <w:t># ADR-NNNN</w:t>
        <w:br/>
        <w:t>Title:</w:t>
        <w:br/>
        <w:t>Status:</w:t>
        <w:br/>
        <w:t>Context:</w:t>
        <w:br/>
        <w:t>Decision:</w:t>
        <w:br/>
        <w:t>Alternatives:</w:t>
        <w:br/>
        <w:t>Consequences:</w:t>
        <w:br/>
        <w:t>Security impact:</w:t>
        <w:br/>
        <w:t>Migration/rollback:</w:t>
        <w:br/>
        <w:t>Date:</w:t>
        <w:br/>
        <w:t>Owner:</w:t>
      </w:r>
    </w:p>
    <w:p>
      <w:pPr>
        <w:pStyle w:val="Heading1"/>
      </w:pPr>
      <w:r>
        <w:t>Regla</w:t>
      </w:r>
    </w:p>
    <w:p>
      <w:r>
        <w:t>Un agente no debe introducir una decisión estructural sólo en el chat. Debe convertirla en propuesta de ADR dentro de Git.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