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Technical Rationale &amp; Sources v1.0</w:t>
      </w:r>
    </w:p>
    <w:p>
      <w:pPr>
        <w:jc w:val="center"/>
      </w:pPr>
      <w:r>
        <w:rPr>
          <w:i/>
        </w:rPr>
        <w:t>Sustento y fuentes oficiales para la selección de plataformas</w:t>
      </w:r>
    </w:p>
    <w:p>
      <w:pPr>
        <w:pStyle w:val="Heading1"/>
      </w:pPr>
      <w:r>
        <w:t>Codex</w:t>
      </w:r>
    </w:p>
    <w:p>
      <w:r>
        <w:t>La documentación oficial de OpenAI describe Codex como un agente de codificación para tareas de ingeniería sobre repositorios, incluyendo implementación, refactorización, migraciones y trabajo multiagente. Esto sustenta su papel como Primary Engineer.</w:t>
      </w:r>
    </w:p>
    <w:p>
      <w:r>
        <w:t>Fuente oficial: https://openai.com/codex/</w:t>
      </w:r>
    </w:p>
    <w:p>
      <w:pPr>
        <w:pStyle w:val="Heading1"/>
      </w:pPr>
      <w:r>
        <w:t>Kimi Code</w:t>
      </w:r>
    </w:p>
    <w:p>
      <w:r>
        <w:t>La documentación oficial de Kimi Code describe herramientas de lectura/edición/ejecución, contexto amplio y AgentSwarm para trabajo paralelo. Esto sustenta su papel para análisis de grandes codebases y tareas paralelas aisladas.</w:t>
      </w:r>
    </w:p>
    <w:p>
      <w:r>
        <w:t>Fuentes oficiales: https://www.kimi.com/code/docs/en/</w:t>
      </w:r>
    </w:p>
    <w:p>
      <w:pPr>
        <w:pStyle w:val="Heading1"/>
      </w:pPr>
      <w:r>
        <w:t>Z.ai / GLM</w:t>
      </w:r>
    </w:p>
    <w:p>
      <w:r>
        <w:t>Z.ai documenta GLM y herramientas de agentic engineering, además de integración con herramientas de coding. Se recomienda como benchmark y agente auxiliar, no como dependencia estructural.</w:t>
      </w:r>
    </w:p>
    <w:p>
      <w:r>
        <w:t>Fuentes oficiales: https://docs.z.ai/guides/overview/quick-start</w:t>
      </w:r>
    </w:p>
    <w:p>
      <w:pPr>
        <w:pStyle w:val="Heading1"/>
      </w:pPr>
      <w:r>
        <w:t>Criterio general</w:t>
      </w:r>
    </w:p>
    <w:p>
      <w:r>
        <w:t>Las capacidades de estos productos cambian rápidamente. Por eso el diseño de GAMMA es deliberadamente proveedor-agnóstico: el repositorio, los schemas, ADRs y tests deben sobrevivir a un cambio de plataforma.</w:t>
      </w:r>
    </w:p>
    <w:p>
      <w:pPr>
        <w:pStyle w:val="Heading1"/>
      </w:pPr>
      <w:r>
        <w:t>Validación futura</w:t>
      </w:r>
    </w:p>
    <w:p>
      <w:r>
        <w:t>Antes de producción se deben realizar benchmarks con el corpus real autorizado, pruebas de seguridad, revisión de licenciamiento, privacidad, rendimiento, recuperación ante fallos y requisitos regulatorios aplicables.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