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GAMMA SOFTWARE ENGINEERING HANDBOOK</w:t>
      </w:r>
    </w:p>
    <w:p>
      <w:r>
        <w:t>GAMMA Engine | Canonical Documentation</w:t>
      </w:r>
    </w:p>
    <w:p>
      <w:r>
        <w:t>Version 1.0 | Engineering Practice Standard</w:t>
      </w:r>
    </w:p>
    <w:p>
      <w:pPr>
        <w:pStyle w:val="Heading1"/>
      </w:pPr>
      <w:r>
        <w:t>1. OBJECTIVE</w:t>
      </w:r>
    </w:p>
    <w:p>
      <w:r>
        <w:t>Translate the Development Constitution into daily engineering practice.</w:t>
      </w:r>
    </w:p>
    <w:p>
      <w:pPr>
        <w:pStyle w:val="Heading1"/>
      </w:pPr>
      <w:r>
        <w:t>2. REPOSITORY WORKFLOW</w:t>
      </w:r>
    </w:p>
    <w:p>
      <w:r>
        <w:t>Default flow:</w:t>
      </w:r>
    </w:p>
    <w:p>
      <w:r>
        <w:t>issue/specification -&gt; branch -&gt; implementation -&gt; tests -&gt; local validation -&gt; pull request -&gt; CI -&gt; review -&gt; merge -&gt; tag/release when applicable.</w:t>
      </w:r>
    </w:p>
    <w:p>
      <w:r>
        <w:t>Branches should be short-lived and purpose-specific. Avoid long-lived feature branches.</w:t>
      </w:r>
    </w:p>
    <w:p>
      <w:pPr>
        <w:pStyle w:val="Heading1"/>
      </w:pPr>
      <w:r>
        <w:t>3. COMMIT STANDARD</w:t>
      </w:r>
    </w:p>
    <w:p>
      <w:r>
        <w:t>Commits should be atomic and explain intent. Recommended format:</w:t>
      </w:r>
    </w:p>
    <w:p>
      <w:r>
        <w:t>type(scope): summary</w:t>
      </w:r>
    </w:p>
    <w:p>
      <w:r>
        <w:t>Examples: feat(ingestion): add source registration endpoint</w:t>
      </w:r>
    </w:p>
    <w:p>
      <w:r>
        <w:t>fix(retrieval): preserve temporal filters</w:t>
      </w:r>
    </w:p>
    <w:p>
      <w:r>
        <w:t>test(api): add contract tests</w:t>
      </w:r>
    </w:p>
    <w:p>
      <w:pPr>
        <w:pStyle w:val="Heading1"/>
      </w:pPr>
      <w:r>
        <w:t>4. PYTHON STANDARD</w:t>
      </w:r>
    </w:p>
    <w:p>
      <w:r>
        <w:t>Use modern Python typing, explicit interfaces, small cohesive modules, dependency inversion, deterministic configuration and structured exceptions. Format/lint/type-checking should be automated in CI. Avoid hidden global state and import-time side effects.</w:t>
      </w:r>
    </w:p>
    <w:p>
      <w:pPr>
        <w:pStyle w:val="Heading1"/>
      </w:pPr>
      <w:r>
        <w:t>5. CONFIGURATION</w:t>
      </w:r>
    </w:p>
    <w:p>
      <w:r>
        <w:t>Configuration is environment-specific and externalized. Use typed settings. Fail fast for invalid mandatory configuration. Never silently substitute insecure defaults in production.</w:t>
      </w:r>
    </w:p>
    <w:p>
      <w:pPr>
        <w:pStyle w:val="Heading1"/>
      </w:pPr>
      <w:r>
        <w:t>6. ERRORS</w:t>
      </w:r>
    </w:p>
    <w:p>
      <w:r>
        <w:t>Define domain errors separately from infrastructure errors. API errors must have stable machine-readable codes, human-readable messages, correlation/request IDs and appropriate HTTP semantics. Never leak secrets or internal stack traces to clients.</w:t>
      </w:r>
    </w:p>
    <w:p>
      <w:pPr>
        <w:pStyle w:val="Heading1"/>
      </w:pPr>
      <w:r>
        <w:t>7. LOGGING</w:t>
      </w:r>
    </w:p>
    <w:p>
      <w:r>
        <w:t>Use structured logs. Include timestamp, service, environment, level, event name, correlation ID and relevant non-sensitive identifiers. Do not log PHI, credentials, tokens or raw document contents by default.</w:t>
      </w:r>
    </w:p>
    <w:p>
      <w:pPr>
        <w:pStyle w:val="Heading1"/>
      </w:pPr>
      <w:r>
        <w:t>8. OBSERVABILITY</w:t>
      </w:r>
    </w:p>
    <w:p>
      <w:r>
        <w:t>Instrument important request, ingestion and retrieval paths with metrics, logs and traces. Minimum operational metrics include request latency, error rate, queue depth, ingestion throughput, retrieval latency, failed jobs and dependency health.</w:t>
      </w:r>
    </w:p>
    <w:p>
      <w:pPr>
        <w:pStyle w:val="Heading1"/>
      </w:pPr>
      <w:r>
        <w:t>9. TESTING STRATEGY</w:t>
      </w:r>
    </w:p>
    <w:p>
      <w:r>
        <w:t>Unit: deterministic business logic.</w:t>
      </w:r>
    </w:p>
    <w:p>
      <w:r>
        <w:t>Integration: PostgreSQL/Qdrant/object storage and service boundaries.</w:t>
      </w:r>
    </w:p>
    <w:p>
      <w:r>
        <w:t>Contract: API and schema compatibility.</w:t>
      </w:r>
    </w:p>
    <w:p>
      <w:r>
        <w:t>E2E: representative workflows.</w:t>
      </w:r>
    </w:p>
    <w:p>
      <w:r>
        <w:t>Regression: fixed gold cases.</w:t>
      </w:r>
    </w:p>
    <w:p>
      <w:r>
        <w:t>Security: authentication, authorization, injection, secret handling and dependency vulnerabilities.</w:t>
      </w:r>
    </w:p>
    <w:p>
      <w:r>
        <w:t>Performance: latency, throughput and resource use.</w:t>
      </w:r>
    </w:p>
    <w:p>
      <w:r>
        <w:t>Knowledge-specific: OCR fidelity, retrieval recall, citation correctness, provenance and temporal filtering.</w:t>
      </w:r>
    </w:p>
    <w:p>
      <w:pPr>
        <w:pStyle w:val="Heading1"/>
      </w:pPr>
      <w:r>
        <w:t>10. TEST PYRAMID</w:t>
      </w:r>
    </w:p>
    <w:p>
      <w:r>
        <w:t>Prefer many fast unit tests, a meaningful integration layer, fewer expensive E2E tests, and a dedicated regression corpus.</w:t>
      </w:r>
    </w:p>
    <w:p>
      <w:pPr>
        <w:pStyle w:val="Heading1"/>
      </w:pPr>
      <w:r>
        <w:t>11. API PRACTICE</w:t>
      </w:r>
    </w:p>
    <w:p>
      <w:r>
        <w:t>All public APIs are contract-first. OpenAPI is generated/validated from the canonical implementation or maintained as an explicit contract depending on project policy. Breaking changes require versioning and migration.</w:t>
      </w:r>
    </w:p>
    <w:p>
      <w:pPr>
        <w:pStyle w:val="Heading1"/>
      </w:pPr>
      <w:r>
        <w:t>12. DATABASE PRACTICE</w:t>
      </w:r>
    </w:p>
    <w:p>
      <w:r>
        <w:t>Schema changes require migrations. Destructive migrations require explicit rollout/rollback analysis. Indexes and constraints are part of correctness, not only optimization.</w:t>
      </w:r>
    </w:p>
    <w:p>
      <w:pPr>
        <w:pStyle w:val="Heading1"/>
      </w:pPr>
      <w:r>
        <w:t>13. DEPENDENCIES</w:t>
      </w:r>
    </w:p>
    <w:p>
      <w:r>
        <w:t>Pin or constrain versions according to reproducibility policy. Record license and security posture. Remove unused dependencies. Prefer standard library or mature maintained components when appropriate.</w:t>
      </w:r>
    </w:p>
    <w:p>
      <w:pPr>
        <w:pStyle w:val="Heading1"/>
      </w:pPr>
      <w:r>
        <w:t>14. DOCUMENTATION</w:t>
      </w:r>
    </w:p>
    <w:p>
      <w:r>
        <w:t>Each subsystem has a README, technical specification, operational notes and ADRs for major decisions. Examples must be executable or explicitly marked illustrative.</w:t>
      </w:r>
    </w:p>
    <w:p>
      <w:pPr>
        <w:pStyle w:val="Heading1"/>
      </w:pPr>
      <w:r>
        <w:t>15. REVIEW PRACTICE</w:t>
      </w:r>
    </w:p>
    <w:p>
      <w:r>
        <w:t>Review correctness, security, maintainability, observability, tests, compatibility and scope. Reviewers should challenge assumptions, not merely style.</w:t>
      </w:r>
    </w:p>
    <w:p>
      <w:pPr>
        <w:pStyle w:val="Heading1"/>
      </w:pPr>
      <w:r>
        <w:t>16. RELEASE PRACTICE</w:t>
      </w:r>
    </w:p>
    <w:p>
      <w:r>
        <w:t>Every release has a version, changelog, artifact identity, migration notes when relevant and rollback procedure. Production deployment must be reproducible.</w:t>
      </w:r>
    </w:p>
    <w:p>
      <w:pPr>
        <w:pStyle w:val="Heading1"/>
      </w:pPr>
      <w:r>
        <w:t>17. AI-ASSISTED DEVELOPMENT</w:t>
      </w:r>
    </w:p>
    <w:p>
      <w:r>
        <w:t>AI-generated code is treated as untrusted implementation until tests and human/agent review establish correctness. Agents must not invent APIs, dependencies, credentials or undocumented architecture.</w:t>
      </w:r>
    </w:p>
    <w:p>
      <w:pPr>
        <w:pStyle w:val="Heading1"/>
      </w:pPr>
      <w:r>
        <w:t>18. PERFORMANCE</w:t>
      </w:r>
    </w:p>
    <w:p>
      <w:r>
        <w:t>Optimize after measurement. Establish baselines before significant optimization. Preserve correctness and observability.</w:t>
      </w:r>
    </w:p>
    <w:p>
      <w:pPr>
        <w:pStyle w:val="Heading1"/>
      </w:pPr>
      <w:r>
        <w:t>19. MAINTAINABILITY</w:t>
      </w:r>
    </w:p>
    <w:p>
      <w:r>
        <w:t>Prefer simple interfaces, explicit data flow, modularity and reversible decisions. Avoid premature microservices and unnecessary abstractions.</w:t>
      </w:r>
    </w:p>
    <w:p>
      <w:pPr>
        <w:pStyle w:val="Heading1"/>
      </w:pPr>
      <w:r>
        <w:t>20. OPERATIONAL READINESS</w:t>
      </w:r>
    </w:p>
    <w:p>
      <w:r>
        <w:t>A production-capable component needs health checks, metrics, logs, failure handling, configuration documentation and backup/recovery considerations appropriate to its role.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