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GAMMA KNOWLEDGE ENGINE</w:t>
      </w:r>
    </w:p>
    <w:p>
      <w:r>
        <w:t>GAMMA Engine | Canonical Documentation</w:t>
      </w:r>
    </w:p>
    <w:p>
      <w:pPr>
        <w:pStyle w:val="Heading2"/>
      </w:pPr>
      <w:r>
        <w:t>DETAILED TECHNICAL SPECIFICATION</w:t>
      </w:r>
    </w:p>
    <w:p>
      <w:r>
        <w:t>Version 1.0 | Canonical Subsystem Specification</w:t>
      </w:r>
    </w:p>
    <w:p>
      <w:pPr>
        <w:pStyle w:val="Heading1"/>
      </w:pPr>
      <w:r>
        <w:t>1. PURPOSE</w:t>
      </w:r>
    </w:p>
    <w:p>
      <w:r>
        <w:t>The Knowledge Engine converts heterogeneous source material into versioned, traceable, searchable and evidence-aware knowledge. It is not merely a PDF chatbot.</w:t>
      </w:r>
    </w:p>
    <w:p>
      <w:pPr>
        <w:pStyle w:val="Heading1"/>
      </w:pPr>
      <w:r>
        <w:t>2. DESIGN PRINCIPLES</w:t>
      </w:r>
    </w:p>
    <w:p>
      <w:r>
        <w:t>Evidence-first; provenance-first; temporal awareness; domain separation; reproducibility; idempotency; resumability; human review for high-impact promotion; model/provider agnosticism.</w:t>
      </w:r>
    </w:p>
    <w:p>
      <w:pPr>
        <w:pStyle w:val="Heading1"/>
      </w:pPr>
      <w:r>
        <w:t>3. END-TO-END PIPELINE</w:t>
      </w:r>
    </w:p>
    <w:p>
      <w:r>
        <w:t>REGISTER -&gt; RAW STORE -&gt; CLASSIFY -&gt; EXTRACT -&gt; OCR IF REQUIRED -&gt; PARSE -&gt; NORMALIZE -&gt; QUALITY GATE -&gt; CHUNK -&gt; ENRICH -&gt; EMBED -&gt; INDEX -&gt; LINK -&gt; VERSION -&gt; PUBLISH -&gt; RETRIEVE -&gt; RERANK -&gt; EVIDENCE ASSEMBLY.</w:t>
      </w:r>
    </w:p>
    <w:p>
      <w:pPr>
        <w:pStyle w:val="Heading1"/>
      </w:pPr>
      <w:r>
        <w:t>4. SOURCE REGISTRATION</w:t>
      </w:r>
    </w:p>
    <w:p>
      <w:r>
        <w:t>A source receives a stable source_id. Registration records origin, owner, source type, acquisition time, licensing/governance status, language, domain, checksum and ingestion policy.</w:t>
      </w:r>
    </w:p>
    <w:p>
      <w:pPr>
        <w:pStyle w:val="Heading1"/>
      </w:pPr>
      <w:r>
        <w:t>5. RAW ARTIFACT</w:t>
      </w:r>
    </w:p>
    <w:p>
      <w:r>
        <w:t>Original bytes are immutable. Store checksum, MIME type, size, acquisition metadata and storage URI. Derived processing must never overwrite the original.</w:t>
      </w:r>
    </w:p>
    <w:p>
      <w:pPr>
        <w:pStyle w:val="Heading1"/>
      </w:pPr>
      <w:r>
        <w:t>6. CLASSIFICATION</w:t>
      </w:r>
    </w:p>
    <w:p>
      <w:r>
        <w:t>Determine document type, language, domain, expected extraction path, sensitivity class and processing priority. Classification may use rules or models but must be observable.</w:t>
      </w:r>
    </w:p>
    <w:p>
      <w:pPr>
        <w:pStyle w:val="Heading1"/>
      </w:pPr>
      <w:r>
        <w:t>7. EXTRACTION</w:t>
      </w:r>
    </w:p>
    <w:p>
      <w:r>
        <w:t>Prefer native text extraction when quality is adequate. Detect scanned/image pages and route selectively to OCR. Preserve page boundaries, headings, tables, figures, references and coordinates where available.</w:t>
      </w:r>
    </w:p>
    <w:p>
      <w:pPr>
        <w:pStyle w:val="Heading1"/>
      </w:pPr>
      <w:r>
        <w:t>8. OCR</w:t>
      </w:r>
    </w:p>
    <w:p>
      <w:r>
        <w:t>OCR is a derived artifact. Store engine/version/configuration, language models, confidence statistics and page-level quality. Critical terminology tests include radionuclides, units, Greek characters, superscripts/subscripts and scientific notation.</w:t>
      </w:r>
    </w:p>
    <w:p>
      <w:pPr>
        <w:pStyle w:val="Heading1"/>
      </w:pPr>
      <w:r>
        <w:t>9. NORMALIZATION</w:t>
      </w:r>
    </w:p>
    <w:p>
      <w:r>
        <w:t>Normalize whitespace, Unicode and structural representations without destroying original meaning. Preserve original text and normalized text as separate representations.</w:t>
      </w:r>
    </w:p>
    <w:p>
      <w:pPr>
        <w:pStyle w:val="Heading1"/>
      </w:pPr>
      <w:r>
        <w:t>10. QUALITY GATE</w:t>
      </w:r>
    </w:p>
    <w:p>
      <w:r>
        <w:t>Reject, quarantine or flag artifacts when extraction quality is below policy thresholds. Quality results must be machine-readable.</w:t>
      </w:r>
    </w:p>
    <w:p>
      <w:pPr>
        <w:pStyle w:val="Heading1"/>
      </w:pPr>
      <w:r>
        <w:t>11. CHUNKING</w:t>
      </w:r>
    </w:p>
    <w:p>
      <w:r>
        <w:t>Chunks must preserve document identity, version, section hierarchy, page/coordinate information when available, and semantic boundaries. Avoid arbitrary fixed-size splitting when it destroys tables, definitions or procedural context.</w:t>
      </w:r>
    </w:p>
    <w:p>
      <w:pPr>
        <w:pStyle w:val="Heading1"/>
      </w:pPr>
      <w:r>
        <w:t>12. ENRICHMENT</w:t>
      </w:r>
    </w:p>
    <w:p>
      <w:r>
        <w:t>Enrichment may identify entities, terminology, units, relationships, citations and temporal expressions. Enrichment must retain confidence and provenance.</w:t>
      </w:r>
    </w:p>
    <w:p>
      <w:pPr>
        <w:pStyle w:val="Heading1"/>
      </w:pPr>
      <w:r>
        <w:t>13. EMBEDDINGS</w:t>
      </w:r>
    </w:p>
    <w:p>
      <w:r>
        <w:t>Embedding providers are replaceable. Record provider, model/version, dimensions, preprocessing version and timestamp. A change in embedding model creates a new index generation rather than silently mutating historical vectors.</w:t>
      </w:r>
    </w:p>
    <w:p>
      <w:pPr>
        <w:pStyle w:val="Heading1"/>
      </w:pPr>
      <w:r>
        <w:t>14. INDEXING</w:t>
      </w:r>
    </w:p>
    <w:p>
      <w:r>
        <w:t>Support lexical and vector retrieval. Candidate initial architecture: PostgreSQL metadata + Qdrant vectors + lexical engine selected by benchmark. Index records reference canonical chunk IDs.</w:t>
      </w:r>
    </w:p>
    <w:p>
      <w:pPr>
        <w:pStyle w:val="Heading1"/>
      </w:pPr>
      <w:r>
        <w:t>15. RETRIEVAL</w:t>
      </w:r>
    </w:p>
    <w:p>
      <w:r>
        <w:t>QUERY -&gt; NORMALIZE -&gt; DOMAIN/INTENT -&gt; FILTERS -&gt; BM25/VECTOR -&gt; FUSION -&gt; DEDUP -&gt; RERANK -&gt; DIVERSITY/COVERAGE -&gt; EVIDENCE ASSEMBLY -&gt; CITATIONS.</w:t>
      </w:r>
    </w:p>
    <w:p>
      <w:pPr>
        <w:pStyle w:val="Heading1"/>
      </w:pPr>
      <w:r>
        <w:t>16. TEMPORAL MODEL</w:t>
      </w:r>
    </w:p>
    <w:p>
      <w:r>
        <w:t>Documents and claims can have effective_from/effective_to, publication date, superseded_by and status. Retrieval must be able to answer “what was valid at time T” without mixing superseded guidance with current guidance.</w:t>
      </w:r>
    </w:p>
    <w:p>
      <w:pPr>
        <w:pStyle w:val="Heading1"/>
      </w:pPr>
      <w:r>
        <w:t>17. PROVENANCE</w:t>
      </w:r>
    </w:p>
    <w:p>
      <w:r>
        <w:t>Every answer-supporting evidence object must resolve to source, artifact/document version, section/chunk and processing/index generation. Provenance is part of correctness.</w:t>
      </w:r>
    </w:p>
    <w:p>
      <w:pPr>
        <w:pStyle w:val="Heading1"/>
      </w:pPr>
      <w:r>
        <w:t>18. EVIDENCE ASSEMBLY</w:t>
      </w:r>
    </w:p>
    <w:p>
      <w:r>
        <w:t>Evidence is returned as structured records, not merely text. Each record includes source reference, relevance, location, quoted/selected passage where permitted, confidence/quality metadata and temporal validity.</w:t>
      </w:r>
    </w:p>
    <w:p>
      <w:pPr>
        <w:pStyle w:val="Heading1"/>
      </w:pPr>
      <w:r>
        <w:t>19. PUBLISHING</w:t>
      </w:r>
    </w:p>
    <w:p>
      <w:r>
        <w:t>Promotion from processed/quarantined to published requires policy checks. High-impact collections may require human approval.</w:t>
      </w:r>
    </w:p>
    <w:p>
      <w:pPr>
        <w:pStyle w:val="Heading1"/>
      </w:pPr>
      <w:r>
        <w:t>20. IDEMPOTENCY</w:t>
      </w:r>
    </w:p>
    <w:p>
      <w:r>
        <w:t>Use deterministic content hashes and idempotency keys. Re-running the same source should not create uncontrolled duplicate documents/chunks/index records.</w:t>
      </w:r>
    </w:p>
    <w:p>
      <w:pPr>
        <w:pStyle w:val="Heading1"/>
      </w:pPr>
      <w:r>
        <w:t>21. JOB STATE MACHINE</w:t>
      </w:r>
    </w:p>
    <w:p>
      <w:pPr>
        <w:pStyle w:val="Heading2"/>
      </w:pPr>
      <w:r>
        <w:t>REGISTERED -&gt; QUEUED -&gt; PROCESSING -&gt; QUALITY_CHECK -&gt; READY -&gt; INDEXING -&gt; PUBLISHED.</w:t>
      </w:r>
    </w:p>
    <w:p>
      <w:r>
        <w:t>Failure states can transition to RETRY or QUARANTINED. Every transition is auditable.</w:t>
      </w:r>
    </w:p>
    <w:p>
      <w:pPr>
        <w:pStyle w:val="Heading1"/>
      </w:pPr>
      <w:r>
        <w:t>22. FAILURE HANDLING</w:t>
      </w:r>
    </w:p>
    <w:p>
      <w:r>
        <w:t>Transient dependency failures are retryable with bounded exponential backoff. Deterministic parsing failures are quarantined with actionable diagnostics. Partial work must be resumable.</w:t>
      </w:r>
    </w:p>
    <w:p>
      <w:pPr>
        <w:pStyle w:val="Heading1"/>
      </w:pPr>
      <w:r>
        <w:t>23. SECURITY</w:t>
      </w:r>
    </w:p>
    <w:p>
      <w:r>
        <w:t>Separate sensitive source handling from public/research collections. Enforce authorization before retrieval. Prevent cross-tenant leakage where tenancy exists.</w:t>
      </w:r>
    </w:p>
    <w:p>
      <w:pPr>
        <w:pStyle w:val="Heading1"/>
      </w:pPr>
      <w:r>
        <w:t>24. PERFORMANCE TARGETING</w:t>
      </w:r>
    </w:p>
    <w:p>
      <w:r>
        <w:t>Establish baselines before hard limits. Track ingestion throughput, document processing latency, retrieval p50/p95, index build duration and resource use. Targets become ADR-backed once benchmarked.</w:t>
      </w:r>
    </w:p>
    <w:p>
      <w:pPr>
        <w:pStyle w:val="Heading1"/>
      </w:pPr>
      <w:r>
        <w:t>25. OBSERVABILITY</w:t>
      </w:r>
    </w:p>
    <w:p>
      <w:r>
        <w:t>Every job and request has correlation identifiers. Emit metrics for stage duration, success/failure, queue age, OCR quality, chunk counts, embedding counts and retrieval results.</w:t>
      </w:r>
    </w:p>
    <w:p>
      <w:pPr>
        <w:pStyle w:val="Heading1"/>
      </w:pPr>
      <w:r>
        <w:t>26. EVALUATION</w:t>
      </w:r>
    </w:p>
    <w:p>
      <w:r>
        <w:t>Maintain gold corpora for extraction/OCR, retrieval, temporal filtering, evidence and citation correctness. Compare every major change against a baseline.</w:t>
      </w:r>
    </w:p>
    <w:p>
      <w:pPr>
        <w:pStyle w:val="Heading1"/>
      </w:pPr>
      <w:r>
        <w:t>27. ABSTENTION</w:t>
      </w:r>
    </w:p>
    <w:p>
      <w:r>
        <w:t>If evidence is insufficient, contradictory or outside temporal validity, the system should return insufficient-evidence status rather than fabricate certainty.</w:t>
      </w:r>
    </w:p>
    <w:p>
      <w:pPr>
        <w:pStyle w:val="Heading1"/>
      </w:pPr>
      <w:r>
        <w:t>28. EXTENSIBILITY</w:t>
      </w:r>
    </w:p>
    <w:p>
      <w:r>
        <w:t>Knowledge graph, ontology alignment and advanced reasoning are later layers. The initial implementation must keep canonical identifiers and provenance compatible with these future capabilities.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