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GAMMA API &amp; DATA CONTRACT SPECIFICATION</w:t>
      </w:r>
    </w:p>
    <w:p>
      <w:r>
        <w:t>GAMMA Engine | Canonical Documentation</w:t>
      </w:r>
    </w:p>
    <w:p>
      <w:r>
        <w:t>Version 1.0 | Canonical Interface Rules</w:t>
      </w:r>
    </w:p>
    <w:p>
      <w:pPr>
        <w:pStyle w:val="Heading1"/>
      </w:pPr>
      <w:r>
        <w:t>1. PURPOSE</w:t>
      </w:r>
    </w:p>
    <w:p>
      <w:r>
        <w:t>Define stable machine-readable interfaces between GAMMA services, agents and external consumers.</w:t>
      </w:r>
    </w:p>
    <w:p>
      <w:pPr>
        <w:pStyle w:val="Heading1"/>
      </w:pPr>
      <w:r>
        <w:t>2. API STYLE</w:t>
      </w:r>
    </w:p>
    <w:p>
      <w:r>
        <w:t>Initial external API: REST/JSON over HTTPS. OpenAPI is mandatory for public service interfaces. Internal asynchronous workflows may use events/queues.</w:t>
      </w:r>
    </w:p>
    <w:p>
      <w:pPr>
        <w:pStyle w:val="Heading1"/>
      </w:pPr>
      <w:r>
        <w:t>3. VERSIONING</w:t>
      </w:r>
    </w:p>
    <w:p>
      <w:r>
        <w:t>Breaking API changes require a new major contract version or explicitly versioned endpoint. Additive compatible changes should remain backward compatible.</w:t>
      </w:r>
    </w:p>
    <w:p>
      <w:pPr>
        <w:pStyle w:val="Heading1"/>
      </w:pPr>
      <w:r>
        <w:t>4. IDENTIFIERS</w:t>
      </w:r>
    </w:p>
    <w:p>
      <w:r>
        <w:t>Use opaque stable identifiers for domain objects:</w:t>
      </w:r>
    </w:p>
    <w:p>
      <w:r>
        <w:t>source_id, artifact_id, document_id, document_version_id, section_id, chunk_id, entity_id, evidence_id, citation_id, job_id, evaluation_case_id.</w:t>
      </w:r>
    </w:p>
    <w:p>
      <w:pPr>
        <w:pStyle w:val="Heading1"/>
      </w:pPr>
      <w:r>
        <w:t>5. COMMON REQUEST METADATA</w:t>
      </w:r>
    </w:p>
    <w:p>
      <w:r>
        <w:t>Support request_id/correlation_id. Mutating long-running operations support Idempotency-Key. Clients should be able to trace an operation without exposing sensitive data.</w:t>
      </w:r>
    </w:p>
    <w:p>
      <w:pPr>
        <w:pStyle w:val="Heading1"/>
      </w:pPr>
      <w:r>
        <w:t>6. RESPONSE ENVELOPE</w:t>
      </w:r>
    </w:p>
    <w:p>
      <w:r>
        <w:t>Successful responses should provide data plus machine-readable metadata where useful. Errors use a stable schema:</w:t>
      </w:r>
    </w:p>
    <w:p>
      <w:r>
        <w:t>code, message, details, request_id, retryable.</w:t>
      </w:r>
    </w:p>
    <w:p>
      <w:pPr>
        <w:pStyle w:val="Heading1"/>
      </w:pPr>
      <w:r>
        <w:t>7. HTTP SEMANTICS</w:t>
      </w:r>
    </w:p>
    <w:p>
      <w:r>
        <w:t>200/201 for success, 202 for accepted asynchronous work, 400 malformed request, 401 unauthenticated, 403 unauthorized, 404 absent resource, 409 conflict/idempotency conflict, 422 validation failure, 429 rate limit, 500/502/503/504 server/dependency conditions.</w:t>
      </w:r>
    </w:p>
    <w:p>
      <w:pPr>
        <w:pStyle w:val="Heading1"/>
      </w:pPr>
      <w:r>
        <w:t>8. SOURCE CONTRACT</w:t>
      </w:r>
    </w:p>
    <w:p>
      <w:r>
        <w:t>Create Source requires source_type, origin metadata, domain, governance classification and checksum where available. Response returns source_id and registration status.</w:t>
      </w:r>
    </w:p>
    <w:p>
      <w:pPr>
        <w:pStyle w:val="Heading1"/>
      </w:pPr>
      <w:r>
        <w:t>9. INGESTION JOB CONTRACT</w:t>
      </w:r>
    </w:p>
    <w:p>
      <w:r>
        <w:t>Job includes source/document reference, pipeline version, requested operations, priority and status. Status transitions are explicit and auditable.</w:t>
      </w:r>
    </w:p>
    <w:p>
      <w:pPr>
        <w:pStyle w:val="Heading1"/>
      </w:pPr>
      <w:r>
        <w:t>10. DOCUMENT CONTRACT</w:t>
      </w:r>
    </w:p>
    <w:p>
      <w:r>
        <w:t>Document references source and current version. Versions are immutable records. Updating content creates a new version.</w:t>
      </w:r>
    </w:p>
    <w:p>
      <w:pPr>
        <w:pStyle w:val="Heading1"/>
      </w:pPr>
      <w:r>
        <w:t>11. CHUNK CONTRACT</w:t>
      </w:r>
    </w:p>
    <w:p>
      <w:r>
        <w:t>Chunk contains document_version_id, ordinal, structural path, text representation, location metadata, content hash and pipeline version.</w:t>
      </w:r>
    </w:p>
    <w:p>
      <w:pPr>
        <w:pStyle w:val="Heading1"/>
      </w:pPr>
      <w:r>
        <w:t>12. EVIDENCE CONTRACT</w:t>
      </w:r>
    </w:p>
    <w:p>
      <w:r>
        <w:t>Evidence contains chunk_id, source references, relevance metadata, temporal validity, provenance path and citation data.</w:t>
      </w:r>
    </w:p>
    <w:p>
      <w:pPr>
        <w:pStyle w:val="Heading1"/>
      </w:pPr>
      <w:r>
        <w:t>13. RETRIEVAL CONTRACT</w:t>
      </w:r>
    </w:p>
    <w:p>
      <w:r>
        <w:t>Request includes query, domain/collection filters, temporal constraints, top_k and optional reranking controls. Response includes ranked evidence plus retrieval metadata.</w:t>
      </w:r>
    </w:p>
    <w:p>
      <w:pPr>
        <w:pStyle w:val="Heading1"/>
      </w:pPr>
      <w:r>
        <w:t>14. PAGINATION</w:t>
      </w:r>
    </w:p>
    <w:p>
      <w:r>
        <w:t>Cursor-based pagination is preferred for mutable collections. Cursors are opaque.</w:t>
      </w:r>
    </w:p>
    <w:p>
      <w:pPr>
        <w:pStyle w:val="Heading1"/>
      </w:pPr>
      <w:r>
        <w:t>15. COMPATIBILITY</w:t>
      </w:r>
    </w:p>
    <w:p>
      <w:r>
        <w:t>Schema evolution must be additive when possible. Removing/renaming fields requires migration planning and consumer impact analysis.</w:t>
      </w:r>
    </w:p>
    <w:p>
      <w:pPr>
        <w:pStyle w:val="Heading1"/>
      </w:pPr>
      <w:r>
        <w:t>16. DATABASE CONTRACT</w:t>
      </w:r>
    </w:p>
    <w:p>
      <w:r>
        <w:t>PostgreSQL is authoritative for transactional metadata. Constraints enforce identity and referential integrity. Migration files are version-controlled.</w:t>
      </w:r>
    </w:p>
    <w:p>
      <w:pPr>
        <w:pStyle w:val="Heading1"/>
      </w:pPr>
      <w:r>
        <w:t>17. VECTOR CONTRACT</w:t>
      </w:r>
    </w:p>
    <w:p>
      <w:r>
        <w:t>Qdrant records map vector points to canonical chunk IDs. Payload includes collection/index generation, document version and retrieval filter metadata.</w:t>
      </w:r>
    </w:p>
    <w:p>
      <w:pPr>
        <w:pStyle w:val="Heading1"/>
      </w:pPr>
      <w:r>
        <w:t>18. OBJECT STORAGE CONTRACT</w:t>
      </w:r>
    </w:p>
    <w:p>
      <w:r>
        <w:t>Raw and derived artifacts use content-addressable or immutable paths. Storage URIs are references; application metadata remains authoritative.</w:t>
      </w:r>
    </w:p>
    <w:p>
      <w:pPr>
        <w:pStyle w:val="Heading1"/>
      </w:pPr>
      <w:r>
        <w:t>19. EVENT CONTRACT</w:t>
      </w:r>
    </w:p>
    <w:p>
      <w:r>
        <w:t>Events are versioned and immutable. Minimum event metadata: event_id, event_type, schema_version, occurred_at, producer, correlation_id, subject_id.</w:t>
      </w:r>
    </w:p>
    <w:p>
      <w:pPr>
        <w:pStyle w:val="Heading1"/>
      </w:pPr>
      <w:r>
        <w:t>20. SECURITY CONTRACT</w:t>
      </w:r>
    </w:p>
    <w:p>
      <w:r>
        <w:t>Authentication and authorization occur before sensitive data retrieval. API responses must not disclose information through error differences beyond policy.</w:t>
      </w:r>
    </w:p>
    <w:p>
      <w:pPr>
        <w:pStyle w:val="Heading1"/>
      </w:pPr>
      <w:r>
        <w:t>21. CONTRACT TESTING</w:t>
      </w:r>
    </w:p>
    <w:p>
      <w:r>
        <w:t>Every public endpoint and event schema requires contract tests. Compatibility tests run in CI for supported consumers.</w:t>
      </w:r>
    </w:p>
    <w:p>
      <w:pPr>
        <w:pStyle w:val="Heading1"/>
      </w:pPr>
      <w:r>
        <w:t>22. DATA RETENTION</w:t>
      </w:r>
    </w:p>
    <w:p>
      <w:r>
        <w:t>Retention and deletion are policy-driven. Deleting a derived index record must not silently erase provenance required for audit unless policy explicitly requires it.</w:t>
      </w:r>
    </w:p>
    <w:p>
      <w:pPr>
        <w:pStyle w:val="Heading1"/>
      </w:pPr>
      <w:r>
        <w:t>23. EXAMPLE RETRIEVAL FLOW</w:t>
      </w:r>
    </w:p>
    <w:p>
      <w:r>
        <w:t>POST /v1/retrieval/query</w:t>
      </w:r>
    </w:p>
    <w:p>
      <w:r>
        <w:t>-&gt; validate query</w:t>
      </w:r>
    </w:p>
    <w:p>
      <w:r>
        <w:t>-&gt; authorize collection</w:t>
      </w:r>
    </w:p>
    <w:p>
      <w:r>
        <w:t>-&gt; apply temporal/domain filters</w:t>
      </w:r>
    </w:p>
    <w:p>
      <w:r>
        <w:t>-&gt; lexical/vector candidate generation</w:t>
      </w:r>
    </w:p>
    <w:p>
      <w:r>
        <w:t>-&gt; rerank</w:t>
      </w:r>
    </w:p>
    <w:p>
      <w:r>
        <w:t>-&gt; evidence assembly</w:t>
      </w:r>
    </w:p>
    <w:p>
      <w:r>
        <w:t>-&gt; return ranked evidence with provenance.</w:t>
      </w:r>
    </w:p>
    <w:p>
      <w:pPr>
        <w:pStyle w:val="Heading1"/>
      </w:pPr>
      <w:r>
        <w:t>24. SCHEMA EVOLUTION</w:t>
      </w:r>
    </w:p>
    <w:p>
      <w:r>
        <w:t>Every schema change records owner, reason, compatibility class, migration and rollback strategy where applicable.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