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GAMMA IMPLEMENTATION PACK</w:t>
      </w:r>
    </w:p>
    <w:p>
      <w:r>
        <w:t>GAMMA Engine | Canonical Documentation</w:t>
      </w:r>
    </w:p>
    <w:p>
      <w:pPr>
        <w:pStyle w:val="Heading2"/>
      </w:pPr>
      <w:r>
        <w:t>FOUNDATION SPRINT 001</w:t>
      </w:r>
    </w:p>
    <w:p>
      <w:r>
        <w:t>Version 1.0 | Execution Specification for Primary Engineering Agent</w:t>
      </w:r>
    </w:p>
    <w:p>
      <w:pPr>
        <w:pStyle w:val="Heading1"/>
      </w:pPr>
      <w:r>
        <w:t>1. SPRINT OBJECTIVE</w:t>
      </w:r>
    </w:p>
    <w:p>
      <w:r>
        <w:t>Create a reproducible repository and executable foundation for GAMMA Knowledge Engine. Do not implement advanced OCR, embeddings, RAG reasoning or agent orchestration in this sprint.</w:t>
      </w:r>
    </w:p>
    <w:p>
      <w:pPr>
        <w:pStyle w:val="Heading1"/>
      </w:pPr>
      <w:r>
        <w:t>2. ACCEPTANCE OUTCOME</w:t>
      </w:r>
    </w:p>
    <w:p>
      <w:r>
        <w:t>A new developer/agent can clone the repository, start local infrastructure, run the API, run the worker/CLI skeleton, execute migrations and run the mandatory test suite.</w:t>
      </w:r>
    </w:p>
    <w:p>
      <w:pPr>
        <w:pStyle w:val="Heading1"/>
      </w:pPr>
      <w:r>
        <w:t>3. EPIC-001 REPOSITORY FOUNDATION</w:t>
      </w:r>
    </w:p>
    <w:p>
      <w:pPr>
        <w:pStyle w:val="ListBullet"/>
      </w:pPr>
      <w:r>
        <w:t>TASK-001 Bootstrap repository structure.</w:t>
      </w:r>
    </w:p>
    <w:p>
      <w:pPr>
        <w:pStyle w:val="ListBullet"/>
      </w:pPr>
      <w:r>
        <w:t>TASK-002 Configure Python project/tooling.</w:t>
      </w:r>
    </w:p>
    <w:p>
      <w:pPr>
        <w:pStyle w:val="ListBullet"/>
      </w:pPr>
      <w:r>
        <w:t>TASK-003 Add typed configuration.</w:t>
      </w:r>
    </w:p>
    <w:p>
      <w:pPr>
        <w:pStyle w:val="ListBullet"/>
      </w:pPr>
      <w:r>
        <w:t>TASK-004 Add Docker Compose development dependencies.</w:t>
      </w:r>
    </w:p>
    <w:p>
      <w:pPr>
        <w:pStyle w:val="ListBullet"/>
      </w:pPr>
      <w:r>
        <w:t>TASK-005 Add PostgreSQL integration.</w:t>
      </w:r>
    </w:p>
    <w:p>
      <w:pPr>
        <w:pStyle w:val="ListBullet"/>
      </w:pPr>
      <w:r>
        <w:t>TASK-006 Add Qdrant integration.</w:t>
      </w:r>
    </w:p>
    <w:p>
      <w:pPr>
        <w:pStyle w:val="ListBullet"/>
      </w:pPr>
      <w:r>
        <w:t>TASK-007 Add S3-compatible object-storage abstraction.</w:t>
      </w:r>
    </w:p>
    <w:p>
      <w:pPr>
        <w:pStyle w:val="ListBullet"/>
      </w:pPr>
      <w:r>
        <w:t>TASK-008 Add FastAPI application skeleton.</w:t>
      </w:r>
    </w:p>
    <w:p>
      <w:pPr>
        <w:pStyle w:val="ListBullet"/>
      </w:pPr>
      <w:r>
        <w:t>TASK-009 Add worker skeleton.</w:t>
      </w:r>
    </w:p>
    <w:p>
      <w:pPr>
        <w:pStyle w:val="ListBullet"/>
      </w:pPr>
      <w:r>
        <w:t>TASK-010 Add CLI skeleton.</w:t>
      </w:r>
    </w:p>
    <w:p>
      <w:pPr>
        <w:pStyle w:val="ListBullet"/>
      </w:pPr>
      <w:r>
        <w:t>TASK-011 Add database migrations.</w:t>
      </w:r>
    </w:p>
    <w:p>
      <w:pPr>
        <w:pStyle w:val="ListBullet"/>
      </w:pPr>
      <w:r>
        <w:t>TASK-012 Add health/readiness endpoints.</w:t>
      </w:r>
    </w:p>
    <w:p>
      <w:pPr>
        <w:pStyle w:val="ListBullet"/>
      </w:pPr>
      <w:r>
        <w:t>TASK-013 Add structured logging.</w:t>
      </w:r>
    </w:p>
    <w:p>
      <w:pPr>
        <w:pStyle w:val="ListBullet"/>
      </w:pPr>
      <w:r>
        <w:t>TASK-014 Add correlation/request IDs.</w:t>
      </w:r>
    </w:p>
    <w:p>
      <w:pPr>
        <w:pStyle w:val="ListBullet"/>
      </w:pPr>
      <w:r>
        <w:t>TASK-015 Add baseline OpenTelemetry instrumentation.</w:t>
      </w:r>
    </w:p>
    <w:p>
      <w:pPr>
        <w:pStyle w:val="ListBullet"/>
      </w:pPr>
      <w:r>
        <w:t>TASK-016 Add unit/integration/contract test layout.</w:t>
      </w:r>
    </w:p>
    <w:p>
      <w:pPr>
        <w:pStyle w:val="ListBullet"/>
      </w:pPr>
      <w:r>
        <w:t>TASK-017 Add CI workflow.</w:t>
      </w:r>
    </w:p>
    <w:p>
      <w:pPr>
        <w:pStyle w:val="ListBullet"/>
      </w:pPr>
      <w:r>
        <w:t>TASK-018 Add pre-commit or equivalent quality automation.</w:t>
      </w:r>
    </w:p>
    <w:p>
      <w:pPr>
        <w:pStyle w:val="ListBullet"/>
      </w:pPr>
      <w:r>
        <w:t>TASK-019 Add AGENTS.md and contributor documentation.</w:t>
      </w:r>
    </w:p>
    <w:p>
      <w:pPr>
        <w:pStyle w:val="ListBullet"/>
      </w:pPr>
      <w:r>
        <w:t>TASK-020 Add security baseline and dependency scanning.</w:t>
      </w:r>
    </w:p>
    <w:p>
      <w:pPr>
        <w:pStyle w:val="Heading1"/>
      </w:pPr>
      <w:r>
        <w:t>4. TASK ACCEPTANCE TEMPLATE</w:t>
      </w:r>
    </w:p>
    <w:p>
      <w:r>
        <w:t>Each task must specify:</w:t>
      </w:r>
    </w:p>
    <w:p>
      <w:r>
        <w:t>objective; affected files; dependencies; implementation; tests; security implications; observability; acceptance criteria; rollback/cleanup.</w:t>
      </w:r>
    </w:p>
    <w:p>
      <w:pPr>
        <w:pStyle w:val="Heading1"/>
      </w:pPr>
      <w:r>
        <w:t>5. REQUIRED INITIAL MODULE BOUNDARIES</w:t>
      </w:r>
    </w:p>
    <w:p>
      <w:r>
        <w:t>apps/api</w:t>
      </w:r>
    </w:p>
    <w:p>
      <w:r>
        <w:t>apps/worker</w:t>
      </w:r>
    </w:p>
    <w:p>
      <w:r>
        <w:t>apps/cli</w:t>
      </w:r>
    </w:p>
    <w:p>
      <w:r>
        <w:t>packages/core</w:t>
      </w:r>
    </w:p>
    <w:p>
      <w:r>
        <w:t>packages/config</w:t>
      </w:r>
    </w:p>
    <w:p>
      <w:r>
        <w:t>packages/domain</w:t>
      </w:r>
    </w:p>
    <w:p>
      <w:r>
        <w:t>packages/observability</w:t>
      </w:r>
    </w:p>
    <w:p>
      <w:r>
        <w:t>packages/storage</w:t>
      </w:r>
    </w:p>
    <w:p>
      <w:r>
        <w:t>packages/persistence</w:t>
      </w:r>
    </w:p>
    <w:p>
      <w:pPr>
        <w:pStyle w:val="Heading1"/>
      </w:pPr>
      <w:r>
        <w:t>6. MINIMUM DOMAIN MODELS</w:t>
      </w:r>
    </w:p>
    <w:p>
      <w:r>
        <w:t>Source, Artifact, Document, DocumentVersion, IngestionJob. Other entities can be placeholders only if needed for dependency boundaries.</w:t>
      </w:r>
    </w:p>
    <w:p>
      <w:pPr>
        <w:pStyle w:val="Heading1"/>
      </w:pPr>
      <w:r>
        <w:t>7. INITIAL API</w:t>
      </w:r>
    </w:p>
    <w:p>
      <w:r>
        <w:t>GET /health</w:t>
      </w:r>
    </w:p>
    <w:p>
      <w:r>
        <w:t>GET /ready</w:t>
      </w:r>
    </w:p>
    <w:p>
      <w:r>
        <w:t>POST /v1/sources</w:t>
      </w:r>
    </w:p>
    <w:p>
      <w:r>
        <w:t>GET /v1/sources/{source_id}</w:t>
      </w:r>
    </w:p>
    <w:p>
      <w:r>
        <w:t>POST /v1/ingestion/jobs</w:t>
      </w:r>
    </w:p>
    <w:p>
      <w:r>
        <w:t>GET /v1/ingestion/jobs/{job_id}</w:t>
      </w:r>
    </w:p>
    <w:p>
      <w:pPr>
        <w:pStyle w:val="Heading1"/>
      </w:pPr>
      <w:r>
        <w:t>8. INITIAL INFRASTRUCTURE</w:t>
      </w:r>
    </w:p>
    <w:p>
      <w:r>
        <w:t>PostgreSQL; Qdrant; S3-compatible object storage. All have health checks. Credentials come from environment/secret configuration, never committed.</w:t>
      </w:r>
    </w:p>
    <w:p>
      <w:pPr>
        <w:pStyle w:val="Heading1"/>
      </w:pPr>
      <w:r>
        <w:t>9. TEST REQUIREMENTS</w:t>
      </w:r>
    </w:p>
    <w:p>
      <w:r>
        <w:t>Configuration validation; domain invariants; repository persistence; migration success; health/readiness behavior; API validation; idempotency behavior for source registration where implemented; container startup.</w:t>
      </w:r>
    </w:p>
    <w:p>
      <w:pPr>
        <w:pStyle w:val="Heading1"/>
      </w:pPr>
      <w:r>
        <w:t>10. CI GATES</w:t>
      </w:r>
    </w:p>
    <w:p>
      <w:r>
        <w:t>format/lint; type checking; unit tests; integration tests when infrastructure is available; contract/schema validation; dependency/security checks.</w:t>
      </w:r>
    </w:p>
    <w:p>
      <w:pPr>
        <w:pStyle w:val="Heading1"/>
      </w:pPr>
      <w:r>
        <w:t>11. DO NOT IMPLEMENT IN SPRINT 001</w:t>
      </w:r>
    </w:p>
    <w:p>
      <w:r>
        <w:t>Production OCR tuning, model training, LLM provider lock-in, knowledge graph reasoning, clinical decision logic, complex microservice decomposition, Kubernetes deployment, or speculative optimization.</w:t>
      </w:r>
    </w:p>
    <w:p>
      <w:pPr>
        <w:pStyle w:val="Heading1"/>
      </w:pPr>
      <w:r>
        <w:t>12. DEFINITION OF DONE</w:t>
      </w:r>
    </w:p>
    <w:p>
      <w:r>
        <w:t>All required tests pass; documentation matches implementation; local bootstrap is reproducible; no secrets; migrations are clean; health checks work; logs are structured; CI is green; PR review completed.</w:t>
      </w:r>
    </w:p>
    <w:p>
      <w:pPr>
        <w:pStyle w:val="Heading1"/>
      </w:pPr>
      <w:r>
        <w:t>13. HANDOFF TO SPRINT 002</w:t>
      </w:r>
    </w:p>
    <w:p>
      <w:r>
        <w:t>Sprint 002 begins source ingestion and immutable artifact storage using the contracts defined by the Knowledge Engine Technical Specification.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