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AGGELOS GIANNOULIS</w:t>
      </w:r>
    </w:p>
    <w:p>
      <w:pPr>
        <w:pStyle w:val="Subtitle"/>
      </w:pPr>
      <w:r>
        <w:t xml:space="preserve">Άγγελος Γιαννούλης</w:t>
      </w:r>
    </w:p>
    <w:p>
      <w:pPr>
        <w:spacing w:after="80"/>
        <w:jc w:val="center"/>
      </w:pPr>
      <w:r>
        <w:rPr>
          <w:b/>
          <w:bCs/>
          <w:color w:val="4a4a4a"/>
          <w:sz w:val="24"/>
          <w:szCs w:val="24"/>
        </w:rPr>
        <w:t xml:space="preserve">Contemporary Visual Artist | Painting</w:t>
      </w:r>
    </w:p>
    <w:p>
      <w:pPr>
        <w:spacing w:after="200"/>
        <w:jc w:val="center"/>
      </w:pPr>
      <w:r>
        <w:rPr>
          <w:color w:val="666666"/>
          <w:sz w:val="20"/>
          <w:szCs w:val="20"/>
        </w:rPr>
        <w:t xml:space="preserve">[Tel]  •  [Email]</w:t>
      </w:r>
    </w:p>
    <w:p>
      <w:pPr>
        <w:pStyle w:val="SectionHeader"/>
      </w:pPr>
      <w:r>
        <w:t xml:space="preserve">PROFESSIONAL PROFILE</w:t>
      </w:r>
    </w:p>
    <w:p>
      <w:pPr>
        <w:pStyle w:val="Body"/>
      </w:pPr>
      <w:r>
        <w:t xml:space="preserve">Accomplished visual artist with distinction-level Integrated Master's degree (300 ECTS) in Painting from Aristotle University of Thessaloniki. </w:t>
      </w:r>
      <w:r>
        <w:rPr>
          <w:b/>
          <w:bCs/>
        </w:rPr>
        <w:t xml:space="preserve">Graduated with honors (9.37/10)</w:t>
      </w:r>
      <w:r>
        <w:t xml:space="preserve">, achieving exceptional thesis recognition (9.85/10). Specialized in contemporary painting practice with comprehensive foundation in drawing, color theory, composition, and emerging media. Equipped with pedagogical training and practical teaching experience. Committed to continuous artistic development and professional excellence within the visual arts sector.</w:t>
      </w:r>
    </w:p>
    <w:p>
      <w:pPr>
        <w:pStyle w:val="SectionHeader"/>
      </w:pPr>
      <w:r>
        <w:t xml:space="preserve">EDUCATION</w:t>
      </w:r>
    </w:p>
    <w:p>
      <w:pPr>
        <w:pStyle w:val="JobTitle"/>
      </w:pPr>
      <w:r>
        <w:t xml:space="preserve">Integrated Master of Fine Arts (M.F.A.) — Painting</w:t>
      </w:r>
    </w:p>
    <w:p>
      <w:pPr>
        <w:pStyle w:val="BodyCompact"/>
      </w:pPr>
      <w:r>
        <w:rPr>
          <w:i/>
          <w:iCs/>
        </w:rPr>
        <w:t xml:space="preserve">Aristotle University of Thessaloniki (A.U.Th.)</w:t>
      </w:r>
      <w:r>
        <w:t xml:space="preserve"> | School of Fine &amp; Applied Arts</w:t>
      </w:r>
    </w:p>
    <w:p>
      <w:pPr>
        <w:pStyle w:val="BodyCompact"/>
      </w:pPr>
      <w:r>
        <w:rPr>
          <w:color w:val="666666"/>
        </w:rPr>
        <w:t xml:space="preserve">2019–2025  •  Thessaloniki, Greece</w:t>
      </w:r>
    </w:p>
    <w:p>
      <w:pPr>
        <w:pStyle w:val="BodyCompact"/>
        <w:spacing w:after="80"/>
      </w:pPr>
      <w:r>
        <w:rPr>
          <w:b/>
          <w:bCs/>
        </w:rPr>
        <w:t xml:space="preserve">Academic Excellence:</w:t>
      </w:r>
      <w:r>
        <w:t xml:space="preserve"> 300 ECTS credits across 10 semesters | Final grade: </w:t>
      </w:r>
      <w:r>
        <w:rPr>
          <w:b/>
          <w:bCs/>
        </w:rPr>
        <w:t xml:space="preserve">9.37/10 (Excellent)</w:t>
      </w:r>
      <w:r>
        <w:t xml:space="preserve"> | Thesis: </w:t>
      </w:r>
      <w:r>
        <w:rPr>
          <w:b/>
          <w:bCs/>
        </w:rPr>
        <w:t xml:space="preserve">9.85/10</w:t>
      </w:r>
    </w:p>
    <w:p>
      <w:pPr>
        <w:pStyle w:val="BodyCompact"/>
      </w:pPr>
      <w:r>
        <w:rPr>
          <w:b/>
          <w:bCs/>
        </w:rPr>
        <w:t xml:space="preserve">Key Coursework &amp; Competencies:</w:t>
      </w:r>
    </w:p>
    <w:p>
      <w:pPr>
        <w:spacing w:after="60"/>
        <w:ind w:left="360"/>
      </w:pPr>
      <w:r>
        <w:rPr>
          <w:b/>
          <w:bCs/>
        </w:rPr>
        <w:t xml:space="preserve">Studio Practice:</w:t>
      </w:r>
      <w:r>
        <w:t xml:space="preserve"> Advanced Painting I–VIII, Drawing I–II, Sculptural Elements, Introduction to New Media in Fine Arts I–II, Printmaking Techniques</w:t>
      </w:r>
    </w:p>
    <w:p>
      <w:pPr>
        <w:spacing w:after="60"/>
        <w:ind w:left="360"/>
      </w:pPr>
      <w:r>
        <w:rPr>
          <w:b/>
          <w:bCs/>
        </w:rPr>
        <w:t xml:space="preserve">Theory &amp; History:</w:t>
      </w:r>
      <w:r>
        <w:t xml:space="preserve"> History of Art I–IV, Aesthetics I–II, Contemporary Art Discourse, Critical Theory</w:t>
      </w:r>
    </w:p>
    <w:p>
      <w:pPr>
        <w:spacing w:after="60"/>
        <w:ind w:left="360"/>
      </w:pPr>
      <w:r>
        <w:rPr>
          <w:b/>
          <w:bCs/>
        </w:rPr>
        <w:t xml:space="preserve">Pedagogy:</w:t>
      </w:r>
      <w:r>
        <w:t xml:space="preserve"> Teaching Approach of Art I–II (including supervised classroom practicum), Lesson Planning &amp; Curriculum Development</w:t>
      </w:r>
    </w:p>
    <w:p>
      <w:pPr>
        <w:spacing w:after="120"/>
        <w:ind w:left="360"/>
      </w:pPr>
      <w:r>
        <w:rPr>
          <w:b/>
          <w:bCs/>
        </w:rPr>
        <w:t xml:space="preserve">Professional Development:</w:t>
      </w:r>
      <w:r>
        <w:t xml:space="preserve"> English Terminology in Fine Arts I–IV (specialized vocabulary for international art contexts)</w:t>
      </w:r>
    </w:p>
    <w:p>
      <w:pPr>
        <w:pStyle w:val="SectionHeader"/>
      </w:pPr>
      <w:r>
        <w:t xml:space="preserve">SELECTED ACADEMIC PROJECTS &amp; RESEARCH</w:t>
      </w:r>
    </w:p>
    <w:p>
      <w:pPr>
        <w:pStyle w:val="JobTitle"/>
      </w:pPr>
      <w:r>
        <w:t xml:space="preserve">Master's Thesis (Painting) — Grade: 9.85/10</w:t>
      </w:r>
    </w:p>
    <w:p>
      <w:pPr>
        <w:pStyle w:val="Body"/>
      </w:pPr>
      <w:r>
        <w:t xml:space="preserve">Conducted research-led studio investigation culminating in cohesive body of original work. Demonstrated advanced technical proficiency in painting while engaging with contemporary theoretical frameworks. Presented thesis work through comprehensive written documentation and professional exhibition-style presentation, receiving distinction-level evaluation from faculty committee.</w:t>
      </w:r>
    </w:p>
    <w:p>
      <w:pPr>
        <w:pStyle w:val="JobTitle"/>
      </w:pPr>
      <w:r>
        <w:t xml:space="preserve">Advanced Painting Studios (VII–VIII)</w:t>
      </w:r>
    </w:p>
    <w:p>
      <w:pPr>
        <w:pStyle w:val="Body"/>
      </w:pPr>
      <w:r>
        <w:t xml:space="preserve">Developed mature studio practice through sustained investigation of conceptual and material concerns. Participated in intensive peer critique sessions and iterative refinement processes. Successfully presented resolved work in professional exhibition format, demonstrating ability to communicate artistic intent and respond to critical feedback.</w:t>
      </w:r>
    </w:p>
    <w:p>
      <w:pPr>
        <w:pStyle w:val="JobTitle"/>
      </w:pPr>
      <w:r>
        <w:t xml:space="preserve">New Media Fundamentals</w:t>
      </w:r>
    </w:p>
    <w:p>
      <w:pPr>
        <w:pStyle w:val="Body"/>
      </w:pPr>
      <w:r>
        <w:t xml:space="preserve">Explored interdisciplinary approaches at the intersection of traditional painting practice and digital/new media technologies. Investigated hybrid methodologies integrating analog and digital processes, expanding conceptual and technical toolkit for contemporary art production.</w:t>
      </w:r>
    </w:p>
    <w:p>
      <w:pPr>
        <w:pStyle w:val="JobTitle"/>
      </w:pPr>
      <w:r>
        <w:t xml:space="preserve">Art Education &amp; Pedagogy</w:t>
      </w:r>
    </w:p>
    <w:p>
      <w:pPr>
        <w:pStyle w:val="Body"/>
      </w:pPr>
      <w:r>
        <w:t xml:space="preserve">Completed comprehensive training in art education methodology, including curriculum design, lesson planning, and classroom management. Executed supervised teaching practicum, developing and delivering age-appropriate art lessons that fostered creative expression and technical skill development in students.</w:t>
      </w:r>
    </w:p>
    <w:p>
      <w:pPr>
        <w:pStyle w:val="SectionHeader"/>
      </w:pPr>
      <w:r>
        <w:t xml:space="preserve">CORE COMPETENCIES</w:t>
      </w:r>
    </w:p>
    <w:p>
      <w:pPr>
        <w:pStyle w:val="JobTitle"/>
      </w:pPr>
      <w:r>
        <w:t xml:space="preserve">Artistic &amp; Technical Skills</w:t>
      </w:r>
    </w:p>
    <w:p>
      <w:pPr>
        <w:spacing w:after="120"/>
        <w:ind w:left="360"/>
      </w:pPr>
      <w:r>
        <w:t xml:space="preserve">Painting (oil, acrylic, mixed media)  •  Drawing &amp; sketching  •  Color theory &amp; application  •  Compositional design  •  Printmaking techniques  •  New media integration  •  Exhibition installation &amp; artwork handling  •  Studio management  •  Art historical research  •  Critical analysis &amp; aesthetics</w:t>
      </w:r>
    </w:p>
    <w:p>
      <w:pPr>
        <w:pStyle w:val="JobTitle"/>
      </w:pPr>
      <w:r>
        <w:t xml:space="preserve">Digital &amp; Technical Proficiency</w:t>
      </w:r>
    </w:p>
    <w:p>
      <w:pPr>
        <w:spacing w:after="120"/>
        <w:ind w:left="360"/>
      </w:pPr>
      <w:r>
        <w:t xml:space="preserve">Adobe Creative Suite (Photoshop, Illustrator, Lightroom)  •  Procreate (digital illustration)  •  Digital photography (DSLR)  •  Image scanning &amp; archiving  •  Portfolio documentation</w:t>
      </w:r>
    </w:p>
    <w:p>
      <w:pPr>
        <w:pStyle w:val="JobTitle"/>
      </w:pPr>
      <w:r>
        <w:t xml:space="preserve">Professional Attributes</w:t>
      </w:r>
    </w:p>
    <w:p>
      <w:pPr>
        <w:spacing w:after="120"/>
        <w:ind w:left="360"/>
      </w:pPr>
      <w:r>
        <w:t xml:space="preserve">Collaborative teamwork  •  Receptiveness to critique  •  Self-directed learning  •  Time management  •  Project planning &amp; execution  •  Adaptability  •  Strong work ethic  •  Professional communication</w:t>
      </w:r>
    </w:p>
    <w:p>
      <w:pPr>
        <w:pStyle w:val="SectionHeader"/>
      </w:pPr>
      <w:r>
        <w:t xml:space="preserve">LANGUAGES &amp; QUALIFICATIONS</w:t>
      </w:r>
    </w:p>
    <w:p>
      <w:pPr>
        <w:pStyle w:val="BodyCompact"/>
      </w:pPr>
      <w:r>
        <w:rPr>
          <w:b/>
          <w:bCs/>
        </w:rPr>
        <w:t xml:space="preserve">Languages: </w:t>
      </w:r>
      <w:r>
        <w:t xml:space="preserve">Greek (Native)  •  English (Advanced — including specialized art terminology for international contexts)</w:t>
      </w:r>
    </w:p>
    <w:p>
      <w:pPr>
        <w:pStyle w:val="Body"/>
      </w:pPr>
      <w:r>
        <w:rPr>
          <w:b/>
          <w:bCs/>
        </w:rPr>
        <w:t xml:space="preserve">Professional Status: </w:t>
      </w:r>
      <w:r>
        <w:t xml:space="preserve">Integrated Master's degree confers eligibility for professional registration with the Hellenic Chamber of Visual Arts (EETE)</w:t>
      </w:r>
    </w:p>
    <w:p>
      <w:pPr>
        <w:pStyle w:val="SectionHeader"/>
      </w:pPr>
      <w:r>
        <w:t xml:space="preserve">ADDITIONAL SECTIONS TO DEVELOP</w:t>
      </w:r>
    </w:p>
    <w:p>
      <w:pPr>
        <w:pStyle w:val="Body"/>
      </w:pPr>
      <w:r>
        <w:rPr>
          <w:i/>
          <w:iCs/>
        </w:rPr>
        <w:t xml:space="preserve">Consider adding when applicable:</w:t>
      </w:r>
      <w:r>
        <w:t xml:space="preserve">
</w:t>
      </w:r>
      <w:r>
        <w:rPr>
          <w:b/>
          <w:bCs/>
        </w:rPr>
        <w:t xml:space="preserve">Exhibitions:</w:t>
      </w:r>
      <w:r>
        <w:t xml:space="preserve"> Group shows, solo exhibitions, student exhibitions, open studio events
</w:t>
      </w:r>
      <w:r>
        <w:rPr>
          <w:b/>
          <w:bCs/>
        </w:rPr>
        <w:t xml:space="preserve">Awards &amp; Recognition:</w:t>
      </w:r>
      <w:r>
        <w:t xml:space="preserve"> Scholarships, prizes, grants, academic honors
</w:t>
      </w:r>
      <w:r>
        <w:rPr>
          <w:b/>
          <w:bCs/>
        </w:rPr>
        <w:t xml:space="preserve">Professional Development:</w:t>
      </w:r>
      <w:r>
        <w:t xml:space="preserve"> Workshops, residencies, masterclasses, visiting artist lectures
</w:t>
      </w:r>
      <w:r>
        <w:rPr>
          <w:b/>
          <w:bCs/>
        </w:rPr>
        <w:t xml:space="preserve">Memberships:</w:t>
      </w:r>
      <w:r>
        <w:t xml:space="preserve"> Professional organizations, artist collectives, cultural associations
</w:t>
      </w:r>
      <w:r>
        <w:rPr>
          <w:b/>
          <w:bCs/>
        </w:rPr>
        <w:t xml:space="preserve">Volunteer Experience:</w:t>
      </w:r>
      <w:r>
        <w:t xml:space="preserve"> Gallery assistance, community art programs, arts education initiatives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80"/>
      <w:jc w:val="center"/>
    </w:pPr>
    <w:rPr>
      <w:rFonts w:ascii="Arial" w:cs="Arial" w:eastAsia="Arial" w:hAnsi="Arial"/>
      <w:b/>
      <w:bCs/>
      <w:color w:val="1a1a1a"/>
      <w:sz w:val="32"/>
      <w:szCs w:val="32"/>
    </w:rPr>
  </w:style>
  <w:style w:type="paragraph" w:styleId="Subtitle">
    <w:name w:val="Subtitle"/>
    <w:basedOn w:val="Normal"/>
    <w:pPr>
      <w:spacing w:after="120"/>
      <w:jc w:val="center"/>
    </w:pPr>
    <w:rPr>
      <w:rFonts w:ascii="Arial" w:cs="Arial" w:eastAsia="Arial" w:hAnsi="Arial"/>
      <w:color w:val="4a4a4a"/>
      <w:sz w:val="24"/>
      <w:szCs w:val="24"/>
    </w:rPr>
  </w:style>
  <w:style w:type="paragraph" w:styleId="SectionHeader">
    <w:name w:val="Section Header"/>
    <w:basedOn w:val="Normal"/>
    <w:pPr>
      <w:pBdr>
        <w:bottom w:val="single" w:color="2c5f8d" w:sz="6" w:space="1"/>
      </w:pBdr>
      <w:spacing w:before="240" w:after="120"/>
    </w:pPr>
    <w:rPr>
      <w:rFonts w:ascii="Arial" w:cs="Arial" w:eastAsia="Arial" w:hAnsi="Arial"/>
      <w:b/>
      <w:bCs/>
      <w:color w:val="2c5f8d"/>
      <w:sz w:val="26"/>
      <w:szCs w:val="26"/>
    </w:rPr>
  </w:style>
  <w:style w:type="paragraph" w:styleId="JobTitle">
    <w:name w:val="Job Title"/>
    <w:basedOn w:val="Normal"/>
    <w:pPr>
      <w:spacing w:before="120" w:after="60"/>
    </w:pPr>
    <w:rPr>
      <w:rFonts w:ascii="Arial" w:cs="Arial" w:eastAsia="Arial" w:hAnsi="Arial"/>
      <w:b/>
      <w:bCs/>
      <w:color w:val="1a1a1a"/>
      <w:sz w:val="22"/>
      <w:szCs w:val="22"/>
    </w:rPr>
  </w:style>
  <w:style w:type="paragraph" w:styleId="Body">
    <w:name w:val="Body"/>
    <w:basedOn w:val="Normal"/>
    <w:pPr>
      <w:spacing w:after="100"/>
    </w:pPr>
    <w:rPr>
      <w:rFonts w:ascii="Arial" w:cs="Arial" w:eastAsia="Arial" w:hAnsi="Arial"/>
      <w:sz w:val="22"/>
      <w:szCs w:val="22"/>
    </w:rPr>
  </w:style>
  <w:style w:type="paragraph" w:styleId="BodyCompact">
    <w:name w:val="Body Compact"/>
    <w:basedOn w:val="Normal"/>
    <w:pPr>
      <w:spacing w:after="60"/>
    </w:pPr>
    <w:rPr>
      <w:rFonts w:ascii="Arial" w:cs="Arial" w:eastAsia="Arial" w:hAnsi="Arial"/>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2025-11-02T18:56:44.180Z</dcterms:created>
  <dcterms:modified xsi:type="dcterms:W3CDTF">2025-11-02T18:56:44.181Z</dcterms:modified>
</cp:coreProperties>
</file>

<file path=docProps/custom.xml><?xml version="1.0" encoding="utf-8"?>
<Properties xmlns="http://schemas.openxmlformats.org/officeDocument/2006/custom-properties" xmlns:vt="http://schemas.openxmlformats.org/officeDocument/2006/docPropsVTypes"/>
</file>