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AGGELOS GIANNOULIS</w:t>
      </w:r>
    </w:p>
    <w:p>
      <w:pPr>
        <w:pStyle w:val="Subtitle"/>
      </w:pPr>
      <w:r>
        <w:t xml:space="preserve">Άγγελος Γιαννούλης</w:t>
      </w:r>
    </w:p>
    <w:p>
      <w:pPr>
        <w:spacing w:after="80"/>
        <w:jc w:val="center"/>
      </w:pPr>
      <w:r>
        <w:rPr>
          <w:b/>
          <w:bCs/>
          <w:color w:val="4a4a4a"/>
          <w:sz w:val="24"/>
          <w:szCs w:val="24"/>
        </w:rPr>
        <w:t xml:space="preserve">Contemporary Visual Artist | Painting</w:t>
      </w:r>
    </w:p>
    <w:p>
      <w:pPr>
        <w:spacing w:after="200"/>
        <w:jc w:val="center"/>
      </w:pPr>
      <w:r>
        <w:rPr>
          <w:color w:val="666666"/>
          <w:sz w:val="20"/>
          <w:szCs w:val="20"/>
        </w:rPr>
        <w:t xml:space="preserve">[Tel]  •  [Email]</w:t>
      </w:r>
    </w:p>
    <w:p>
      <w:pPr>
        <w:pStyle w:val="SectionHeader"/>
      </w:pPr>
      <w:r>
        <w:t xml:space="preserve">PROFESSIONAL PROFILE</w:t>
      </w:r>
    </w:p>
    <w:p>
      <w:pPr>
        <w:pStyle w:val="Body"/>
      </w:pPr>
      <w:r>
        <w:t xml:space="preserve">Accomplished visual artist with distinction-level Integrated Master's degree (300 ECTS) in Painting from Aristotle University of Thessaloniki. </w:t>
      </w:r>
      <w:r>
        <w:rPr>
          <w:b/>
          <w:bCs/>
        </w:rPr>
        <w:t xml:space="preserve">Graduated with honors (9.37/10)</w:t>
      </w:r>
      <w:r>
        <w:t xml:space="preserve">, achieving exceptional thesis recognition (9.85/10). Specialized in contemporary painting and drawing practice with focus on colored pencil techniques, exploring themes of intimacy, identity, and transcendence through figurative and abstract work. Equipped with pedagogical training and practical teaching experience. Committed to continuous artistic development and professional excellence within the visual arts sector.</w:t>
      </w:r>
    </w:p>
    <w:p>
      <w:pPr>
        <w:pStyle w:val="SectionHeader"/>
      </w:pPr>
      <w:r>
        <w:t xml:space="preserve">EDUCATION</w:t>
      </w:r>
    </w:p>
    <w:p>
      <w:pPr>
        <w:pStyle w:val="JobTitle"/>
      </w:pPr>
      <w:r>
        <w:t xml:space="preserve">Integrated Master of Fine Arts (M.F.A.) — Painting</w:t>
      </w:r>
    </w:p>
    <w:p>
      <w:pPr>
        <w:pStyle w:val="BodyCompact"/>
      </w:pPr>
      <w:r>
        <w:rPr>
          <w:i/>
          <w:iCs/>
        </w:rPr>
        <w:t xml:space="preserve">Aristotle University of Thessaloniki (A.U.Th.)</w:t>
      </w:r>
      <w:r>
        <w:t xml:space="preserve"> | School of Fine &amp; Applied Arts</w:t>
      </w:r>
    </w:p>
    <w:p>
      <w:pPr>
        <w:pStyle w:val="BodyCompact"/>
      </w:pPr>
      <w:r>
        <w:rPr>
          <w:color w:val="666666"/>
        </w:rPr>
        <w:t xml:space="preserve">2019–2025  •  Thessaloniki, Greece</w:t>
      </w:r>
    </w:p>
    <w:p>
      <w:pPr>
        <w:pStyle w:val="BodyCompact"/>
        <w:spacing w:after="80"/>
      </w:pPr>
      <w:r>
        <w:rPr>
          <w:b/>
          <w:bCs/>
        </w:rPr>
        <w:t xml:space="preserve">Academic Excellence:</w:t>
      </w:r>
      <w:r>
        <w:t xml:space="preserve"> 300 ECTS credits across 10 semesters | Final grade: </w:t>
      </w:r>
      <w:r>
        <w:rPr>
          <w:b/>
          <w:bCs/>
        </w:rPr>
        <w:t xml:space="preserve">9.37/10 (Excellent)</w:t>
      </w:r>
      <w:r>
        <w:t xml:space="preserve"> | Thesis: </w:t>
      </w:r>
      <w:r>
        <w:rPr>
          <w:b/>
          <w:bCs/>
        </w:rPr>
        <w:t xml:space="preserve">9.85/10</w:t>
      </w:r>
    </w:p>
    <w:p>
      <w:pPr>
        <w:pStyle w:val="BodyCompact"/>
      </w:pPr>
      <w:r>
        <w:rPr>
          <w:b/>
          <w:bCs/>
        </w:rPr>
        <w:t xml:space="preserve">Key Coursework &amp; Competencies:</w:t>
      </w:r>
    </w:p>
    <w:p>
      <w:pPr>
        <w:spacing w:after="60"/>
        <w:ind w:left="360"/>
      </w:pPr>
      <w:r>
        <w:rPr>
          <w:b/>
          <w:bCs/>
        </w:rPr>
        <w:t xml:space="preserve">Studio Practice:</w:t>
      </w:r>
      <w:r>
        <w:t xml:space="preserve"> Advanced Painting I–VIII, Drawing I–II, Sculptural Elements, Introduction to New Media in Fine Arts I–II, Printmaking Techniques</w:t>
      </w:r>
    </w:p>
    <w:p>
      <w:pPr>
        <w:spacing w:after="60"/>
        <w:ind w:left="360"/>
      </w:pPr>
      <w:r>
        <w:rPr>
          <w:b/>
          <w:bCs/>
        </w:rPr>
        <w:t xml:space="preserve">Theory &amp; History:</w:t>
      </w:r>
      <w:r>
        <w:t xml:space="preserve"> History of Art I–IV, Aesthetics I–II, Contemporary Art Discourse, Critical Theory</w:t>
      </w:r>
    </w:p>
    <w:p>
      <w:pPr>
        <w:spacing w:after="60"/>
        <w:ind w:left="360"/>
      </w:pPr>
      <w:r>
        <w:rPr>
          <w:b/>
          <w:bCs/>
        </w:rPr>
        <w:t xml:space="preserve">Pedagogy:</w:t>
      </w:r>
      <w:r>
        <w:t xml:space="preserve"> Teaching Approach of Art I–II (including supervised classroom practicum), Lesson Planning &amp; Curriculum Development</w:t>
      </w:r>
    </w:p>
    <w:p>
      <w:pPr>
        <w:spacing w:after="120"/>
        <w:ind w:left="360"/>
      </w:pPr>
      <w:r>
        <w:rPr>
          <w:b/>
          <w:bCs/>
        </w:rPr>
        <w:t xml:space="preserve">Professional Development:</w:t>
      </w:r>
      <w:r>
        <w:t xml:space="preserve"> English Terminology in Fine Arts I–IV (specialized vocabulary for international art contexts)</w:t>
      </w:r>
    </w:p>
    <w:p>
      <w:pPr>
        <w:pStyle w:val="SectionHeader"/>
      </w:pPr>
      <w:r>
        <w:t xml:space="preserve">EXHIBITIONS &amp; PRESENTATIONS</w:t>
      </w:r>
    </w:p>
    <w:p>
      <w:pPr>
        <w:pStyle w:val="JobTitle"/>
      </w:pPr>
      <w:r>
        <w:t xml:space="preserve">Master's Thesis Exhibition</w:t>
      </w:r>
    </w:p>
    <w:p>
      <w:pPr>
        <w:pStyle w:val="BodyCompact"/>
      </w:pPr>
      <w:r>
        <w:rPr>
          <w:i/>
          <w:iCs/>
        </w:rPr>
        <w:t xml:space="preserve">"Η Σωτηρία του κόσμου ήταν έναν οργασμό μακριά"</w:t>
      </w:r>
      <w:r>
        <w:t xml:space="preserve"> (The Salvation of the World Was One Orgasm Away)</w:t>
      </w:r>
    </w:p>
    <w:p>
      <w:pPr>
        <w:pStyle w:val="BodyCompact"/>
      </w:pPr>
      <w:r>
        <w:rPr>
          <w:color w:val="666666"/>
        </w:rPr>
        <w:t xml:space="preserve">June 2025  •  3rd Painting Workshop, A.U.Th., Thessaloniki</w:t>
      </w:r>
    </w:p>
    <w:p>
      <w:pPr>
        <w:pStyle w:val="Body"/>
      </w:pPr>
      <w:r>
        <w:t xml:space="preserve">Presented cohesive body of work comprising 20+ drawings in colored pencil on paper, exploring themes of intimacy, transcendence, vulnerability, and the search for connection in contemporary life. The series investigates moments of intensity and presence through figurative and abstract imagery, questioning notions of salvation and surrender. Works employ vibrant color palettes and expressive mark-making to create psychological and emotional resonance.</w:t>
      </w:r>
    </w:p>
    <w:p>
      <w:pPr>
        <w:spacing w:after="100"/>
        <w:ind w:left="360"/>
      </w:pPr>
      <w:r>
        <w:rPr>
          <w:b/>
          <w:bCs/>
        </w:rPr>
        <w:t xml:space="preserve">Selected Works:</w:t>
      </w:r>
      <w:r>
        <w:t xml:space="preserve"> </w:t>
      </w:r>
      <w:r>
        <w:rPr>
          <w:i/>
          <w:iCs/>
        </w:rPr>
        <w:t xml:space="preserve">Bioluminescence</w:t>
      </w:r>
      <w:r>
        <w:t xml:space="preserve"> (I &amp; II), </w:t>
      </w:r>
      <w:r>
        <w:rPr>
          <w:i/>
          <w:iCs/>
        </w:rPr>
        <w:t xml:space="preserve">Black Hole in the Kitchen</w:t>
      </w:r>
      <w:r>
        <w:t xml:space="preserve">, </w:t>
      </w:r>
      <w:r>
        <w:rPr>
          <w:i/>
          <w:iCs/>
        </w:rPr>
        <w:t xml:space="preserve">Heart 2 Heart</w:t>
      </w:r>
      <w:r>
        <w:t xml:space="preserve">, </w:t>
      </w:r>
      <w:r>
        <w:rPr>
          <w:i/>
          <w:iCs/>
        </w:rPr>
        <w:t xml:space="preserve">Love/Paranoia</w:t>
      </w:r>
      <w:r>
        <w:t xml:space="preserve">, </w:t>
      </w:r>
      <w:r>
        <w:rPr>
          <w:i/>
          <w:iCs/>
        </w:rPr>
        <w:t xml:space="preserve">I Feel Safe in My Country</w:t>
      </w:r>
      <w:r>
        <w:t xml:space="preserve">, </w:t>
      </w:r>
      <w:r>
        <w:rPr>
          <w:i/>
          <w:iCs/>
        </w:rPr>
        <w:t xml:space="preserve">Make Them Happy with a Happy Meal</w:t>
      </w:r>
      <w:r>
        <w:t xml:space="preserve">, among others.</w:t>
      </w:r>
    </w:p>
    <w:p>
      <w:pPr>
        <w:pStyle w:val="SectionHeader"/>
      </w:pPr>
      <w:r>
        <w:t xml:space="preserve">ARTISTIC PRACTICE &amp; RESEARCH</w:t>
      </w:r>
    </w:p>
    <w:p>
      <w:pPr>
        <w:pStyle w:val="JobTitle"/>
      </w:pPr>
      <w:r>
        <w:t xml:space="preserve">Master's Thesis Research — Grade: 9.85/10</w:t>
      </w:r>
    </w:p>
    <w:p>
      <w:pPr>
        <w:pStyle w:val="Body"/>
      </w:pPr>
      <w:r>
        <w:t xml:space="preserve">Conducted sustained studio investigation examining the relationship between physical intimacy, emotional vulnerability, and existential questions of meaning and redemption. Developed distinctive visual language using colored pencil as primary medium, creating work that balances technical precision with expressive immediacy. Research incorporated contemporary critical theory, queer theory, and phenomenological approaches to embodiment. Successfully defended thesis with comprehensive written component and professional exhibition-style presentation.</w:t>
      </w:r>
    </w:p>
    <w:p>
      <w:pPr>
        <w:pStyle w:val="JobTitle"/>
      </w:pPr>
      <w:r>
        <w:t xml:space="preserve">Advanced Painting Studios (VII–VIII)</w:t>
      </w:r>
    </w:p>
    <w:p>
      <w:pPr>
        <w:pStyle w:val="Body"/>
      </w:pPr>
      <w:r>
        <w:t xml:space="preserve">Developed mature studio practice through sustained investigation of conceptual and material concerns. Participated in intensive peer critique sessions and iterative refinement processes. Successfully presented resolved work in professional exhibition format, demonstrating ability to communicate artistic intent and respond to critical feedback.</w:t>
      </w:r>
    </w:p>
    <w:p>
      <w:pPr>
        <w:pStyle w:val="JobTitle"/>
      </w:pPr>
      <w:r>
        <w:t xml:space="preserve">New Media Fundamentals</w:t>
      </w:r>
    </w:p>
    <w:p>
      <w:pPr>
        <w:pStyle w:val="Body"/>
      </w:pPr>
      <w:r>
        <w:t xml:space="preserve">Explored interdisciplinary approaches at the intersection of traditional drawing/painting practice and digital/new media technologies. Investigated hybrid methodologies integrating analog and digital processes, expanding conceptual and technical toolkit for contemporary art production.</w:t>
      </w:r>
    </w:p>
    <w:p>
      <w:pPr>
        <w:pStyle w:val="SectionHeader"/>
      </w:pPr>
      <w:r>
        <w:t xml:space="preserve">CORE COMPETENCIES</w:t>
      </w:r>
    </w:p>
    <w:p>
      <w:pPr>
        <w:pStyle w:val="JobTitle"/>
      </w:pPr>
      <w:r>
        <w:t xml:space="preserve">Artistic &amp; Technical Skills</w:t>
      </w:r>
    </w:p>
    <w:p>
      <w:pPr>
        <w:spacing w:after="120"/>
        <w:ind w:left="360"/>
      </w:pPr>
      <w:r>
        <w:rPr>
          <w:b/>
          <w:bCs/>
        </w:rPr>
        <w:t xml:space="preserve">Primary Medium:</w:t>
      </w:r>
      <w:r>
        <w:t xml:space="preserve"> Colored pencil on paper (advanced proficiency)  •  </w:t>
      </w:r>
      <w:r>
        <w:rPr>
          <w:b/>
          <w:bCs/>
        </w:rPr>
        <w:t xml:space="preserve">Additional Media:</w:t>
      </w:r>
      <w:r>
        <w:t xml:space="preserve"> Oil painting, acrylic, mixed media, drawing, printmaking  •  </w:t>
      </w:r>
      <w:r>
        <w:rPr>
          <w:b/>
          <w:bCs/>
        </w:rPr>
        <w:t xml:space="preserve">Skills:</w:t>
      </w:r>
      <w:r>
        <w:t xml:space="preserve"> Color theory &amp; application, compositional design, figurative drawing, abstraction, new media integration, exhibition installation, studio management, art historical research, critical analysis</w:t>
      </w:r>
    </w:p>
    <w:p>
      <w:pPr>
        <w:pStyle w:val="JobTitle"/>
      </w:pPr>
      <w:r>
        <w:t xml:space="preserve">Conceptual &amp; Thematic Interests</w:t>
      </w:r>
    </w:p>
    <w:p>
      <w:pPr>
        <w:spacing w:after="120"/>
        <w:ind w:left="360"/>
      </w:pPr>
      <w:r>
        <w:t xml:space="preserve">Identity &amp; intimacy  •  Queer perspectives  •  Embodiment &amp; transcendence  •  Contemporary existentialism  •  Pop culture &amp; social critique  •  Vulnerability &amp; connection  •  Memory &amp; nostalgia</w:t>
      </w:r>
    </w:p>
    <w:p>
      <w:pPr>
        <w:pStyle w:val="JobTitle"/>
      </w:pPr>
      <w:r>
        <w:t xml:space="preserve">Digital &amp; Technical Proficiency</w:t>
      </w:r>
    </w:p>
    <w:p>
      <w:pPr>
        <w:spacing w:after="120"/>
        <w:ind w:left="360"/>
      </w:pPr>
      <w:r>
        <w:t xml:space="preserve">Adobe Creative Suite (Photoshop, Illustrator, Lightroom)  •  Procreate (digital illustration)  •  Digital photography (DSLR)  •  Image scanning &amp; archiving  •  Portfolio documentation &amp; presentation</w:t>
      </w:r>
    </w:p>
    <w:p>
      <w:pPr>
        <w:pStyle w:val="JobTitle"/>
      </w:pPr>
      <w:r>
        <w:t xml:space="preserve">Professional Attributes</w:t>
      </w:r>
    </w:p>
    <w:p>
      <w:pPr>
        <w:spacing w:after="120"/>
        <w:ind w:left="360"/>
      </w:pPr>
      <w:r>
        <w:t xml:space="preserve">Self-directed artistic practice  •  Collaborative teamwork  •  Receptiveness to critique  •  Continuous learning  •  Project planning &amp; execution  •  Time management  •  Professional communication  •  Teaching &amp; mentorship capabilities</w:t>
      </w:r>
    </w:p>
    <w:p>
      <w:pPr>
        <w:pStyle w:val="SectionHeader"/>
      </w:pPr>
      <w:r>
        <w:t xml:space="preserve">LANGUAGES &amp; QUALIFICATIONS</w:t>
      </w:r>
    </w:p>
    <w:p>
      <w:pPr>
        <w:pStyle w:val="BodyCompact"/>
      </w:pPr>
      <w:r>
        <w:rPr>
          <w:b/>
          <w:bCs/>
        </w:rPr>
        <w:t xml:space="preserve">Languages: </w:t>
      </w:r>
      <w:r>
        <w:t xml:space="preserve">Greek (Native)  •  English (Advanced — including specialized art terminology for international contexts)</w:t>
      </w:r>
    </w:p>
    <w:p>
      <w:pPr>
        <w:pStyle w:val="Body"/>
      </w:pPr>
      <w:r>
        <w:rPr>
          <w:b/>
          <w:bCs/>
        </w:rPr>
        <w:t xml:space="preserve">Professional Status: </w:t>
      </w:r>
      <w:r>
        <w:t xml:space="preserve">Integrated Master's degree confers eligibility for professional registration with the Hellenic Chamber of Visual Arts (EETE)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80"/>
      <w:jc w:val="center"/>
    </w:pPr>
    <w:rPr>
      <w:rFonts w:ascii="Arial" w:cs="Arial" w:eastAsia="Arial" w:hAnsi="Arial"/>
      <w:b/>
      <w:bCs/>
      <w:color w:val="1a1a1a"/>
      <w:sz w:val="32"/>
      <w:szCs w:val="32"/>
    </w:rPr>
  </w:style>
  <w:style w:type="paragraph" w:styleId="Subtitle">
    <w:name w:val="Subtitle"/>
    <w:basedOn w:val="Normal"/>
    <w:pPr>
      <w:spacing w:after="120"/>
      <w:jc w:val="center"/>
    </w:pPr>
    <w:rPr>
      <w:rFonts w:ascii="Arial" w:cs="Arial" w:eastAsia="Arial" w:hAnsi="Arial"/>
      <w:color w:val="4a4a4a"/>
      <w:sz w:val="24"/>
      <w:szCs w:val="24"/>
    </w:rPr>
  </w:style>
  <w:style w:type="paragraph" w:styleId="SectionHeader">
    <w:name w:val="Section Header"/>
    <w:basedOn w:val="Normal"/>
    <w:pPr>
      <w:pBdr>
        <w:bottom w:val="single" w:color="2c5f8d" w:sz="6" w:space="1"/>
      </w:pBdr>
      <w:spacing w:before="240" w:after="120"/>
    </w:pPr>
    <w:rPr>
      <w:rFonts w:ascii="Arial" w:cs="Arial" w:eastAsia="Arial" w:hAnsi="Arial"/>
      <w:b/>
      <w:bCs/>
      <w:color w:val="2c5f8d"/>
      <w:sz w:val="26"/>
      <w:szCs w:val="26"/>
    </w:rPr>
  </w:style>
  <w:style w:type="paragraph" w:styleId="JobTitle">
    <w:name w:val="Job Title"/>
    <w:basedOn w:val="Normal"/>
    <w:pPr>
      <w:spacing w:before="120" w:after="60"/>
    </w:pPr>
    <w:rPr>
      <w:rFonts w:ascii="Arial" w:cs="Arial" w:eastAsia="Arial" w:hAnsi="Arial"/>
      <w:b/>
      <w:bCs/>
      <w:color w:val="1a1a1a"/>
      <w:sz w:val="22"/>
      <w:szCs w:val="22"/>
    </w:rPr>
  </w:style>
  <w:style w:type="paragraph" w:styleId="Body">
    <w:name w:val="Body"/>
    <w:basedOn w:val="Normal"/>
    <w:pPr>
      <w:spacing w:after="100"/>
    </w:pPr>
    <w:rPr>
      <w:rFonts w:ascii="Arial" w:cs="Arial" w:eastAsia="Arial" w:hAnsi="Arial"/>
      <w:sz w:val="22"/>
      <w:szCs w:val="22"/>
    </w:rPr>
  </w:style>
  <w:style w:type="paragraph" w:styleId="BodyCompact">
    <w:name w:val="Body Compact"/>
    <w:basedOn w:val="Normal"/>
    <w:pPr>
      <w:spacing w:after="6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2025-11-02T19:04:06.445Z</dcterms:created>
  <dcterms:modified xsi:type="dcterms:W3CDTF">2025-11-02T19:04:06.446Z</dcterms:modified>
</cp:coreProperties>
</file>

<file path=docProps/custom.xml><?xml version="1.0" encoding="utf-8"?>
<Properties xmlns="http://schemas.openxmlformats.org/officeDocument/2006/custom-properties" xmlns:vt="http://schemas.openxmlformats.org/officeDocument/2006/docPropsVTypes"/>
</file>