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7"/>
        <w:gridCol w:w="2971"/>
        <w:gridCol w:w="2972"/>
      </w:tblGrid>
      <w:tr>
        <w:tblPrEx>
          <w:shd w:val="clear" w:color="auto" w:fill="ced7e7"/>
        </w:tblPrEx>
        <w:trPr>
          <w:trHeight w:val="1208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055644" cy="608471"/>
                  <wp:effectExtent l="0" t="0" r="0" b="0"/>
                  <wp:docPr id="1073741825" name="officeArt object" descr="PMCH Logo&#10;&#10;Peyton Manning Children's Hospit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MCH LogoPeyton Manning Children's Hospital" descr="PMCH LogoPeyton Manning Children's Hospita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644" cy="6084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  <w:rPr>
                <w:sz w:val="32"/>
                <w:szCs w:val="32"/>
              </w:rPr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nl-NL"/>
              </w:rPr>
              <w:t>Pediatric Gastroenterology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</w:pPr>
            <w:r>
              <w:rPr>
                <w:rFonts w:ascii="Arial" w:hAnsi="Arial"/>
                <w:sz w:val="24"/>
                <w:szCs w:val="24"/>
                <w:rtl w:val="0"/>
              </w:rPr>
              <w:t>(317) 338-9450</w:t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 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238250" cy="733425"/>
                  <wp:effectExtent l="0" t="0" r="0" b="0"/>
                  <wp:docPr id="1073741826" name="officeArt object" descr="CSV Logo&#10;&#10;Children's Surgery Verific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SV LogoChildren's Surgery Verification" descr="CSV LogoChildren's Surgery Verificatio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7334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4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00"/>
        <w:gridCol w:w="2500"/>
        <w:gridCol w:w="1340"/>
      </w:tblGrid>
      <w:tr>
        <w:trPr/>
        <w:tc>
          <w:tcPr>
            <w:tcW w:type="dxa" w:w="5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en-US"/>
              </w:rPr>
              <w:t>Colonoscopy Bowel Prep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right"/>
            </w:pPr>
            <w:r>
              <w:rPr>
                <w:rFonts w:ascii="Arial" w:hAnsi="Arial"/>
                <w:i w:val="1"/>
                <w:color w:val="666666"/>
                <w:sz w:val="12"/>
                <w:szCs w:val="12"/>
              </w:rPr>
              <w:t>Scan for</w:t>
              <w:br/>
              <w:t>mobile-friendly</w:t>
              <w:br/>
              <w:t>instructions</w:t>
            </w:r>
          </w:p>
        </w:tc>
        <w:tc>
          <w:tcPr>
            <w:tcW w:type="dxa" w:w="1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left"/>
            </w:pPr>
            <w:r>
              <w:rPr/>
              <w:drawing>
                <wp:inline distT="0" distB="0" distL="0" distR="0">
                  <wp:extent cx="362000" cy="362000"/>
                  <wp:effectExtent l="0" t="0" r="0" b="0"/>
                  <wp:docPr id="999" name="Mobile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MobileQR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" cy="3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{{DOCX_HEADING}}</w:t>
      </w:r>
    </w:p>
    <w:p>
      <w:pPr>
        <w:pStyle w:val="Default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5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>Procedure Location: {{LOCATION_NAME}}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 xml:space="preserve">{{LOCATION_ADDRESS}}  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>{{LOCATION_PHONE_LABEL}}: {{LOCATION_PHONE}}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u w:color="d9534f"/>
                <w:rtl w:val="0"/>
                <w:lang w:val="en-US"/>
                <w14:textFill>
                  <w14:solidFill>
                    <w14:srgbClr w14:val="D9534F"/>
                  </w14:solidFill>
                </w14:textFill>
              </w:rPr>
              <w:t>{{LOCATION_ARRIVAL}}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drawing xmlns:a="http://schemas.openxmlformats.org/drawingml/2006/main">
                <wp:inline distT="0" distB="0" distL="0" distR="0">
                  <wp:extent cx="571500" cy="571500"/>
                  <wp:effectExtent l="0" t="0" r="0" b="0"/>
                  <wp:docPr id="1073741827" name="officeArt object" descr="QR&#10;&#10;Scan for directi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QRScan for directions" descr="QRScan for directions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 xml:space="preserve">Scan </w:t>
            </w: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for Google Maps directions</w:t>
            </w:r>
          </w:p>
        </w:tc>
      </w:tr>
    </w:tbl>
    <w:p>
      <w:pPr>
        <w:pStyle w:val="List Paragraph"/>
        <w:jc w:val="center"/>
      </w:pPr>
      <w:r>
        <w:rPr>
          <w:rFonts w:ascii="Arial" w:hAnsi="Arial"/>
          <w:b w:val="1"/>
          <w:bCs w:val="1"/>
          <w:color w:val="2e75b6"/>
          <w:sz w:val="24"/>
          <w:szCs w:val="24"/>
          <w:lang w:val="en-US"/>
        </w:rPr>
        <w:t>Clear Liquids + Saline Enema Option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Plan Ahead (pick up from the pharmacy)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Pedialyte® or clear apple juice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Clear broth (chicken or vegetable)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Popsicles or plain gelatin (no red or purple colors)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Saline enema (if prescribed, or if we instruct you separately to give the enema)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Protective ointment (A&amp;D, Desitin®, or Vaseline®) for the diaper area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Day Before the Procedure</w:t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70"/>
        <w:gridCol w:w="4670"/>
      </w:tblGrid>
      <w:tr>
        <w:trPr>
          <w:cantSplit/>
        </w:trPr>
        <w:tc>
          <w:tcPr>
            <w:tcW w:type="dxa" w:w="9340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ascii="Arial" w:hAnsi="Arial"/>
                <w:b w:val="1"/>
                <w:bCs w:val="1"/>
                <w:color w:val="2e75b6"/>
                <w:sz w:val="22"/>
                <w:szCs w:val="22"/>
              </w:rPr>
              <w:t>Allowed and Avoided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d9534f"/>
                <w:sz w:val="24"/>
                <w:szCs w:val="24"/>
              </w:rPr>
              <w:t>AVOID: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4caf50"/>
                <w:sz w:val="24"/>
                <w:szCs w:val="24"/>
              </w:rPr>
              <w:t>OK TO DRINK: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All solid foods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Formula or milk (until 12:00 PM)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Formula or milk after 12:00 PM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Breast milk (until 8:00 PM)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Breast milk after 8:00 PM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Pedialyte®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Anything red or purple (looks like blood)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Clear apple juice (no pulp)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Water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Clear broth (chicken or vegetable, strained)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Popsicles or plain gelatin (no red/purple)</w:t>
            </w:r>
          </w:p>
        </w:tc>
      </w:tr>
    </w:tbl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/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lang w:val="en-US"/>
        </w:rPr>
        <w:t xml:space="preserve">Saline enema:</w:t>
      </w:r>
      <w:r>
        <w:rPr>
          <w:rFonts w:ascii="Arial" w:hAnsi="Arial"/>
          <w:sz w:val="24"/>
          <w:szCs w:val="24"/>
          <w:lang w:val="en-US"/>
        </w:rPr>
        <w:t xml:space="preserve"> If your doctor prescribed a saline enema, give it in the evening at the prescribed dose (10 mL per kg of body weight). If a saline enema was not prescribed for home, the doctor will give one right before the procedure — no action needed at home.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Apply protective ointment to the diaper area.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⏰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Fasting Rules — Day of Procedure</w:t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500"/>
        <w:gridCol w:w="3840"/>
      </w:tblGrid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lang w:val="en-US"/>
              </w:rPr>
              <w:t xml:space="preserve">What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lang w:val="en-US"/>
              </w:rPr>
              <w:t xml:space="preserve">When to Stop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Formula or milk (1 year and older)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12:00 PM the day before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Breast milk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8:00 PM the day before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Clear liquids (Pedialyte, water, clear juice)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2 hours before procedure time</w:t>
            </w:r>
          </w:p>
        </w:tc>
      </w:tr>
    </w:tbl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lang w:val="en-US"/>
        </w:rPr>
        <w:t xml:space="preserve">After the clear liquid cutoff, no food or drink. This keeps your child safe during anesthesia.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⚠️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When to Call the Doctor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Your child won't drink, or has dehydration signs: no tears, dry mouth, or no wet diapers for 6+ hours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Vomiting that prevents your child from keeping liquids down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Fever, bloody stools, or severe belly pain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You are unsure whether the prep is working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You have questions about your child's medications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💡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Tips for Success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Offer clear liquids frequently in small amounts — a syringe, sippy cup, or bottle may help.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Popsicles and gelatin help keep your child hydrated. Avoid red and purple — they can look like blood.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Expect frequent watery stools — this means the prep is working.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Keep the diaper area well protected with ointment to prevent irritation.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Bdr>
                <w:bottom w:val="single" w:color="2E75B6" w:sz="2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Helpful Resources</w:t>
            </w:r>
          </w:p>
          <w:p>
            <w:hyperlink w:history="1" r:id="rIdrf1rktk8rqoqzhwexkbnp">
              <w:r>
                <w:rPr>
                  <w:rFonts w:ascii="Apple Color Emoji" w:hAnsi="Apple Color Emoji" w:cs="Apple Color Emoji" w:eastAsia="Apple Color Emoji"/>
                  <w:rStyle w:val="Hyperlink"/>
                  <w:sz w:val="22"/>
                  <w:szCs w:val="22"/>
                </w:rPr>
                <w:t xml:space="preserve">🎥</w:t>
              </w:r>
              <w:r>
                <w:rPr>
                  <w:rFonts w:ascii="Arial" w:cs="Arial" w:eastAsia="Arial" w:hAnsi="Arial"/>
                  <w:rStyle w:val="Hyperlink"/>
                  <w:sz w:val="22"/>
                  <w:szCs w:val="22"/>
                </w:rPr>
                <w:t xml:space="preserve"> Watch: How to prepare for your child's colonoscopy</w:t>
              </w:r>
            </w:hyperlink>
          </w:p>
          <w:p>
            <w:pPr>
              <w:spacing w:before="100"/>
            </w:pPr>
            <w:hyperlink w:history="1" r:id="rIduardcpghddnqlwgv0algj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Learn more about pediatric colonoscopy (GIKids.org)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qr_video" descr="Scan to watch prep video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Scan to watch prep video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Bdr>
                <w:bottom w:val="single" w:color="2E75B6" w:sz="2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Questions?</w:t>
            </w:r>
          </w:p>
          <w:p>
            <w:hyperlink w:history="1" r:id="rId3417i9rip1ykumx37zxu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Message us via the patient portal (preferred contact method)</w:t>
              </w:r>
            </w:hyperlink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 urgent issues, call (317) 338-9450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qr_portal" descr="Scan for the patient portal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Scan for the patient portal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sz w:val="18"/>
        <w:szCs w:val="18"/>
      </w:rPr>
      <w:t xml:space="preserve">Questions? Call (317) 338-9450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f1rktk8rqoqzhwexkbnp" Type="http://schemas.openxmlformats.org/officeDocument/2006/relationships/hyperlink" Target="http://www.youtube.com/watch?v=dT3HPrMFwDc" TargetMode="External"/><Relationship Id="rIduardcpghddnqlwgv0algj" Type="http://schemas.openxmlformats.org/officeDocument/2006/relationships/hyperlink" Target="https://gikids.org/tests-procedures/colonoscopy/" TargetMode="External"/><Relationship Id="rId3417i9rip1ykumx37zxuq" Type="http://schemas.openxmlformats.org/officeDocument/2006/relationships/hyperlink" Target="https://healthcare.ascension.org/patient-portal/indiana-ascension-st-vincent" TargetMode="External"/><Relationship Id="rId8" Type="http://schemas.openxmlformats.org/officeDocument/2006/relationships/image" Target="media/47aa45401ca0e258491fc720ecf398d733281628.png"/><Relationship Id="rId9" Type="http://schemas.openxmlformats.org/officeDocument/2006/relationships/image" Target="media/2b0f7c151bd19936a60631842eb9027434de156b.png"/><Relationship Id="rId10" Type="http://schemas.openxmlformats.org/officeDocument/2006/relationships/image" Target="media/eaeffbe1a6fe913e03df010f94ddbc37b47e69e5.png"/><Relationship Id="rId11" Type="http://schemas.openxmlformats.org/officeDocument/2006/relationships/image" Target="media/44c6d24be910756039611d52c1005890915f7786.png"/><Relationship Id="rId12" Type="http://schemas.openxmlformats.org/officeDocument/2006/relationships/image" Target="media/31672129820ea3b9ab209f91d4127085702e05c6.png"/><Relationship Id="rId16" Type="http://schemas.openxmlformats.org/officeDocument/2006/relationships/fontTable" Target="fontTable.xml"/><Relationship Id="rId17" Type="http://schemas.openxmlformats.org/officeDocument/2006/relationships/image" Target="media/mobile-q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2026-04-05T16:48:52.754Z</dcterms:created>
  <dcterms:modified xsi:type="dcterms:W3CDTF">2026-04-05T16:48:52.754Z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